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333-249785</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4"/>
          <w:szCs w:val="24"/>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behalf of the board of directors of FS Development Corp.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we are pleased to enclose the proxy statement/prospectus relating to the proposed merger of FSG Merger Sub, Inc., a Delaware corporation and a 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pursuant to the terms of a merger agreement, dated October 15, 2020, among FS Development, Merger Sub, Gemini and Shareholder Representative Services LLC (as it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and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In connection with the Business Combination, FS Development will be renamed “Gemini Therapeutics, Inc.”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122" w:lineRule="exact"/>
        <w:rPr>
          <w:sz w:val="24"/>
          <w:szCs w:val="24"/>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 Development. The Special Meeting will be held on February 3, 2021, at 10:00 a.m. Eastern time, via a virtual meeting. In light of the novel coronavirus (referred to as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xml:space="preserve">”) pandemic and to support the well-being of FS Development’s stockholders, directors and management, the Special Meeting will be completely virtual. You may attend the Special Meeting and vote your shares electronically during the Special Meeting via live webcast by visiting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 You will need the 12-digit meeting control number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13"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At the Special Meeting, FS Development stockholders will be asked to consider and vote upon the following proposals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94" w:lineRule="exact"/>
        <w:rPr>
          <w:sz w:val="24"/>
          <w:szCs w:val="24"/>
          <w:color w:val="auto"/>
        </w:rPr>
      </w:pPr>
    </w:p>
    <w:p>
      <w:pPr>
        <w:ind w:left="1320" w:right="479" w:hanging="434"/>
        <w:spacing w:after="0" w:line="282" w:lineRule="auto"/>
        <w:tabs>
          <w:tab w:leader="none" w:pos="13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and (b) approve the Business Combination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Acquisition of Gemini; Merger Consideration</w:t>
      </w:r>
      <w:r>
        <w:rPr>
          <w:rFonts w:ascii="Times New Roman" w:cs="Times New Roman" w:eastAsia="Times New Roman" w:hAnsi="Times New Roman"/>
          <w:sz w:val="18"/>
          <w:szCs w:val="18"/>
          <w:color w:val="auto"/>
        </w:rPr>
        <w:t>” and (b) the issuance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9,506,000 newly issued shares 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Issuance Proposal</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9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760" w:right="459" w:hanging="442"/>
        <w:spacing w:after="0" w:line="286" w:lineRule="auto"/>
        <w:tabs>
          <w:tab w:leader="none" w:pos="176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Common Stock to 250,000,000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224155</wp:posOffset>
            </wp:positionV>
            <wp:extent cx="5143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1760" w:right="459" w:hanging="442"/>
        <w:spacing w:after="0" w:line="268" w:lineRule="auto"/>
        <w:tabs>
          <w:tab w:leader="none" w:pos="171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103" w:lineRule="exact"/>
        <w:rPr>
          <w:rFonts w:ascii="Times New Roman" w:cs="Times New Roman" w:eastAsia="Times New Roman" w:hAnsi="Times New Roman"/>
          <w:sz w:val="18"/>
          <w:szCs w:val="18"/>
          <w:color w:val="auto"/>
        </w:rPr>
      </w:pPr>
    </w:p>
    <w:p>
      <w:pPr>
        <w:jc w:val="both"/>
        <w:ind w:left="1760" w:right="459" w:hanging="442"/>
        <w:spacing w:after="0" w:line="263" w:lineRule="auto"/>
        <w:tabs>
          <w:tab w:leader="none" w:pos="183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760" w:right="459" w:hanging="442"/>
        <w:spacing w:after="0" w:line="259" w:lineRule="auto"/>
        <w:tabs>
          <w:tab w:leader="none" w:pos="18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8"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1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2021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Gemini, with Gemini continuing as the surviving entity.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1320" w:right="479" w:hanging="434"/>
        <w:spacing w:after="0" w:line="258" w:lineRule="auto"/>
        <w:tabs>
          <w:tab w:leader="none" w:pos="14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receive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99"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Following completion of the Business Combination and assuming no holders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stock,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elect to redeem their shares, FS Development Holdings,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public stockholders, the PIPE Investment investors and holders of Gemini Stock (the “</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will own approximately 7%, 26%, 21% and 46% of the outstanding common stock of the Combined Entity, respectively. These percentages are calculated based on a number of assumptions (described in the accompanying proxy statement/prospectus) and are subject to adjustment in accordance with the terms of the Merger Agreement.</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Approval of the Charter Amendment Proposal requires the affirmative vote of a majority of the issued and outstanding shares of FS Development Class A Common Stock and Class B Common stock (collectively, “</w:t>
      </w:r>
      <w:r>
        <w:rPr>
          <w:rFonts w:ascii="Times New Roman" w:cs="Times New Roman" w:eastAsia="Times New Roman" w:hAnsi="Times New Roman"/>
          <w:sz w:val="18"/>
          <w:szCs w:val="18"/>
          <w:b w:val="1"/>
          <w:bCs w:val="1"/>
          <w:color w:val="auto"/>
        </w:rPr>
        <w:t>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Development Common Stock</w:t>
      </w:r>
      <w:r>
        <w:rPr>
          <w:rFonts w:ascii="Times New Roman" w:cs="Times New Roman" w:eastAsia="Times New Roman" w:hAnsi="Times New Roman"/>
          <w:sz w:val="18"/>
          <w:szCs w:val="18"/>
          <w:color w:val="auto"/>
        </w:rPr>
        <w:t>”) as of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as a single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Public Shares then held by them for cash equal to their pro rata share of the aggregate amount on deposit (as of two business days prior to the closing of the Business Combination)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8"/>
          <w:szCs w:val="18"/>
          <w:b w:val="1"/>
          <w:bCs w:val="1"/>
          <w:color w:val="auto"/>
        </w:rPr>
        <w:t>Public stockholders may elect to redeem their shares even if they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A public stockholder, together with any of his, her or its affiliates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with whom it is acting in concert or as a “group” (as defined under Section 13 of the Securities Exchange Act of 1934, as amended),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 owned by them in favor of the Business Combination Proposal, which represent approximately 22.3% of the voting power of FS Development.</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FS Development is providing the accompanying proxy statement/prospectus and accompanying proxy card to FS Development stockholders in connection with the solicitation of proxies to be voted at the Special Meeting and at any adjournments or postponements of the Special Meeting. </w:t>
      </w:r>
      <w:r>
        <w:rPr>
          <w:rFonts w:ascii="Times New Roman" w:cs="Times New Roman" w:eastAsia="Times New Roman" w:hAnsi="Times New Roman"/>
          <w:sz w:val="18"/>
          <w:szCs w:val="18"/>
          <w:b w:val="1"/>
          <w:bCs w:val="1"/>
          <w:color w:val="auto"/>
        </w:rPr>
        <w:t>Whether or not you plan to attend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Special Meeting, FS Development urges you to read the accompanying proxy statement/prospectus (and any documents incorporated into the accompanying proxy statement/prospectus by reference) carefully. Please pay particular attention to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FS Development has unanimously approved and adopted the Merger Agreement and the transactions contemplated therein and has determined that each of the Nasdaq Stock Issuance Proposal, Charter Amendment Proposal, Advisory Charter Proposals, Incentive Plan Proposal, and Adjournment Proposal are in the best interests of FS Development and its stockholders and unanimously recommends that you vote or give instruction to vote “FOR” each of those Proposals. When you consider the board of directors’ recommendation of these Proposals, you should keep in mind that the directors and officers of FS Development have interests in the Business Combination that may conflict with your interests as a stockholder. See the section titled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Combination Proposal — Interests of FS Development’s Directors and Officers and Others in the Business Combination</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redemption of Public Shares by FS Development public stockholders will decrease the amount in the Trust Account, which held total assets of approximately $120,751,489 as of September 30, 2020. FS Development will not redeem Public Shares in an amount that would cause it to have net tangible assets of less than $5,000,001.</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Your vote is very important. If you are a registered stockholder, please vote your shares as soon as possible to ensure that your vote is counted, regardless of whether you expect to attend the Special Meeting virtually,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Stock Issuance Proposal, the Charter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and the Incentive Plan Proposal are approved at the Special Meeting. Approval of the Nasdaq Stock Issuance Proposal, the Charter Amendment Proposal, and the Incentive Plan Proposal are conditioned on the approval of the Business Combination Proposal and satisfaction of other closing conditions. The Adjournment Proposal is not conditioned on the approval of any other Proposal set forth in the accompanying proxy statement/prospectus.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DEMAND THAT FS DEVELOPMENT REDEEM YOUR SHARES FOR A PRO RATA PORTION OF THE FUNDS HELD IN THE TRUST ACCOUNT AND TENDER YOUR SHARES TO FS DEVELOPMENT’S TRANSFER AGENT AT LEAST TWO BUSINESS DAYS PRIOR TO THE VOTE AT THE SPECIAL MEETING. YOU MAY TENDER YOUR SHARES BY EITHER DELIVERING YOUR SHARE CERTIFICATE TO THE TRANSFER AGENT OR BY DELIVERING YOUR SHARES ELECTRONICALLY TO THE TRANSFER AGENT USING DEPOSITORY TRUST COMPANY’S DEPOSIT WITHDRAWAL AT CUSTODIAN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1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behalf of FS Development’s board of directors, I would like to thank you for your support and look forward to the successful completion of the Business Combination.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2272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3"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accompanying proxy statement/prospectus is dated January 19, 2021 and is first being mailed to the stockholders of FS Development on or about January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FS DEVELOPMENT CORP.</w:t>
      </w:r>
    </w:p>
    <w:p>
      <w:pPr>
        <w:spacing w:after="0" w:line="1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To Be Held On February 3, 2021</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 Development Corp., a Delaware corporation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will be held on February 3, 2021, at 10:00 a.m., Eastern time, via live webcast at the following address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 You will need the 12-digit meeting control number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 You are cordially invited to attend the Special Meeting for the following purposes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20" w:right="459" w:hanging="434"/>
        <w:spacing w:after="0" w:line="254" w:lineRule="auto"/>
        <w:tabs>
          <w:tab w:leader="none" w:pos="14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dated as of October 15, 2020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FS Development, FSG Merger Sub,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and Shareholder Representative Services LLC pursuant to which Merger Sub will merge with and into Gemini,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and (b) approve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Business Combination, FS Development will be renamed “Gemini Therapeutics, Inc.”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8"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8"/>
          <w:szCs w:val="18"/>
          <w:color w:val="auto"/>
        </w:rPr>
        <w:t>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320" w:right="459" w:hanging="434"/>
        <w:spacing w:after="0" w:line="253" w:lineRule="auto"/>
        <w:tabs>
          <w:tab w:leader="none" w:pos="1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Gemini; Merger Consideration</w:t>
      </w:r>
      <w:r>
        <w:rPr>
          <w:rFonts w:ascii="Times New Roman" w:cs="Times New Roman" w:eastAsia="Times New Roman" w:hAnsi="Times New Roman"/>
          <w:sz w:val="18"/>
          <w:szCs w:val="18"/>
          <w:color w:val="auto"/>
        </w:rPr>
        <w:t>” and (b) the issuance and sale of 9,506,000 newly issued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 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FS Development Class A Common Stock to 250,000,000 shares;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2021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Only holders of record of FS Development Common Stock at the close of business on January 15, 2021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the Special Meeting and to vote at the Special Meeting and any adjournments or postponements of the Special Meeting. A complete list of FS Development stockholders of record entitled to vote at the Special Meeting will be available for ten days before the Special Meeting at the principal executive offices of FS Development for inspection by stockholders during ordinary business hours for any purpose germane to the Special Meeting.</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shares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then held by them for cash equal to their pro rata share of the aggregate amount on deposit (as of two business days prior to the Closing)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8"/>
          <w:szCs w:val="18"/>
          <w:b w:val="1"/>
          <w:bCs w:val="1"/>
          <w:color w:val="auto"/>
        </w:rPr>
        <w:t>Public stockholders may elect to redeem their shares even if they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for the Business Combination Proposal</w:t>
      </w:r>
      <w:r>
        <w:rPr>
          <w:rFonts w:ascii="Times New Roman" w:cs="Times New Roman" w:eastAsia="Times New Roman" w:hAnsi="Times New Roman"/>
          <w:sz w:val="18"/>
          <w:szCs w:val="18"/>
          <w:color w:val="auto"/>
        </w:rPr>
        <w:t>. A public stockholder, together with any of his, her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any other person with whom it is acting in concert or as a “group” (as defined under Section 13 of the Exchange Act), will be restricted from redeeming in the aggregate his, her or its shares or, if part of such a group, the group’s shares, with respect to 20% or more of the shares of FS Development Class A Common Stock issued in the FS Development IPO. The Sponsor and FS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250825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 owned by them in favor of the Business Combination Proposal, which represent approximately 22.3% of the voting power of FS Development.</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as of the Record Date for the Special Meeting, voting 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approximately $120,751,489 in the Trust Account. Each redemption of Public Shares by its public stockholders will decrease the amount in the Trust Account. FS Development will not redeem Public Shares in an amount that would cause it to have net tangible assets of less than $5,000,001.</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(415) 877-4887.</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19, 2021</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Jim Tananbaum</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16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ABOUT THIS PROXY STATEMENT/PROSPECTUS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FREQUENTLY USED TERMS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QUESTIONS AND ANSWERS ABOUT THE PROPOSALS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SUMMARY OF THE PROXY STATEMENT/PROSPECTUS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SUMMARY FINANCIAL AND OTHER DATA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SUMMARY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62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SUMMARY UNAUDITED PRO FORMA CONDENSED COMBINED FINANCIAL</w:t>
              </w:r>
            </w:hyperlink>
          </w:p>
        </w:tc>
        <w:tc>
          <w:tcPr>
            <w:tcW w:w="102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INFORMATION</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COMPARATIVE SHARE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RISK FACTORS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CAUTIONARY NOTE REGARDING FORWARD-LOOKING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SPECIAL MEETING OF FS DEVELOPMENT STOCKHOLDERS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THE BUSINESS COMBINATION PROPOSAL</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THE NASDAQ STOCK ISSUANCE PROPOSAL</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INFORMATION ABOUT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EXECUTIVE OFFICERS AND DIRECTORS OF FS DEVELOPMENT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SELECTED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5"/>
        </w:trPr>
        <w:tc>
          <w:tcPr>
            <w:tcW w:w="72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MANAGEMENT’S DISCUSSION AND ANALYSIS OF RESULTS OF FINANCIAL</w:t>
              </w:r>
            </w:hyperlink>
          </w:p>
        </w:tc>
        <w:tc>
          <w:tcPr>
            <w:tcW w:w="820" w:type="dxa"/>
            <w:vAlign w:val="bottom"/>
            <w:shd w:val="clear" w:color="auto" w:fill="CCEEFF"/>
          </w:tcPr>
          <w:p>
            <w:pPr>
              <w:spacing w:after="0"/>
              <w:rPr>
                <w:sz w:val="15"/>
                <w:szCs w:val="15"/>
                <w:color w:val="auto"/>
              </w:rPr>
            </w:pPr>
          </w:p>
        </w:tc>
      </w:tr>
      <w:tr>
        <w:trPr>
          <w:trHeight w:val="257"/>
        </w:trPr>
        <w:tc>
          <w:tcPr>
            <w:tcW w:w="180" w:type="dxa"/>
            <w:vAlign w:val="bottom"/>
            <w:tcBorders>
              <w:top w:val="single" w:sz="8" w:color="0000EE"/>
              <w:bottom w:val="single" w:sz="8" w:color="CCEEFF"/>
            </w:tcBorders>
            <w:shd w:val="clear" w:color="auto" w:fill="CCEEFF"/>
          </w:tcPr>
          <w:p>
            <w:pPr>
              <w:spacing w:after="0"/>
              <w:rPr>
                <w:sz w:val="22"/>
                <w:szCs w:val="22"/>
                <w:color w:val="auto"/>
              </w:rPr>
            </w:pPr>
          </w:p>
        </w:tc>
        <w:tc>
          <w:tcPr>
            <w:tcW w:w="6100" w:type="dxa"/>
            <w:vAlign w:val="bottom"/>
            <w:tcBorders>
              <w:top w:val="single" w:sz="8" w:color="0000EE"/>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CONDITION AND RESULTS OF OPERATIONS OF FS DEVELOPMENT</w:t>
              </w:r>
            </w:hyperlink>
          </w:p>
        </w:tc>
        <w:tc>
          <w:tcPr>
            <w:tcW w:w="10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INFORMATION ABOUT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77">
              <w:r>
                <w:rPr>
                  <w:rFonts w:ascii="Times New Roman" w:cs="Times New Roman" w:eastAsia="Times New Roman" w:hAnsi="Times New Roman"/>
                  <w:sz w:val="18"/>
                  <w:szCs w:val="18"/>
                  <w:u w:val="single" w:color="auto"/>
                  <w:color w:val="0000EE"/>
                </w:rPr>
                <w:t>EXECUTIVE OFFICERS AND DIRECTORS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EXECUTIVE COMPENSATION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MANAGEMENT AFTER THE BUSINESS COMBINATION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SELECTED CONSOLIDATED FINANCIAL AND OTHER DATA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91">
              <w:r>
                <w:rPr>
                  <w:rFonts w:ascii="Times New Roman" w:cs="Times New Roman" w:eastAsia="Times New Roman" w:hAnsi="Times New Roman"/>
                  <w:sz w:val="18"/>
                  <w:szCs w:val="18"/>
                  <w:color w:val="0000EE"/>
                  <w:w w:val="99"/>
                </w:rPr>
                <w:t>MANAGEMENT’S DISCUSSION AND ANALYSIS OF FINANCIAL CONDITION AND</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191">
              <w:r>
                <w:rPr>
                  <w:rFonts w:ascii="Times New Roman" w:cs="Times New Roman" w:eastAsia="Times New Roman" w:hAnsi="Times New Roman"/>
                  <w:sz w:val="18"/>
                  <w:szCs w:val="18"/>
                  <w:color w:val="0000EE"/>
                </w:rPr>
                <w:t>RESULTS OF OPERATIONS OF GEMINI</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DESCRIPTION OF SECURITIES AFTER THE BUSINESS COMBINATION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198</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SHARES ELIGIBLE FOR FUTURE SALE</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COMPARISON OF STOCKHOLDER RIGHTS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TICKER SYMBOL, MARKET PRICE AND DIVIDEND POLICY</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CERTAIN RELATIONSHIPS AND RELATED PERSON TRANSACTIONS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ADDITIONAL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WHERE YOU CAN FIND MORE INFORMATION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INDEX TO FINANCIAL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A </w:t>
            </w:r>
            <w:hyperlink w:anchor="page296">
              <w:r>
                <w:rPr>
                  <w:rFonts w:ascii="Times New Roman" w:cs="Times New Roman" w:eastAsia="Times New Roman" w:hAnsi="Times New Roman"/>
                  <w:sz w:val="18"/>
                  <w:szCs w:val="18"/>
                  <w:u w:val="single" w:color="auto"/>
                  <w:color w:val="0000EE"/>
                </w:rPr>
                <w:t>Merger Agreement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B </w:t>
            </w:r>
            <w:hyperlink w:anchor="page485">
              <w:r>
                <w:rPr>
                  <w:rFonts w:ascii="Times New Roman" w:cs="Times New Roman" w:eastAsia="Times New Roman" w:hAnsi="Times New Roman"/>
                  <w:sz w:val="18"/>
                  <w:szCs w:val="18"/>
                  <w:u w:val="single" w:color="auto"/>
                  <w:color w:val="0000EE"/>
                </w:rPr>
                <w:t>Form of Amended and Restated Certificate of Incorporation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C </w:t>
            </w:r>
            <w:hyperlink w:anchor="page490">
              <w:r>
                <w:rPr>
                  <w:rFonts w:ascii="Times New Roman" w:cs="Times New Roman" w:eastAsia="Times New Roman" w:hAnsi="Times New Roman"/>
                  <w:sz w:val="18"/>
                  <w:szCs w:val="18"/>
                  <w:u w:val="single" w:color="auto"/>
                  <w:color w:val="0000EE"/>
                </w:rPr>
                <w:t>Form of Amended and Restated Bylaws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D </w:t>
            </w:r>
            <w:hyperlink w:anchor="page506">
              <w:r>
                <w:rPr>
                  <w:rFonts w:ascii="Times New Roman" w:cs="Times New Roman" w:eastAsia="Times New Roman" w:hAnsi="Times New Roman"/>
                  <w:sz w:val="18"/>
                  <w:szCs w:val="18"/>
                  <w:u w:val="single" w:color="auto"/>
                  <w:color w:val="0000EE"/>
                </w:rPr>
                <w:t>Gemini 2021 Stock Option and Incentive Plan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D-1</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E </w:t>
            </w:r>
            <w:hyperlink w:anchor="page518">
              <w:r>
                <w:rPr>
                  <w:rFonts w:ascii="Times New Roman" w:cs="Times New Roman" w:eastAsia="Times New Roman" w:hAnsi="Times New Roman"/>
                  <w:sz w:val="18"/>
                  <w:szCs w:val="18"/>
                  <w:u w:val="single" w:color="auto"/>
                  <w:color w:val="0000EE"/>
                </w:rPr>
                <w:t>Subscription Agreement</w:t>
              </w:r>
            </w:hyperlink>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E-1</w:t>
            </w:r>
          </w:p>
        </w:tc>
      </w:tr>
      <w:tr>
        <w:trPr>
          <w:trHeight w:val="40"/>
        </w:trPr>
        <w:tc>
          <w:tcPr>
            <w:tcW w:w="1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 FS Development (File No. 333-249785)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constitutes a prospectus of FS Development under Section 5 of the Securities Act, with respect to the shares of FS Development Class A Common Stock to be issued to Gemini Equityholders if the Business Combination described below is consummated. This document also constitutes a notice of meeting and a proxy statement under Section 14(a) of the Exchange Act with respect to the Special Meeting, at which FS Development stockholders will be asked to consider and vote upon a proposal to approve the Business Combination by the approval and adoption of the Merger Agreement, among other matters.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FS Development Stockholders nor the issuance by FS Development of its FS Development Class A Common Stock in connection with the Business Combination will create any implication to the contrary.</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Information contained in this proxy statement/prospectus regarding FS Development has been provided by FS Development and information contained in this proxy statement/prospectus regarding Gemini has been provided by Gemini.</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FS Development files reports, proxy statements/prospectuses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us by telephone or in writing: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(415) 877-4887</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You may also obtain these documents by requesting them in writing or by telephone from our proxy solicitor at: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FSDC.info@investor.morrowsodali.com</w:t>
      </w:r>
    </w:p>
    <w:p>
      <w:pPr>
        <w:spacing w:after="0" w:line="13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 January 27, 2021 to receive them before the Special Meeting. If you request any documents from us, we will mail them to you by first class mail, or another equally prompt means.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FS Development’s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“FS Development” refer to FS Development Corp.</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2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Bylaws</w:t>
      </w:r>
      <w:r>
        <w:rPr>
          <w:rFonts w:ascii="Times New Roman" w:cs="Times New Roman" w:eastAsia="Times New Roman" w:hAnsi="Times New Roman"/>
          <w:sz w:val="18"/>
          <w:szCs w:val="18"/>
          <w:color w:val="auto"/>
        </w:rPr>
        <w:t xml:space="preserve">” means the Amended and Restated Bylaws of Gemini, a Form of which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FS Development.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business combination pursuant to the Merger Agreement.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3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Payment Shares</w:t>
      </w:r>
      <w:r>
        <w:rPr>
          <w:rFonts w:ascii="Times New Roman" w:cs="Times New Roman" w:eastAsia="Times New Roman" w:hAnsi="Times New Roman"/>
          <w:sz w:val="18"/>
          <w:szCs w:val="18"/>
          <w:color w:val="auto"/>
        </w:rPr>
        <w:t>” means an aggregate number of shares of FS Development Class A Common Stock equal to the difference between (a) 21,500,000 shares of FS Development Class A Common Stock; minus (b) a number of shares of FS Development Class A Common Stock equal to one half (1/2) of the initial unallocated shares of FS Development Class A Common Stock reserved for issuance under the Equity Incentive Plan (which shall not exceed two and one-half percent (2.5%) of the issued and outstanding shares of FS Development Class A Common Stock as of immediately following the Effective Time as set forth in the capitalization schedule delivered prior to the Closing pursuant to the Merger Agreement (and approved by FS Development, such approval not to be unreasonably withheld, conditioned or delayed)).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means FS Development after the event in which Gemini becomes a wholly-owned subsidiary of FS Development.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Combined Entity following the Closing.</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Series A Preferred Stock of Gemini.</w:t>
      </w:r>
    </w:p>
    <w:p>
      <w:pPr>
        <w:spacing w:after="0" w:line="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means those certain Convertible Promissory Notes of Gemini in the aggregate principal amount of $14,000,000, issued on August 21, 2020 to certain Gemini Equityholders pursuant to the Convertible Promissory Note Purchase Agreement dated August 21, 2020 among Gemini and such Gemini Equityholders.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By-laws</w:t>
      </w:r>
      <w:r>
        <w:rPr>
          <w:rFonts w:ascii="Times New Roman" w:cs="Times New Roman" w:eastAsia="Times New Roman" w:hAnsi="Times New Roman"/>
          <w:sz w:val="18"/>
          <w:szCs w:val="18"/>
          <w:color w:val="auto"/>
        </w:rPr>
        <w:t>” means FS Development’s by-laws as currently in effect.</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means FS Development’s current amended and restated certificate of incorporation as filed with the Secretary of State of the State of Delaware on August 11, 2020.</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at which the Business Combination became effective pursuant to the terms of the Merger Agreement.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2021 Stock Option and Incentive Plan.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Act of 1934, as amended from time to time.</w:t>
      </w:r>
    </w:p>
    <w:p>
      <w:pPr>
        <w:spacing w:after="0" w:line="13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Shares</w:t>
      </w:r>
      <w:r>
        <w:rPr>
          <w:rFonts w:ascii="Times New Roman" w:cs="Times New Roman" w:eastAsia="Times New Roman" w:hAnsi="Times New Roman"/>
          <w:sz w:val="18"/>
          <w:szCs w:val="18"/>
          <w:color w:val="auto"/>
        </w:rPr>
        <w:t>” means the outstanding shares of our Class B Common Stock held by the Sponsor, our directors and affiliates of our management team since June 30, 2020.</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means FS Development Corp.</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FS Development.</w:t>
      </w:r>
    </w:p>
    <w:p>
      <w:pPr>
        <w:spacing w:after="0" w:line="6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B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“Class B Common Stock”</w:t>
      </w:r>
      <w:r>
        <w:rPr>
          <w:rFonts w:ascii="Times New Roman" w:cs="Times New Roman" w:eastAsia="Times New Roman" w:hAnsi="Times New Roman"/>
          <w:sz w:val="18"/>
          <w:szCs w:val="18"/>
          <w:color w:val="auto"/>
        </w:rPr>
        <w:t xml:space="preserve"> means the shares of Class B Common Stock, par value $0.0001 per share, of FS Development.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Common Stock</w:t>
      </w:r>
      <w:r>
        <w:rPr>
          <w:rFonts w:ascii="Times New Roman" w:cs="Times New Roman" w:eastAsia="Times New Roman" w:hAnsi="Times New Roman"/>
          <w:sz w:val="18"/>
          <w:szCs w:val="18"/>
          <w:color w:val="auto"/>
        </w:rPr>
        <w:t>” means, collectively, the FS Development Class A Common Stock and FS Development Class B Common Stock.</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means FS Development’s initial public offering.</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Support Agreement</w:t>
      </w:r>
      <w:r>
        <w:rPr>
          <w:rFonts w:ascii="Times New Roman" w:cs="Times New Roman" w:eastAsia="Times New Roman" w:hAnsi="Times New Roman"/>
          <w:sz w:val="18"/>
          <w:szCs w:val="18"/>
          <w:color w:val="auto"/>
        </w:rPr>
        <w:t>” means the FS Development Support Agreement, dated as of October 15, 2020, by and among FS Development, Gemini, the Sponsor and certain supporting stockholders of FS Development.</w:t>
      </w:r>
    </w:p>
    <w:p>
      <w:pPr>
        <w:spacing w:after="0" w:line="90" w:lineRule="exact"/>
        <w:rPr>
          <w:sz w:val="20"/>
          <w:szCs w:val="20"/>
          <w:color w:val="auto"/>
        </w:rPr>
      </w:pPr>
    </w:p>
    <w:p>
      <w:pPr>
        <w:jc w:val="both"/>
        <w:ind w:left="460" w:right="47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Fully Diluted Company Shares</w:t>
      </w:r>
      <w:r>
        <w:rPr>
          <w:rFonts w:ascii="Times New Roman" w:cs="Times New Roman" w:eastAsia="Times New Roman" w:hAnsi="Times New Roman"/>
          <w:sz w:val="17"/>
          <w:szCs w:val="17"/>
          <w:color w:val="auto"/>
        </w:rPr>
        <w:t>” means the sum, without duplication, of (a) shares of common stock of Gemini (including restricted stock) that are issued and outstanding immediately prior to the Effective Time; plus</w:t>
      </w:r>
    </w:p>
    <w:p>
      <w:pPr>
        <w:spacing w:after="0" w:line="1" w:lineRule="exact"/>
        <w:rPr>
          <w:sz w:val="20"/>
          <w:szCs w:val="20"/>
          <w:color w:val="auto"/>
        </w:rPr>
      </w:pPr>
    </w:p>
    <w:p>
      <w:pPr>
        <w:jc w:val="both"/>
        <w:ind w:left="460" w:right="459" w:hanging="6"/>
        <w:spacing w:after="0" w:line="250" w:lineRule="auto"/>
        <w:tabs>
          <w:tab w:leader="none" w:pos="7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of Gemini (on an as converted to common stock basis) that are issued and outstanding immediately prior to the Effective Time; plus (c) the aggregate number of shares of common stock of Gemini issuable upon exercise of the Company Warrant as of immediately prior to the Effective Time; plus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of Gemini issuable upon exercise of options to purchase common stock of Gemini that are vested as of immediately prior to the Effective Time; plus (e) the aggregate number of shares of common stock of Gemini issuable upon exercise of options to purchase common stock of Gemini that are unvested as of immediately prior to the Effective Time; plus (f) the aggregate number of shares of Gemini Series B Preferred Stock (on an as converted to common stock basis) issuable upon the conversion of the Convertible Notes as of immediately prior to the Effective Time.</w:t>
      </w:r>
    </w:p>
    <w:p>
      <w:pPr>
        <w:spacing w:after="0" w:line="11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means Gemini Therapeutics, Inc., a Delaware corporation, which shall refer to the Combined Entity following the Business Combination, as the context requires.</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means the holders of equity interests in Gemini as of the time immediately before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means, collectively, all shares of Gemini’s Series B Preferred Stock, Series A Preferred Stock and Common Stock.</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Merger Agreement, dated as of October 15, 2020, by and among FS Development, Merger Sub, Gemini and the Shareholders Representative.</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Closing Payment Shares to be issued as the consideration for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FSG Merger Sub, Inc., a Delaware corporation and a wholly-owned subsidiary of FS Development.</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refers to the sale of 9,506,000 newly issued shares of FS Development Class A Common Stock in a private placement concurrent with the Business Combination.</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Portion of the Merger Consideration</w:t>
      </w:r>
      <w:r>
        <w:rPr>
          <w:rFonts w:ascii="Times New Roman" w:cs="Times New Roman" w:eastAsia="Times New Roman" w:hAnsi="Times New Roman"/>
          <w:sz w:val="18"/>
          <w:szCs w:val="18"/>
          <w:color w:val="auto"/>
        </w:rPr>
        <w:t>” means, for each share of Gemini Stock owned by a Gemini Equityholder, the quotient of the Closing Payment Shares divided by the Fully Diluted Company Shares.</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means any of the proposals being presented to the FS Development stockholders at the Special Meeting.</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xml:space="preserve">” means the Amended and Restated Certificate of Incorporation of Gemini, a Form of which is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FS Development Class A Common Stock issued in the FS Development IPO.</w:t>
      </w:r>
    </w:p>
    <w:p>
      <w:pPr>
        <w:spacing w:after="0" w:line="144"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the right of the holders of FS Development Class A Common Stock to have their shares redeemed in accordance with the procedures set forth in this proxy statement/prospectus.</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to be entered into in connection with the Closing with certain Gemini Equityholders.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Exchange Commission or any successor organization.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means Shareholder Representative Services LLC.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xml:space="preserve">” means the special meeting of the stockholders of FS Development, to be held on February 3, 2021, at 10:00 a.m., Eastern time, via live webcast at the following address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FS Development, which holds the net proceeds of the FS Development IPO, together with interest earned thereon, less amounts released to pay franchise and income tax obligations.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briefly address some commonly asked questions about the Business Combination and the Special Meeting of FS Development stockholders. The following questions and answers do not include all the information that is important to stockholders of FS Development. We urge the stockholders of FS Development to read carefully this entire proxy statement/prospectus, including the annexes and other documents referred to herein.</w:t>
      </w:r>
    </w:p>
    <w:p>
      <w:pPr>
        <w:spacing w:after="0" w:line="100" w:lineRule="exact"/>
        <w:rPr>
          <w:sz w:val="20"/>
          <w:szCs w:val="20"/>
          <w:color w:val="auto"/>
        </w:rPr>
      </w:pPr>
    </w:p>
    <w:p>
      <w:pPr>
        <w:ind w:left="860" w:hanging="406"/>
        <w:spacing w:after="0"/>
        <w:tabs>
          <w:tab w:leader="none" w:pos="8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jc w:val="both"/>
        <w:ind w:left="880" w:right="459" w:hanging="426"/>
        <w:spacing w:after="0" w:line="255" w:lineRule="auto"/>
        <w:tabs>
          <w:tab w:leader="none" w:pos="8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being asked to consider and vote upon a proposal to approve and adopt the Merger Agreement, among other proposals. FS Development has entered into the Merger Agreement as a result of which Merger Sub, a wholly-owned subsidiary of FS Development, shall merge with and into Gemini with Gemini surviving such merger, and as a result of which Gemini will become a wholly-owned subsidiary of FS Development. We refer to this merger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FS Development urges its stockholders to read the Merger Agreement in its entirety, which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880" w:right="47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VOTE IS IMPORTANT. YOU ARE ENCOURAGED TO SUBMIT YOUR PROXY AS SOON AS POSSIBLE AFTER CAREFULLY REVIEWING THIS PROXY STATEMENT/PROSPECTUS AND ITS ANNEXES AND CAREFULLY CONSIDERING EACH OF THE PROPOSALS BEING PRESENTED AT THE MEETING.</w:t>
      </w:r>
    </w:p>
    <w:p>
      <w:pPr>
        <w:spacing w:after="0" w:line="95" w:lineRule="exact"/>
        <w:rPr>
          <w:sz w:val="20"/>
          <w:szCs w:val="20"/>
          <w:color w:val="auto"/>
        </w:rPr>
      </w:pPr>
    </w:p>
    <w:p>
      <w:pPr>
        <w:ind w:left="880" w:hanging="426"/>
        <w:spacing w:after="0"/>
        <w:tabs>
          <w:tab w:leader="none" w:pos="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proposing the Business Combination?</w:t>
      </w:r>
    </w:p>
    <w:p>
      <w:pPr>
        <w:spacing w:after="0" w:line="135" w:lineRule="exact"/>
        <w:rPr>
          <w:sz w:val="20"/>
          <w:szCs w:val="20"/>
          <w:color w:val="auto"/>
        </w:rPr>
      </w:pPr>
    </w:p>
    <w:p>
      <w:pPr>
        <w:jc w:val="both"/>
        <w:ind w:left="880" w:right="479" w:hanging="426"/>
        <w:spacing w:after="0" w:line="266" w:lineRule="auto"/>
        <w:tabs>
          <w:tab w:leader="none" w:pos="10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other similar business combination with one or more operating businesses.</w:t>
      </w:r>
    </w:p>
    <w:p>
      <w:pPr>
        <w:spacing w:after="0" w:line="8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Based on its due diligence investigations of Gemini and the industries in which it operates, including the financial and other information provided by Gemini in the course of FS Development’s due diligence investigations, the Board believes that the Business Combination with Gemini is in the best interests of FS Development and its stockholders.</w:t>
      </w:r>
    </w:p>
    <w:p>
      <w:pPr>
        <w:spacing w:after="0" w:line="97"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Proposal — Board’s Reasons for Approval of the Business Combination</w:t>
      </w:r>
      <w:r>
        <w:rPr>
          <w:rFonts w:ascii="Times New Roman" w:cs="Times New Roman" w:eastAsia="Times New Roman" w:hAnsi="Times New Roman"/>
          <w:sz w:val="18"/>
          <w:szCs w:val="18"/>
          <w:color w:val="auto"/>
        </w:rPr>
        <w:t>” for a discussion of the factors considered by the Board in making its decision.</w:t>
      </w:r>
    </w:p>
    <w:p>
      <w:pPr>
        <w:spacing w:after="0" w:line="62" w:lineRule="exact"/>
        <w:rPr>
          <w:sz w:val="20"/>
          <w:szCs w:val="20"/>
          <w:color w:val="auto"/>
        </w:rPr>
      </w:pPr>
    </w:p>
    <w:p>
      <w:pPr>
        <w:ind w:left="880" w:hanging="426"/>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the Special Meeting?</w:t>
      </w:r>
    </w:p>
    <w:p>
      <w:pPr>
        <w:spacing w:after="0" w:line="135" w:lineRule="exact"/>
        <w:rPr>
          <w:sz w:val="20"/>
          <w:szCs w:val="20"/>
          <w:color w:val="auto"/>
        </w:rPr>
      </w:pPr>
    </w:p>
    <w:p>
      <w:pPr>
        <w:ind w:left="880" w:right="479" w:hanging="426"/>
        <w:spacing w:after="0" w:line="282" w:lineRule="auto"/>
        <w:tabs>
          <w:tab w:leader="none" w:pos="8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proposals upon which FS Development stockholders will be asked to vote at the Special Meeting:</w:t>
      </w:r>
    </w:p>
    <w:p>
      <w:pPr>
        <w:spacing w:after="0" w:line="78"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4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Business Combination Proposa</w:t>
      </w:r>
      <w:r>
        <w:rPr>
          <w:rFonts w:ascii="Times New Roman" w:cs="Times New Roman" w:eastAsia="Times New Roman" w:hAnsi="Times New Roman"/>
          <w:sz w:val="18"/>
          <w:szCs w:val="18"/>
          <w:color w:val="auto"/>
        </w:rPr>
        <w:t>l — To adopt and approve the Merger Agreement and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Combination.</w:t>
      </w:r>
    </w:p>
    <w:p>
      <w:pPr>
        <w:spacing w:after="0" w:line="63"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Nasdaq Stock Issuance Proposal </w:t>
      </w:r>
      <w:r>
        <w:rPr>
          <w:rFonts w:ascii="Times New Roman" w:cs="Times New Roman" w:eastAsia="Times New Roman" w:hAnsi="Times New Roman"/>
          <w:sz w:val="18"/>
          <w:szCs w:val="18"/>
          <w:color w:val="auto"/>
        </w:rPr>
        <w:t>— To approve, assuming the Business Combination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Class A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Acquisition of Gemini; Merger Consideration</w:t>
      </w:r>
      <w:r>
        <w:rPr>
          <w:rFonts w:ascii="Times New Roman" w:cs="Times New Roman" w:eastAsia="Times New Roman" w:hAnsi="Times New Roman"/>
          <w:sz w:val="18"/>
          <w:szCs w:val="18"/>
          <w:color w:val="auto"/>
        </w:rPr>
        <w:t>” and (b) the issuance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9,506,000 newly issued shares of Class A Common Stock in the PIPE Investment, to the extent such issuances would require a stockholder vote under the applicable Nasdaq Listing Rule.</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Charter Amendment Proposal </w:t>
      </w:r>
      <w:r>
        <w:rPr>
          <w:rFonts w:ascii="Times New Roman" w:cs="Times New Roman" w:eastAsia="Times New Roman" w:hAnsi="Times New Roman"/>
          <w:sz w:val="18"/>
          <w:szCs w:val="18"/>
          <w:color w:val="auto"/>
        </w:rPr>
        <w:t>— To approve, assuming the Business Combination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and which Proposed Charter will be in effect upon the Closing.</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4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Advisory Charter Proposals </w:t>
      </w:r>
      <w:r>
        <w:rPr>
          <w:rFonts w:ascii="Times New Roman" w:cs="Times New Roman" w:eastAsia="Times New Roman" w:hAnsi="Times New Roman"/>
          <w:sz w:val="18"/>
          <w:szCs w:val="18"/>
          <w:color w:val="auto"/>
        </w:rPr>
        <w:t>— To approve, on a non-binding advisory basis,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differences between the Proposed Charter and the Current Charter, which are being presented in accordance with the requirements of the SEC as five separate sub-proposals:</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7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Class A Common Stock to 250,000,000 shares;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266" w:lineRule="auto"/>
        <w:tabs>
          <w:tab w:leader="none" w:pos="1749"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0" w:lineRule="auto"/>
        <w:tabs>
          <w:tab w:leader="none" w:pos="187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w:t>
      </w:r>
    </w:p>
    <w:p>
      <w:pPr>
        <w:spacing w:after="0" w:line="112"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 Proposal — to approve, assuming the Business Combination Proposal is approved and adopted, the 2021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this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as of the date immediately preceding the date of the Closing.</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or the Incentive Plan Proposal, or we determine that one or more of the closing conditions under the Business Combination is not satisfied or waived.</w:t>
      </w:r>
    </w:p>
    <w:p>
      <w:pPr>
        <w:spacing w:after="0" w:line="102"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62" w:lineRule="exact"/>
        <w:rPr>
          <w:sz w:val="20"/>
          <w:szCs w:val="20"/>
          <w:color w:val="auto"/>
        </w:rPr>
      </w:pPr>
    </w:p>
    <w:p>
      <w:pPr>
        <w:jc w:val="both"/>
        <w:ind w:left="880" w:right="479" w:hanging="426"/>
        <w:spacing w:after="0" w:line="261"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FS Development Special Meeting will be held on February 3, 2021, at 10:00 a.m. Eastern time, via live webcast at the following address: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 or such other date, time and place to which such meeting may be adjourned or postponed, to consider and vote upon the proposals.</w:t>
      </w:r>
    </w:p>
    <w:p>
      <w:pPr>
        <w:spacing w:after="0" w:line="108" w:lineRule="exact"/>
        <w:rPr>
          <w:sz w:val="20"/>
          <w:szCs w:val="20"/>
          <w:color w:val="auto"/>
        </w:rPr>
      </w:pPr>
    </w:p>
    <w:p>
      <w:pPr>
        <w:ind w:left="880" w:hanging="426"/>
        <w:spacing w:after="0"/>
        <w:tabs>
          <w:tab w:leader="none" w:pos="8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3" w:lineRule="auto"/>
        <w:tabs>
          <w:tab w:leader="none" w:pos="9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cannot be completed unless the Merger Agreement is adopted by the FS Development stockholders holding a majority of the votes cast on such proposal and the other condition precedent proposals achieve the necessary vote outlined below. Only FS Development stockholders as of the close of business on January 15, 2021, the record date for the Special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vote at the Special Meeting. The Board unanimously recommends that such FS Development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Nasdaq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Charter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each of the Advisory Charter Proposals,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Incentive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 if presented.</w:t>
      </w:r>
    </w:p>
    <w:p>
      <w:pPr>
        <w:spacing w:after="0" w:line="123" w:lineRule="exact"/>
        <w:rPr>
          <w:sz w:val="20"/>
          <w:szCs w:val="20"/>
          <w:color w:val="auto"/>
        </w:rPr>
      </w:pPr>
    </w:p>
    <w:p>
      <w:pPr>
        <w:ind w:left="880" w:right="459" w:hanging="426"/>
        <w:spacing w:after="0" w:line="286" w:lineRule="auto"/>
        <w:tabs>
          <w:tab w:leader="none" w:pos="967"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64" w:lineRule="exact"/>
        <w:rPr>
          <w:sz w:val="20"/>
          <w:szCs w:val="20"/>
          <w:color w:val="auto"/>
        </w:rPr>
      </w:pPr>
    </w:p>
    <w:p>
      <w:pPr>
        <w:jc w:val="both"/>
        <w:ind w:left="880" w:right="459" w:hanging="426"/>
        <w:spacing w:after="0" w:line="254"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FS Development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bank, broker or other nominee to vote your shares in accordance with directions you provide.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hanging="426"/>
        <w:spacing w:after="0"/>
        <w:tabs>
          <w:tab w:leader="none" w:pos="8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5" w:lineRule="exact"/>
        <w:rPr>
          <w:sz w:val="20"/>
          <w:szCs w:val="20"/>
          <w:color w:val="auto"/>
        </w:rPr>
      </w:pPr>
    </w:p>
    <w:p>
      <w:pPr>
        <w:jc w:val="both"/>
        <w:ind w:left="880" w:right="459" w:hanging="426"/>
        <w:spacing w:after="0" w:line="258" w:lineRule="auto"/>
        <w:tabs>
          <w:tab w:leader="none" w:pos="8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02" w:lineRule="exact"/>
        <w:rPr>
          <w:rFonts w:ascii="Times New Roman" w:cs="Times New Roman" w:eastAsia="Times New Roman" w:hAnsi="Times New Roman"/>
          <w:sz w:val="18"/>
          <w:szCs w:val="18"/>
          <w:color w:val="auto"/>
        </w:rPr>
      </w:pPr>
    </w:p>
    <w:p>
      <w:pPr>
        <w:jc w:val="both"/>
        <w:ind w:left="88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or the Adjournment Proposal.</w:t>
      </w:r>
    </w:p>
    <w:p>
      <w:pPr>
        <w:spacing w:after="0" w:line="96"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3" w:lineRule="auto"/>
        <w:tabs>
          <w:tab w:leader="none" w:pos="8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Business Combination Proposal is approved, the Nasdaq Stock Issuance Proposal, the Charter Amendment Proposal, the Advisory Charter Proposals, and the Incentive Plan Proposal will not be presented to the stockholders of FS Development at the Special Meeting. The approval of the Business Combination Proposal, the Nasdaq Stock Issuance Proposal, the Charter Amendment Proposal, and the Incentive Plan Proposal are preconditions to the Closing. The Adjournment Proposal is not conditioned on the approval of any other proposal set forth in this proxy statement/prospectus. It is important for you to note that in the event that the Business Combination Proposal does not receive the requisite vote for approval, then we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its public stockholders.</w:t>
      </w:r>
    </w:p>
    <w:p>
      <w:pPr>
        <w:spacing w:after="0" w:line="107" w:lineRule="exact"/>
        <w:rPr>
          <w:sz w:val="20"/>
          <w:szCs w:val="20"/>
          <w:color w:val="auto"/>
        </w:rPr>
      </w:pPr>
    </w:p>
    <w:p>
      <w:pPr>
        <w:ind w:left="880" w:hanging="426"/>
        <w:spacing w:after="0"/>
        <w:tabs>
          <w:tab w:leader="none" w:pos="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4" w:lineRule="auto"/>
        <w:tabs>
          <w:tab w:leader="none" w:pos="10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Merger Agreement, including the approval by the stockholders of FS Development of the Business Combination Proposal, the Nasdaq Stock Issuance Proposal, the Charter Amendment Proposal, and the Incentive Plan Proposal. The Nasdaq Stock Issuance Proposal, the Charter Amendment Proposal, and the Incentive Plan Proposal are subject to and conditioned on the approval of the Business Combination Proposal. The Business Combination Proposal is subject to and conditioned on the approval of the Nasdaq Stock Issuance Proposal, the Charter Amendment Proposal, and the Incentive Plan Proposal. For a summary of the conditions that must be satisfied or waived prior to the Closing of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2" w:lineRule="auto"/>
        <w:tabs>
          <w:tab w:leader="none" w:pos="8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Business Combination, Merger Sub will merge with and into Gemini, with Gemini surviving such merger as the surviving entity. Upon the Closing, Gemini will become a wholly-owned subsidiary of FS Development. In connection with the Business Combination, the cash held in the Trust Account after giving effect to any redemption of shares by FS Development’s public stockholders and the proceeds from the PIPE Investment will be used to pay (i) FS Development stockholders who properly exercise their redemption rights, (ii) the underwriters their deferred underwriting commissions from the FS Development IPO, (iii) 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 (iv) unpaid franchise and income taxes of FS Development, and</w:t>
      </w:r>
    </w:p>
    <w:p>
      <w:pPr>
        <w:spacing w:after="0" w:line="5" w:lineRule="exact"/>
        <w:rPr>
          <w:rFonts w:ascii="Times New Roman" w:cs="Times New Roman" w:eastAsia="Times New Roman" w:hAnsi="Times New Roman"/>
          <w:sz w:val="18"/>
          <w:szCs w:val="18"/>
          <w:color w:val="auto"/>
        </w:rPr>
      </w:pPr>
    </w:p>
    <w:p>
      <w:pPr>
        <w:ind w:left="880" w:right="459" w:firstLine="6"/>
        <w:spacing w:after="0" w:line="260" w:lineRule="auto"/>
        <w:tabs>
          <w:tab w:leader="none" w:pos="11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right="479" w:hanging="426"/>
        <w:spacing w:after="0" w:line="286" w:lineRule="auto"/>
        <w:tabs>
          <w:tab w:leader="none" w:pos="913"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FS Development and Gemini Equityholders hold in the Combined Entity after the Closing</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880" w:right="459" w:hanging="426"/>
        <w:spacing w:after="0" w:line="253" w:lineRule="auto"/>
        <w:tabs>
          <w:tab w:leader="none" w:pos="11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(i) the redemption of any shares by FS Development’s public stockholders, or (ii) the issuance of any shares upon the Closing under the Equity Incentive Plan, which is intended to be adopted following the Closing. If the actual facts are different than these assumptions (which they are likely to be), the percentage ownership retained by FS Development’s existing stockholders in the Combined Entity will be different.</w:t>
      </w:r>
    </w:p>
    <w:p>
      <w:pPr>
        <w:spacing w:after="0" w:line="120" w:lineRule="exact"/>
        <w:rPr>
          <w:sz w:val="20"/>
          <w:szCs w:val="20"/>
          <w:color w:val="auto"/>
        </w:rPr>
      </w:pPr>
    </w:p>
    <w:p>
      <w:pPr>
        <w:ind w:left="880" w:right="459"/>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Summary 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89" w:lineRule="exact"/>
        <w:rPr>
          <w:sz w:val="20"/>
          <w:szCs w:val="20"/>
          <w:color w:val="auto"/>
        </w:rPr>
      </w:pPr>
    </w:p>
    <w:p>
      <w:pPr>
        <w:ind w:left="880" w:right="479" w:hanging="426"/>
        <w:spacing w:after="0" w:line="286" w:lineRule="auto"/>
        <w:tabs>
          <w:tab w:leader="none" w:pos="90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Board obtain a third-party valuation or fairness opinion in determining whether or not to proceed with the Business Combination?</w:t>
      </w:r>
    </w:p>
    <w:p>
      <w:pPr>
        <w:spacing w:after="0" w:line="77" w:lineRule="exact"/>
        <w:rPr>
          <w:rFonts w:ascii="Times New Roman" w:cs="Times New Roman" w:eastAsia="Times New Roman" w:hAnsi="Times New Roman"/>
          <w:sz w:val="18"/>
          <w:szCs w:val="18"/>
          <w:b w:val="1"/>
          <w:bCs w:val="1"/>
          <w:color w:val="auto"/>
        </w:rPr>
      </w:pPr>
    </w:p>
    <w:p>
      <w:pPr>
        <w:jc w:val="both"/>
        <w:ind w:left="880" w:right="459" w:hanging="426"/>
        <w:spacing w:after="0" w:line="254" w:lineRule="auto"/>
        <w:tabs>
          <w:tab w:leader="none" w:pos="8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did not obtain a third-party valuation or fairness opinion in connection with its determination to approve the Business Combination. The Board believes that based upon the financial skills and background of its directors, it was qualified to conclude that the Business Combination was fair from a financial perspective to its stockholders. The Board also determined, without seeking a valuation from a financial advisor, that Gemini’s fair market value was at least 80% of the assets held in the Trust Account (excluding the deferred underwriting commissions and taxes payable on the income earned on the Trust Account). Accordingly, investors will be relying on the judgment of the Board as described above in valuing Gemini’s business and assuming the risk that the Board may not have properly valued such business.</w:t>
      </w:r>
    </w:p>
    <w:p>
      <w:pPr>
        <w:spacing w:after="0" w:line="117" w:lineRule="exact"/>
        <w:rPr>
          <w:sz w:val="20"/>
          <w:szCs w:val="20"/>
          <w:color w:val="auto"/>
        </w:rPr>
      </w:pPr>
    </w:p>
    <w:p>
      <w:pPr>
        <w:ind w:left="880" w:right="479" w:hanging="426"/>
        <w:spacing w:after="0" w:line="286" w:lineRule="auto"/>
        <w:tabs>
          <w:tab w:leader="none" w:pos="10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providing stockholders with the opportunity to vote on the Business Combination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880" w:right="459" w:hanging="426"/>
        <w:spacing w:after="0" w:line="254" w:lineRule="auto"/>
        <w:tabs>
          <w:tab w:leader="none" w:pos="10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Charter, FS Development must provide all holders of its Public Shares with the opportunity to have their Public Shares redeemed upon the consummation of FS Development’s initial business combination either in conjunction with a tender offer or in conjunction with a stockholder vote. For business and other reasons, FS Development has elected to provide its stockholders with the opportunity to have their Public Shares redeemed in connection with a stockholder vote rather than a tender offer. Therefore, FS Development is seeking to obtain the approval of its stockholders of the Business Combination Proposal in order to allow its public stockholders to effectuate redemptions of their Public Shares in connection with the Closing.</w:t>
      </w:r>
    </w:p>
    <w:p>
      <w:pPr>
        <w:spacing w:after="0" w:line="107" w:lineRule="exact"/>
        <w:rPr>
          <w:sz w:val="20"/>
          <w:szCs w:val="20"/>
          <w:color w:val="auto"/>
        </w:rPr>
      </w:pPr>
    </w:p>
    <w:p>
      <w:pPr>
        <w:ind w:left="880" w:right="479" w:hanging="426"/>
        <w:spacing w:after="0" w:line="286" w:lineRule="auto"/>
        <w:tabs>
          <w:tab w:leader="none" w:pos="9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the Combined Company will have sufficient funds, together with the proceeds in its Trust Account, to fund the Business Combination?</w:t>
      </w:r>
    </w:p>
    <w:p>
      <w:pPr>
        <w:spacing w:after="0" w:line="91" w:lineRule="exact"/>
        <w:rPr>
          <w:sz w:val="20"/>
          <w:szCs w:val="20"/>
          <w:color w:val="auto"/>
        </w:rPr>
      </w:pPr>
    </w:p>
    <w:p>
      <w:pPr>
        <w:jc w:val="both"/>
        <w:ind w:left="880" w:right="459" w:hanging="426"/>
        <w:spacing w:after="0" w:line="258" w:lineRule="auto"/>
        <w:tabs>
          <w:tab w:leader="none" w:pos="9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October 15, 2020, FS Development entered into Subscription Agreements with the investors named therein providing for the issuance by FS Development of 9,506,000 shares of FS Development Class A Common Stock through the PIPE Investment (subject to certain conditions, including that all conditions precedent to the Closing will have been satisfied or waived (other than those conditions that are to be satisfied at the Closing) for gross proceeds to FS Development of $95,060,000.</w:t>
      </w:r>
    </w:p>
    <w:p>
      <w:pPr>
        <w:spacing w:after="0" w:line="11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To the extent not utilized to consummate the Business Combination, the proceeds from the Trust Account will be used for general corporate purposes, including, but not limited to, working capital for operations, capital expenditures and future acquisitions. FS Development will agree that it (or its successor) will file with the SEC a registration statement registering the resale of the shares purchased in the PIPE Investment and maintain an effective registration statement under the Securities Act covering such securities and certain other securities of the Combined Entity.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 at the Special Meeting?</w:t>
      </w:r>
    </w:p>
    <w:p>
      <w:pPr>
        <w:spacing w:after="0" w:line="162" w:lineRule="exact"/>
        <w:rPr>
          <w:sz w:val="20"/>
          <w:szCs w:val="20"/>
          <w:color w:val="auto"/>
        </w:rPr>
      </w:pPr>
    </w:p>
    <w:p>
      <w:pPr>
        <w:jc w:val="both"/>
        <w:ind w:left="880" w:right="459" w:hanging="426"/>
        <w:spacing w:after="0" w:line="266" w:lineRule="auto"/>
        <w:tabs>
          <w:tab w:leader="none" w:pos="10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entitled to one vote at the Special Meeting for each share of FS Development Common Stock held as of the Record Date. As of the close of business on the Record Date, there were 15,535,250 outstanding shares of FS Development Common Stock.</w:t>
      </w:r>
    </w:p>
    <w:p>
      <w:pPr>
        <w:spacing w:after="0" w:line="104" w:lineRule="exact"/>
        <w:rPr>
          <w:sz w:val="20"/>
          <w:szCs w:val="20"/>
          <w:color w:val="auto"/>
        </w:rPr>
      </w:pPr>
    </w:p>
    <w:p>
      <w:pPr>
        <w:ind w:left="880" w:right="479" w:hanging="426"/>
        <w:spacing w:after="0" w:line="286" w:lineRule="auto"/>
        <w:tabs>
          <w:tab w:leader="none" w:pos="10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FS Development, the Sponsor or FS Development’s directors, officers, advisors or their affiliates purchase shares in connection with the Business Combination?</w:t>
      </w:r>
    </w:p>
    <w:p>
      <w:pPr>
        <w:spacing w:after="0" w:line="78" w:lineRule="exact"/>
        <w:rPr>
          <w:sz w:val="20"/>
          <w:szCs w:val="20"/>
          <w:color w:val="auto"/>
        </w:rPr>
      </w:pPr>
    </w:p>
    <w:p>
      <w:pPr>
        <w:jc w:val="both"/>
        <w:ind w:left="880" w:right="459" w:hanging="426"/>
        <w:spacing w:after="0" w:line="252" w:lineRule="auto"/>
        <w:tabs>
          <w:tab w:leader="none" w:pos="9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24" w:lineRule="exact"/>
        <w:rPr>
          <w:sz w:val="20"/>
          <w:szCs w:val="20"/>
          <w:color w:val="auto"/>
        </w:rPr>
      </w:pPr>
    </w:p>
    <w:p>
      <w:pPr>
        <w:ind w:left="880" w:hanging="426"/>
        <w:spacing w:after="0"/>
        <w:tabs>
          <w:tab w:leader="none" w:pos="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62" w:lineRule="exact"/>
        <w:rPr>
          <w:sz w:val="20"/>
          <w:szCs w:val="20"/>
          <w:color w:val="auto"/>
        </w:rPr>
      </w:pPr>
    </w:p>
    <w:p>
      <w:pPr>
        <w:jc w:val="both"/>
        <w:ind w:left="880" w:right="459" w:hanging="426"/>
        <w:spacing w:after="0" w:line="261" w:lineRule="auto"/>
        <w:tabs>
          <w:tab w:leader="none" w:pos="9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voting power of FS Development Common Stock issued and outstanding and entitled to vote at the Special Meeting constitute a quorum. In the absence of a quorum, the chairman of the meeting has power to adjourn the Special Meeting. As of the Record Date, 7,767,626 shares of FS Development Common Stock would be required to achieve a quorum.</w:t>
      </w:r>
    </w:p>
    <w:p>
      <w:pPr>
        <w:spacing w:after="0" w:line="95"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Sponsor, directors and officers vote?</w:t>
      </w:r>
    </w:p>
    <w:p>
      <w:pPr>
        <w:spacing w:after="0" w:line="162" w:lineRule="exact"/>
        <w:rPr>
          <w:sz w:val="20"/>
          <w:szCs w:val="20"/>
          <w:color w:val="auto"/>
        </w:rPr>
      </w:pPr>
    </w:p>
    <w:p>
      <w:pPr>
        <w:jc w:val="both"/>
        <w:ind w:left="880" w:right="459" w:hanging="426"/>
        <w:spacing w:after="0" w:line="254" w:lineRule="auto"/>
        <w:tabs>
          <w:tab w:leader="none" w:pos="8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as FS Development’s initial stockholder, has agreed to vote its Founders Shares (as well as any Public Shares purchased during or after the FS Development IPO) in favor of the Business Combination. As of the date of this proxy statement/prospectus, the Sponsor owns approximately 21.7% of the issued and outstanding shares of FS Development Common Stock, including all of the Founders Shares, and will be able to vote all such shares at the Special Meeting. Accordingly, it is more likely that the necessary stockholder approval will be received than would be the case if the Sponsor agreed to vote their Founders Shares in accordance with the majority of the votes cast by FS Development’s public stockholders.</w:t>
      </w:r>
    </w:p>
    <w:p>
      <w:pPr>
        <w:spacing w:after="0" w:line="120" w:lineRule="exact"/>
        <w:rPr>
          <w:sz w:val="20"/>
          <w:szCs w:val="20"/>
          <w:color w:val="auto"/>
        </w:rPr>
      </w:pPr>
    </w:p>
    <w:p>
      <w:pPr>
        <w:ind w:left="880" w:right="479" w:hanging="426"/>
        <w:spacing w:after="0" w:line="286" w:lineRule="auto"/>
        <w:tabs>
          <w:tab w:leader="none" w:pos="115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FS Development’s current officers and directors have in the Business Combination?</w:t>
      </w:r>
    </w:p>
    <w:p>
      <w:pPr>
        <w:spacing w:after="0" w:line="78" w:lineRule="exact"/>
        <w:rPr>
          <w:sz w:val="20"/>
          <w:szCs w:val="20"/>
          <w:color w:val="auto"/>
        </w:rPr>
      </w:pPr>
    </w:p>
    <w:p>
      <w:pPr>
        <w:jc w:val="both"/>
        <w:ind w:left="880" w:right="459" w:hanging="426"/>
        <w:spacing w:after="0" w:line="266" w:lineRule="auto"/>
        <w:tabs>
          <w:tab w:leader="none" w:pos="8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members of the Board and its executive officers have interests in the Business Combination that are different from or in addition to (and which may conflict with) your interest. These interests include, among other things: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5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Robert Carey, Daniel Dubin and Deepa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shares of FS Development Class A Common Stock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of $10.00 per share in a private placement to the Sponsor. If FS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89" w:lineRule="auto"/>
        <w:tabs>
          <w:tab w:leader="none" w:pos="131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0" w:lineRule="exact"/>
        <w:rPr>
          <w:rFonts w:ascii="Times New Roman" w:cs="Times New Roman" w:eastAsia="Times New Roman" w:hAnsi="Times New Roman"/>
          <w:sz w:val="17"/>
          <w:szCs w:val="17"/>
          <w:color w:val="auto"/>
        </w:rPr>
      </w:pPr>
    </w:p>
    <w:p>
      <w:pPr>
        <w:jc w:val="both"/>
        <w:ind w:left="1320" w:right="459" w:hanging="434"/>
        <w:spacing w:after="0" w:line="254" w:lineRule="auto"/>
        <w:tabs>
          <w:tab w:leader="none" w:pos="14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FS Development will continue to indemnify FS Development’s existing directors and officers and will maintain a directors’ and officers’ liability insurance policy.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0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These interests may influence FS Development’s directors in making their recommendation that you vote in favor of the approval of the Business Combination.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FS Development Common Stock before the Special Meeting?</w:t>
      </w:r>
    </w:p>
    <w:p>
      <w:pPr>
        <w:spacing w:after="0" w:line="162" w:lineRule="exact"/>
        <w:rPr>
          <w:sz w:val="20"/>
          <w:szCs w:val="20"/>
          <w:color w:val="auto"/>
        </w:rPr>
      </w:pPr>
    </w:p>
    <w:p>
      <w:pPr>
        <w:jc w:val="both"/>
        <w:ind w:left="880" w:right="459" w:hanging="426"/>
        <w:spacing w:after="0" w:line="255" w:lineRule="auto"/>
        <w:tabs>
          <w:tab w:leader="none" w:pos="10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the date of the Special Meeting. If you transfer your shares of FS Development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Closing. If you transfer your shares of FS Development Common Stock prior to the Record Date, you will have no right to vote those shares at the Special Meeting or redeem those shares for a pro rata portion of the proceeds held in our Trust Account.</w:t>
      </w:r>
    </w:p>
    <w:p>
      <w:pPr>
        <w:spacing w:after="0" w:line="117" w:lineRule="exact"/>
        <w:rPr>
          <w:sz w:val="20"/>
          <w:szCs w:val="20"/>
          <w:color w:val="auto"/>
        </w:rPr>
      </w:pPr>
    </w:p>
    <w:p>
      <w:pPr>
        <w:ind w:left="880" w:hanging="426"/>
        <w:spacing w:after="0"/>
        <w:tabs>
          <w:tab w:leader="none" w:pos="8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the Business Combination Proposal?</w:t>
      </w:r>
    </w:p>
    <w:p>
      <w:pPr>
        <w:spacing w:after="0" w:line="148" w:lineRule="exact"/>
        <w:rPr>
          <w:sz w:val="20"/>
          <w:szCs w:val="20"/>
          <w:color w:val="auto"/>
        </w:rPr>
      </w:pPr>
    </w:p>
    <w:p>
      <w:pPr>
        <w:jc w:val="both"/>
        <w:ind w:left="880" w:right="459" w:hanging="431"/>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A:</w:t>
        <w:tab/>
        <w:t>Pursuant to the Current Charter, if the Business Combination Proposal is not approved and FS Development does not otherwise consummate an alternative business combination by August 14, 2022, FS Development will be required to dissolve and liquidate its Trust Account by returning the then remaining funds in such account to the public stockholders.</w:t>
      </w:r>
    </w:p>
    <w:p>
      <w:pPr>
        <w:spacing w:after="0" w:line="108" w:lineRule="exact"/>
        <w:rPr>
          <w:sz w:val="20"/>
          <w:szCs w:val="20"/>
          <w:color w:val="auto"/>
        </w:rPr>
      </w:pPr>
    </w:p>
    <w:p>
      <w:pPr>
        <w:ind w:left="880" w:hanging="426"/>
        <w:spacing w:after="0"/>
        <w:tabs>
          <w:tab w:leader="none" w:pos="8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62" w:lineRule="exact"/>
        <w:rPr>
          <w:sz w:val="20"/>
          <w:szCs w:val="20"/>
          <w:color w:val="auto"/>
        </w:rPr>
      </w:pPr>
    </w:p>
    <w:p>
      <w:pPr>
        <w:jc w:val="both"/>
        <w:ind w:left="880" w:right="459" w:hanging="426"/>
        <w:spacing w:after="0" w:line="254" w:lineRule="auto"/>
        <w:tabs>
          <w:tab w:leader="none" w:pos="8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Current Charter, holders of Public Shares may elect to have their shares redeemed for cash at the applicable redemption price per share calculated in accordance with the Current Charter. As of September 30, 2020, based on funds in the Trust Account of approximately $120,751,489, this would have amounted to approximately $10.73 per share. If a holder exercises its redemption rights, then such holder will be exchanging its Public Shares for cash. Such a holder will be entitled to receive cash for its Public Shares only if it properly demands redemption and delivers its shares (either physically or electronically) to FS Development’s transfer agent prior to the Special Meeting.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103" w:lineRule="exact"/>
        <w:rPr>
          <w:sz w:val="20"/>
          <w:szCs w:val="20"/>
          <w:color w:val="auto"/>
        </w:rPr>
      </w:pPr>
    </w:p>
    <w:p>
      <w:pPr>
        <w:ind w:left="880" w:hanging="426"/>
        <w:spacing w:after="0"/>
        <w:tabs>
          <w:tab w:leader="none" w:pos="8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62" w:lineRule="exact"/>
        <w:rPr>
          <w:sz w:val="20"/>
          <w:szCs w:val="20"/>
          <w:color w:val="auto"/>
        </w:rPr>
      </w:pPr>
    </w:p>
    <w:p>
      <w:pPr>
        <w:jc w:val="both"/>
        <w:ind w:left="880" w:right="459" w:hanging="426"/>
        <w:spacing w:after="0" w:line="256" w:lineRule="auto"/>
        <w:tabs>
          <w:tab w:leader="none" w:pos="110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Public Shares “FOR” or “AGAINST” the Business Combination Proposal or any other proposal described by this proxy statement/prospectus. As a result, the Merger Agreement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listing standards of the Nasdaq Capital Market.</w:t>
      </w:r>
    </w:p>
    <w:p>
      <w:pPr>
        <w:spacing w:after="0" w:line="116" w:lineRule="exact"/>
        <w:rPr>
          <w:sz w:val="20"/>
          <w:szCs w:val="20"/>
          <w:color w:val="auto"/>
        </w:rPr>
      </w:pPr>
    </w:p>
    <w:p>
      <w:pPr>
        <w:ind w:left="880" w:hanging="426"/>
        <w:spacing w:after="0"/>
        <w:tabs>
          <w:tab w:leader="none" w:pos="8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48" w:lineRule="exact"/>
        <w:rPr>
          <w:sz w:val="20"/>
          <w:szCs w:val="20"/>
          <w:color w:val="auto"/>
        </w:rPr>
      </w:pPr>
    </w:p>
    <w:p>
      <w:pPr>
        <w:jc w:val="both"/>
        <w:ind w:left="880" w:right="479" w:hanging="426"/>
        <w:spacing w:after="0" w:line="257" w:lineRule="auto"/>
        <w:tabs>
          <w:tab w:leader="none" w:pos="8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exercise your redemption rights, you must prior to 5:00 PM, Eastern time, on February 1, 2021 (two (2) business days before the Special Meeting), tender your shares physically or electronically and submit a request in writing that FS Development redeem your Public Shares for cash to </w:t>
      </w:r>
      <w:r>
        <w:rPr>
          <w:rFonts w:ascii="Times New Roman" w:cs="Times New Roman" w:eastAsia="Times New Roman" w:hAnsi="Times New Roman"/>
          <w:sz w:val="18"/>
          <w:szCs w:val="18"/>
          <w:b w:val="1"/>
          <w:bCs w:val="1"/>
          <w:color w:val="auto"/>
        </w:rPr>
        <w:t>Continental</w:t>
      </w:r>
    </w:p>
    <w:p>
      <w:pPr>
        <w:spacing w:after="0" w:line="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Transfer &amp; Trust Company, our transfer agent, at the following address: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 Company</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One State Street Plaza, 30</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Attn: Mark Zimkind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E-mail: mzimkind@continentalstock.com</w:t>
      </w:r>
    </w:p>
    <w:p>
      <w:pPr>
        <w:spacing w:after="0" w:line="135"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 the written request to redeem your Public Share for cash to Continental Stock Transfer &amp; Trust Company, please provide a </w:t>
      </w:r>
      <w:r>
        <w:rPr>
          <w:rFonts w:ascii="Times New Roman" w:cs="Times New Roman" w:eastAsia="Times New Roman" w:hAnsi="Times New Roman"/>
          <w:sz w:val="18"/>
          <w:szCs w:val="18"/>
          <w:color w:val="auto"/>
        </w:rPr>
        <w:t>“Stockholder Certification” if you are not acting in concert or as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Section 13d-3 of the Exchange Act) with any other stockholder with respect to shares of FS Development Class A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20% or more of the shares of FS Development Class A Common Stock issued in the FS Development IPO, which is referred to as the “20% threshold” in this proxy statement/prospectus. Accordingly, all Public Shares in excess of the 20% threshold beneficially owned by a public stockholder or group will not be redeemed for cash.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21"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under the question “Who can help answer my questions?” below.</w:t>
      </w:r>
    </w:p>
    <w:p>
      <w:pPr>
        <w:spacing w:after="0" w:line="117"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exercising my redemption rights?</w:t>
      </w:r>
    </w:p>
    <w:p>
      <w:pPr>
        <w:spacing w:after="0" w:line="148" w:lineRule="exact"/>
        <w:rPr>
          <w:sz w:val="20"/>
          <w:szCs w:val="20"/>
          <w:color w:val="auto"/>
        </w:rPr>
      </w:pPr>
    </w:p>
    <w:p>
      <w:pPr>
        <w:jc w:val="both"/>
        <w:ind w:left="880" w:right="459" w:hanging="426"/>
        <w:spacing w:after="0" w:line="25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FS Development stockholders who exercise their redemption rights to receive cash in exchange for their Public Shares depend on the stockholder’s particular facts and circumstances. Such stockholder generally will be required to treat the transaction as a sale of such shares and recognize gain or loss upon the redemption in an amount equal to the difference, if any, between the amount of cash received and the tax basis of the Public Shares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Public Shares, and any remaining amount will be treated as gain realized on the sale or other disposition of Public Shares. These tax consequences are described in more detail in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The Merger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Certain Material U.S. Federal Income Tax Considerations of the Redemption</w:t>
      </w:r>
      <w:r>
        <w:rPr>
          <w:rFonts w:ascii="Times New Roman" w:cs="Times New Roman" w:eastAsia="Times New Roman" w:hAnsi="Times New Roman"/>
          <w:sz w:val="18"/>
          <w:szCs w:val="18"/>
          <w:color w:val="auto"/>
        </w:rPr>
        <w:t>.” We urge you to consult your tax advisor regarding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exercising your redemption rights.</w:t>
      </w:r>
    </w:p>
    <w:p>
      <w:pPr>
        <w:spacing w:after="0" w:line="119" w:lineRule="exact"/>
        <w:rPr>
          <w:sz w:val="20"/>
          <w:szCs w:val="20"/>
          <w:color w:val="auto"/>
        </w:rPr>
      </w:pPr>
    </w:p>
    <w:p>
      <w:pPr>
        <w:ind w:left="880" w:hanging="426"/>
        <w:spacing w:after="0"/>
        <w:tabs>
          <w:tab w:leader="none" w:pos="8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dissenter rights if I object to the proposed Business Combination?</w:t>
      </w:r>
    </w:p>
    <w:p>
      <w:pPr>
        <w:spacing w:after="0" w:line="162" w:lineRule="exact"/>
        <w:rPr>
          <w:sz w:val="20"/>
          <w:szCs w:val="20"/>
          <w:color w:val="auto"/>
        </w:rPr>
      </w:pPr>
    </w:p>
    <w:p>
      <w:pPr>
        <w:jc w:val="both"/>
        <w:ind w:left="880" w:right="459" w:hanging="426"/>
        <w:spacing w:after="0" w:line="253" w:lineRule="auto"/>
        <w:tabs>
          <w:tab w:leader="none" w:pos="9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FS Development stockholders are not entitled to exercise dissenters’ rights under Delaware law in connection with the Business Combination. Dissenters’ rights are unavailable under Delaware law in connection with the Business Combination to holders of FS Development Class A Common Stock because it is currently listed on a national securities exchange and such holders are not required to receive any consideration (other than continuing to hold their shares of FS Development Class A Common Stock, which will become an equal number of shares of Common Stock of the Combined Entity after giving effect to the Business Combination). Holders of FS Development Class A Common Stock may vote against the Business Combination Proposal or redeem their Public Shares if they are not in favor of the adoption of the Merger Agreement or the Business Combination. Dissenters’ rights are unavailable under Delaware law in connection with the Business Combination to holders of FS Development Class B Common Stock because they have agreed to vote in favor of the Business Combination.</w:t>
      </w:r>
    </w:p>
    <w:p>
      <w:pPr>
        <w:spacing w:after="0" w:line="107"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Closing?</w:t>
      </w:r>
    </w:p>
    <w:p>
      <w:pPr>
        <w:spacing w:after="0" w:line="162" w:lineRule="exact"/>
        <w:rPr>
          <w:sz w:val="20"/>
          <w:szCs w:val="20"/>
          <w:color w:val="auto"/>
        </w:rPr>
      </w:pPr>
    </w:p>
    <w:p>
      <w:pPr>
        <w:ind w:left="860" w:hanging="406"/>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consummated, the funds held in the Trust Account will be released to pay: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who properly exercise their redemption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their deferred underwriting commissions;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franchise and income taxes of FS Development;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90"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48" w:lineRule="exact"/>
        <w:rPr>
          <w:sz w:val="20"/>
          <w:szCs w:val="20"/>
          <w:color w:val="auto"/>
        </w:rPr>
      </w:pPr>
    </w:p>
    <w:p>
      <w:pPr>
        <w:jc w:val="both"/>
        <w:ind w:left="880" w:right="459" w:hanging="426"/>
        <w:spacing w:after="0" w:line="266" w:lineRule="auto"/>
        <w:tabs>
          <w:tab w:leader="none" w:pos="9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Merger Agreement may be terminated. See the section titled “</w:t>
      </w:r>
      <w:r>
        <w:rPr>
          <w:rFonts w:ascii="Times New Roman" w:cs="Times New Roman" w:eastAsia="Times New Roman" w:hAnsi="Times New Roman"/>
          <w:sz w:val="18"/>
          <w:szCs w:val="18"/>
          <w:i w:val="1"/>
          <w:iCs w:val="1"/>
          <w:color w:val="auto"/>
        </w:rPr>
        <w:t>The Business Combination Proposal — The Merger Agreement — Termination</w:t>
      </w:r>
      <w:r>
        <w:rPr>
          <w:rFonts w:ascii="Times New Roman" w:cs="Times New Roman" w:eastAsia="Times New Roman" w:hAnsi="Times New Roman"/>
          <w:sz w:val="18"/>
          <w:szCs w:val="18"/>
          <w:color w:val="auto"/>
        </w:rPr>
        <w:t>” for information regarding the parties’ specific termination rights.</w:t>
      </w:r>
    </w:p>
    <w:p>
      <w:pPr>
        <w:spacing w:after="0" w:line="10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If, as a result of the termination of the Merger Agreement or otherwise, FS Development is unable to complete the Business Combination or another initial business combination transaction by August 14, 2022, the Current Charter provides that it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the DGCL to provide for claims of creditors and the requirements of other applicable law.</w:t>
      </w:r>
    </w:p>
    <w:p>
      <w:pPr>
        <w:spacing w:after="0" w:line="120"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FS Development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FS Development’s obligations under the DGCL to provide for claims of creditors and other requirements of applicable law. Holders of Founders Shares have waived any right to any liquidating distribution with respect to those shares.</w:t>
      </w:r>
    </w:p>
    <w:p>
      <w:pPr>
        <w:spacing w:after="0" w:line="102" w:lineRule="exact"/>
        <w:rPr>
          <w:sz w:val="20"/>
          <w:szCs w:val="20"/>
          <w:color w:val="auto"/>
        </w:rPr>
      </w:pPr>
    </w:p>
    <w:p>
      <w:pPr>
        <w:ind w:left="880" w:hanging="426"/>
        <w:spacing w:after="0"/>
        <w:tabs>
          <w:tab w:leader="none" w:pos="8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62" w:lineRule="exact"/>
        <w:rPr>
          <w:sz w:val="20"/>
          <w:szCs w:val="20"/>
          <w:color w:val="auto"/>
        </w:rPr>
      </w:pPr>
    </w:p>
    <w:p>
      <w:pPr>
        <w:jc w:val="both"/>
        <w:ind w:left="880" w:right="459" w:hanging="426"/>
        <w:spacing w:after="0" w:line="256" w:lineRule="auto"/>
        <w:tabs>
          <w:tab w:leader="none" w:pos="8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is expected to take place (a) the second business day following the satisfaction or waiver of the conditions described below under the section titled </w:t>
      </w:r>
      <w:r>
        <w:rPr>
          <w:rFonts w:ascii="Times New Roman" w:cs="Times New Roman" w:eastAsia="Times New Roman" w:hAnsi="Times New Roman"/>
          <w:sz w:val="18"/>
          <w:szCs w:val="18"/>
          <w:i w:val="1"/>
          <w:iCs w:val="1"/>
          <w:color w:val="auto"/>
        </w:rPr>
        <w:t>“The Business Combination Proposal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Conditions to Closing”</w:t>
      </w:r>
      <w:r>
        <w:rPr>
          <w:rFonts w:ascii="Times New Roman" w:cs="Times New Roman" w:eastAsia="Times New Roman" w:hAnsi="Times New Roman"/>
          <w:sz w:val="18"/>
          <w:szCs w:val="18"/>
          <w:color w:val="auto"/>
        </w:rPr>
        <w:t>; or (b) such other date as agreed to by FS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in writing, in each case, subject to the satisfaction or waiver of the closing conditions. The Merger Agreement may be terminated by either FS Development or Gemini if the Closing has not occurred by April 15, 2021, subject to certain exceptions.</w:t>
      </w:r>
    </w:p>
    <w:p>
      <w:pPr>
        <w:spacing w:after="0" w:line="120"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titled “</w:t>
      </w:r>
      <w:r>
        <w:rPr>
          <w:rFonts w:ascii="Times New Roman" w:cs="Times New Roman" w:eastAsia="Times New Roman" w:hAnsi="Times New Roman"/>
          <w:sz w:val="18"/>
          <w:szCs w:val="18"/>
          <w:i w:val="1"/>
          <w:iCs w:val="1"/>
          <w:color w:val="auto"/>
        </w:rPr>
        <w:t>The Business Combination Proposal — The Merger Agreement — Conditions to Closing.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80" w:hanging="426"/>
        <w:spacing w:after="0"/>
        <w:tabs>
          <w:tab w:leader="none" w:pos="8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8" w:lineRule="auto"/>
        <w:tabs>
          <w:tab w:leader="none" w:pos="8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112" w:lineRule="exact"/>
        <w:rPr>
          <w:sz w:val="20"/>
          <w:szCs w:val="20"/>
          <w:color w:val="auto"/>
        </w:rPr>
      </w:pPr>
    </w:p>
    <w:p>
      <w:pPr>
        <w:ind w:left="880" w:hanging="426"/>
        <w:spacing w:after="0"/>
        <w:tabs>
          <w:tab w:leader="none" w:pos="8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jc w:val="both"/>
        <w:ind w:left="880" w:right="459" w:hanging="426"/>
        <w:spacing w:after="0" w:line="254" w:lineRule="auto"/>
        <w:tabs>
          <w:tab w:leader="none" w:pos="8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were a holder of record of FS Development Common Stock on January 15, 2021, the Record Date, you may vote with respect to the applicable proposals online at the Special Meeting or by completing, signing, dating and returning the enclosed proxy card in the postage-paid envelope provided. If you choose to participate in the Special Meeting, you can vote your shares electronically during the Special Meeting via live webcast by visiting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 You will need the 12-digit meeting control number that is printed on your proxy card to enter the Special Meeting. FS Development recommends that you log in at least 15 minutes before the Special Meeting to ensure you are logged in when the Special Meeting starts.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 other agent. You must then e-mail a copy (a legible photograph is sufficient) of your legal proxy to </w:t>
      </w:r>
      <w:r>
        <w:rPr>
          <w:rFonts w:ascii="Times New Roman" w:cs="Times New Roman" w:eastAsia="Times New Roman" w:hAnsi="Times New Roman"/>
          <w:sz w:val="18"/>
          <w:szCs w:val="18"/>
          <w:b w:val="1"/>
          <w:bCs w:val="1"/>
          <w:color w:val="auto"/>
        </w:rPr>
        <w:t>Continental Stock Transfer &amp; Trust Company (“CST”)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 CST no later than January 31, 2021 to obtain this information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880" w:hanging="426"/>
        <w:spacing w:after="0"/>
        <w:tabs>
          <w:tab w:leader="none" w:pos="8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62" w:lineRule="exact"/>
        <w:rPr>
          <w:sz w:val="20"/>
          <w:szCs w:val="20"/>
          <w:color w:val="auto"/>
        </w:rPr>
      </w:pPr>
    </w:p>
    <w:p>
      <w:pPr>
        <w:jc w:val="both"/>
        <w:ind w:left="880" w:right="459" w:hanging="426"/>
        <w:spacing w:after="0" w:line="255" w:lineRule="auto"/>
        <w:tabs>
          <w:tab w:leader="none" w:pos="8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FS Development will count a properly executed proxy card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and the Adjournment Proposal.</w:t>
      </w:r>
    </w:p>
    <w:p>
      <w:pPr>
        <w:spacing w:after="0" w:line="104" w:lineRule="exact"/>
        <w:rPr>
          <w:sz w:val="20"/>
          <w:szCs w:val="20"/>
          <w:color w:val="auto"/>
        </w:rPr>
      </w:pPr>
    </w:p>
    <w:p>
      <w:pPr>
        <w:ind w:left="880" w:hanging="426"/>
        <w:spacing w:after="0"/>
        <w:tabs>
          <w:tab w:leader="none" w:pos="8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62" w:lineRule="exact"/>
        <w:rPr>
          <w:sz w:val="20"/>
          <w:szCs w:val="20"/>
          <w:color w:val="auto"/>
        </w:rPr>
      </w:pPr>
    </w:p>
    <w:p>
      <w:pPr>
        <w:jc w:val="both"/>
        <w:ind w:left="880" w:right="479" w:hanging="426"/>
        <w:spacing w:after="0" w:line="261" w:lineRule="auto"/>
        <w:tabs>
          <w:tab w:leader="none" w:pos="9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FS Development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08" w:lineRule="exact"/>
        <w:rPr>
          <w:sz w:val="20"/>
          <w:szCs w:val="20"/>
          <w:color w:val="auto"/>
        </w:rPr>
      </w:pPr>
    </w:p>
    <w:p>
      <w:pPr>
        <w:ind w:left="860" w:hanging="406"/>
        <w:spacing w:after="0"/>
        <w:tabs>
          <w:tab w:leader="none" w:pos="8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Special Meeting?</w:t>
      </w:r>
    </w:p>
    <w:p>
      <w:pPr>
        <w:spacing w:after="0" w:line="148" w:lineRule="exact"/>
        <w:rPr>
          <w:sz w:val="20"/>
          <w:szCs w:val="20"/>
          <w:color w:val="auto"/>
        </w:rPr>
      </w:pPr>
    </w:p>
    <w:p>
      <w:pPr>
        <w:jc w:val="both"/>
        <w:ind w:left="880" w:right="459" w:hanging="426"/>
        <w:spacing w:after="0" w:line="254" w:lineRule="auto"/>
        <w:tabs>
          <w:tab w:leader="none" w:pos="9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attend the Special Meeting and vote your shares online during the Special Meeting via live webcast by visiting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 As a registered stockholder, you received a proxy card 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below.</w:t>
      </w:r>
    </w:p>
    <w:p>
      <w:pPr>
        <w:spacing w:after="0" w:line="12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You can pre-register to attend the Special Meeting online starting, January 29, 2021. Enter the URL address into your browser, and enter your 12-digit meeting control number, name and email address. Once you pre-register you can vote or enter questions in the chat box. Prior to or at the start of the Special Meeting you will need to re-log in using your 12-digit meeting control number and will also be prompted to enter your 12-digit meeting control number if you vote online during the Special Meeting. FS Development recommends that you log in at least 15 minutes before the Special Meeting to ensure you are logged in when the Special Meeting starts.</w:t>
      </w:r>
    </w:p>
    <w:p>
      <w:pPr>
        <w:spacing w:after="0" w:line="121"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0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If you do not have Internet capabilities, you can listen only to the Special Meeting by dialing 1 877-770-3647 (U.S. and Canada) or +1 312-780-0854 (outside of the U.S. and Canada), when prompted enter the pin # 63600790#. This is listen only, you will not be able to vote or enter questions during the Special Meeting.</w:t>
      </w:r>
    </w:p>
    <w:p>
      <w:pPr>
        <w:spacing w:after="0" w:line="108" w:lineRule="exact"/>
        <w:rPr>
          <w:sz w:val="20"/>
          <w:szCs w:val="20"/>
          <w:color w:val="auto"/>
        </w:rPr>
      </w:pPr>
    </w:p>
    <w:p>
      <w:pPr>
        <w:ind w:left="880" w:hanging="426"/>
        <w:spacing w:after="0"/>
        <w:tabs>
          <w:tab w:leader="none" w:pos="8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62" w:lineRule="exact"/>
        <w:rPr>
          <w:sz w:val="20"/>
          <w:szCs w:val="20"/>
          <w:color w:val="auto"/>
        </w:rPr>
      </w:pPr>
    </w:p>
    <w:p>
      <w:pPr>
        <w:jc w:val="both"/>
        <w:ind w:left="880" w:right="479" w:hanging="426"/>
        <w:spacing w:after="0" w:line="266" w:lineRule="auto"/>
        <w:tabs>
          <w:tab w:leader="none" w:pos="11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 xml:space="preserve">In order to exercise your redemption rights, you must properly demand redemption and deliver your shares (either physically or electronically) to our transfer agent at least two business days prior to the Special Meeting. See “— </w:t>
      </w:r>
      <w:r>
        <w:rPr>
          <w:rFonts w:ascii="Times New Roman" w:cs="Times New Roman" w:eastAsia="Times New Roman" w:hAnsi="Times New Roman"/>
          <w:sz w:val="18"/>
          <w:szCs w:val="18"/>
          <w:i w:val="1"/>
          <w:iCs w:val="1"/>
          <w:color w:val="auto"/>
        </w:rPr>
        <w:t>How do I exercise my redemption rights</w:t>
      </w:r>
      <w:r>
        <w:rPr>
          <w:rFonts w:ascii="Times New Roman" w:cs="Times New Roman" w:eastAsia="Times New Roman" w:hAnsi="Times New Roman"/>
          <w:sz w:val="18"/>
          <w:szCs w:val="18"/>
          <w:color w:val="auto"/>
        </w:rPr>
        <w:t>” above.</w:t>
      </w:r>
    </w:p>
    <w:p>
      <w:pPr>
        <w:spacing w:after="0" w:line="104" w:lineRule="exact"/>
        <w:rPr>
          <w:sz w:val="20"/>
          <w:szCs w:val="20"/>
          <w:color w:val="auto"/>
        </w:rPr>
      </w:pPr>
    </w:p>
    <w:p>
      <w:pPr>
        <w:ind w:left="880" w:hanging="426"/>
        <w:spacing w:after="0"/>
        <w:tabs>
          <w:tab w:leader="none" w:pos="8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62" w:lineRule="exact"/>
        <w:rPr>
          <w:sz w:val="20"/>
          <w:szCs w:val="20"/>
          <w:color w:val="auto"/>
        </w:rPr>
      </w:pPr>
    </w:p>
    <w:p>
      <w:pPr>
        <w:jc w:val="both"/>
        <w:ind w:left="880" w:right="459" w:hanging="426"/>
        <w:spacing w:after="0" w:line="266" w:lineRule="auto"/>
        <w:tabs>
          <w:tab w:leader="none" w:pos="8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stockholder of record of FS Development Common Stock as of the close of business on the Record Date, you can change or revoke your proxy before it is voted at the meeting in one of the following ways:</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ectPr>
          <w:pgSz w:w="11900" w:h="16838" w:orient="portrait"/>
          <w:cols w:equalWidth="0" w:num="1">
            <w:col w:w="9019"/>
          </w:cols>
          <w:pgMar w:left="1440" w:top="270" w:right="1440" w:bottom="1440" w:gutter="0" w:footer="0" w:header="0"/>
        </w:sectPr>
      </w:pP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right="459" w:firstLine="1584"/>
        <w:spacing w:after="0" w:line="261" w:lineRule="auto"/>
        <w:rPr>
          <w:sz w:val="20"/>
          <w:szCs w:val="20"/>
          <w:color w:val="auto"/>
        </w:rPr>
      </w:pPr>
      <w:r>
        <w:rPr>
          <w:rFonts w:ascii="Times New Roman" w:cs="Times New Roman" w:eastAsia="Times New Roman" w:hAnsi="Times New Roman"/>
          <w:sz w:val="18"/>
          <w:szCs w:val="18"/>
          <w:color w:val="auto"/>
        </w:rPr>
        <w:t xml:space="preserve">vote electronically at the Special Meeting by visiting </w:t>
      </w:r>
      <w:r>
        <w:rPr>
          <w:rFonts w:ascii="Times New Roman" w:cs="Times New Roman" w:eastAsia="Times New Roman" w:hAnsi="Times New Roman"/>
          <w:sz w:val="18"/>
          <w:szCs w:val="18"/>
          <w:i w:val="1"/>
          <w:iCs w:val="1"/>
          <w:color w:val="auto"/>
        </w:rPr>
        <w:t xml:space="preserve">https://www.cstproxy.com/fsdevelopmentcorp/sm2021 </w:t>
      </w:r>
      <w:r>
        <w:rPr>
          <w:rFonts w:ascii="Times New Roman" w:cs="Times New Roman" w:eastAsia="Times New Roman" w:hAnsi="Times New Roman"/>
          <w:sz w:val="18"/>
          <w:szCs w:val="18"/>
          <w:color w:val="auto"/>
        </w:rPr>
        <w:t>and entering the control number found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your proxy card, voting instruction form or notice you previously received. Please note that your attendance at the Special Meeting will not alone serve to revoke your proxy.</w:t>
      </w:r>
    </w:p>
    <w:p>
      <w:pPr>
        <w:spacing w:after="0" w:line="99" w:lineRule="exact"/>
        <w:rPr>
          <w:sz w:val="20"/>
          <w:szCs w:val="20"/>
          <w:color w:val="auto"/>
        </w:rPr>
      </w:pPr>
    </w:p>
    <w:p>
      <w:pPr>
        <w:sectPr>
          <w:pgSz w:w="11900" w:h="16838" w:orient="portrait"/>
          <w:cols w:equalWidth="0" w:num="2">
            <w:col w:w="1380" w:space="380"/>
            <w:col w:w="7259"/>
          </w:cols>
          <w:pgMar w:left="1440" w:top="270" w:right="1440" w:bottom="1440" w:gutter="0" w:footer="0" w:header="0"/>
          <w:type w:val="continuous"/>
        </w:sect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04" w:lineRule="exact"/>
        <w:rPr>
          <w:sz w:val="20"/>
          <w:szCs w:val="20"/>
          <w:color w:val="auto"/>
        </w:rPr>
      </w:pPr>
    </w:p>
    <w:p>
      <w:pPr>
        <w:ind w:left="880" w:hanging="426"/>
        <w:spacing w:after="0"/>
        <w:tabs>
          <w:tab w:leader="none" w:pos="8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62" w:lineRule="exact"/>
        <w:rPr>
          <w:sz w:val="20"/>
          <w:szCs w:val="20"/>
          <w:color w:val="auto"/>
        </w:rPr>
      </w:pPr>
    </w:p>
    <w:p>
      <w:pPr>
        <w:jc w:val="both"/>
        <w:ind w:left="880" w:right="459" w:hanging="426"/>
        <w:spacing w:after="0" w:line="255" w:lineRule="auto"/>
        <w:tabs>
          <w:tab w:leader="none" w:pos="10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04" w:lineRule="exact"/>
        <w:rPr>
          <w:sz w:val="20"/>
          <w:szCs w:val="20"/>
          <w:color w:val="auto"/>
        </w:rPr>
      </w:pPr>
    </w:p>
    <w:p>
      <w:pPr>
        <w:ind w:left="880" w:hanging="426"/>
        <w:spacing w:after="0"/>
        <w:tabs>
          <w:tab w:leader="none" w:pos="8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62" w:lineRule="exact"/>
        <w:rPr>
          <w:sz w:val="20"/>
          <w:szCs w:val="20"/>
          <w:color w:val="auto"/>
        </w:rPr>
      </w:pPr>
    </w:p>
    <w:p>
      <w:pPr>
        <w:jc w:val="both"/>
        <w:ind w:left="880" w:right="459" w:hanging="426"/>
        <w:spacing w:after="0" w:line="253" w:lineRule="auto"/>
        <w:tabs>
          <w:tab w:leader="none" w:pos="96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will pay the cost of soliciting proxies for the Special Meeting. FS Development has engaged Morrow Sodali LLC, which we refer to as “Morrow Sodali LLC,” to assist in the solicitation of proxies for the Special Meeting. FS Development has agreed to pay Morrow Sodali LLC a fee of $22,500, plus disbursements. FS Development will reimburse Morrow Sodali LLC for reasonable out-of-pocket expenses and will indemnify Morrow Sodali LLC and its affiliates against certain claims, liabilities, losses, damages and expenses. FS Development will also reimburse banks, brokers and other custodians, nominees and fiduciaries representing beneficial owners of shares of FS Development Common Stock for their expenses in forwarding soliciting materials to beneficial owners of the FS Development Common Stock and in obtaining voting instructions from those owners. FS Development’s directors, officers and employees may also solicit proxies by telephone, by facsimile, by mail, on the Internet or in person. They will not be paid any additional amounts for soliciting proxies.</w:t>
      </w:r>
    </w:p>
    <w:p>
      <w:pPr>
        <w:spacing w:after="0" w:line="120" w:lineRule="exact"/>
        <w:rPr>
          <w:sz w:val="20"/>
          <w:szCs w:val="20"/>
          <w:color w:val="auto"/>
        </w:rPr>
      </w:pPr>
    </w:p>
    <w:p>
      <w:pPr>
        <w:ind w:left="880" w:right="479" w:hanging="426"/>
        <w:spacing w:after="0" w:line="286" w:lineRule="auto"/>
        <w:tabs>
          <w:tab w:leader="none" w:pos="88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as a FS Development stockholder in deciding how to vote or whether to exercise my redemption rights?</w:t>
      </w:r>
    </w:p>
    <w:p>
      <w:pPr>
        <w:spacing w:after="0" w:line="76" w:lineRule="exact"/>
        <w:rPr>
          <w:sz w:val="20"/>
          <w:szCs w:val="20"/>
          <w:color w:val="auto"/>
        </w:rPr>
      </w:pPr>
    </w:p>
    <w:p>
      <w:pPr>
        <w:ind w:left="880" w:right="479" w:hanging="426"/>
        <w:spacing w:after="0" w:line="284" w:lineRule="auto"/>
        <w:tabs>
          <w:tab w:leader="none" w:pos="8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w:t>
      </w:r>
    </w:p>
    <w:p>
      <w:pPr>
        <w:spacing w:after="0" w:line="89" w:lineRule="exact"/>
        <w:rPr>
          <w:sz w:val="20"/>
          <w:szCs w:val="20"/>
          <w:color w:val="auto"/>
        </w:rPr>
      </w:pPr>
    </w:p>
    <w:p>
      <w:pPr>
        <w:ind w:left="880" w:hanging="426"/>
        <w:spacing w:after="0"/>
        <w:tabs>
          <w:tab w:leader="none" w:pos="8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62" w:lineRule="exact"/>
        <w:rPr>
          <w:sz w:val="20"/>
          <w:szCs w:val="20"/>
          <w:color w:val="auto"/>
        </w:rPr>
      </w:pPr>
    </w:p>
    <w:p>
      <w:pPr>
        <w:ind w:left="880" w:right="479" w:hanging="426"/>
        <w:spacing w:after="0" w:line="282" w:lineRule="auto"/>
        <w:tabs>
          <w:tab w:leader="none" w:pos="12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please call us at (415) 877-4887.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also contact our proxy solicitor at: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FSDC.info@investor.morrowsodali.com</w:t>
      </w:r>
    </w:p>
    <w:p>
      <w:pPr>
        <w:spacing w:after="0" w:line="12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To obtain timely delivery, FS Development stockholders must request the materials no later than five (5) business days prior to the Special Meeting.</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FS Development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If you intend to seek redemption of your Public Shares, you will need to send a letter demanding redemption and deliver your stock (either physically or electronically) to FS Development’s transfer agent prior to the Special Meeting in accordance with the procedures detailed under the question “— </w:t>
      </w:r>
      <w:r>
        <w:rPr>
          <w:rFonts w:ascii="Times New Roman" w:cs="Times New Roman" w:eastAsia="Times New Roman" w:hAnsi="Times New Roman"/>
          <w:sz w:val="18"/>
          <w:szCs w:val="18"/>
          <w:i w:val="1"/>
          <w:iCs w:val="1"/>
          <w:color w:val="auto"/>
        </w:rPr>
        <w:t>How do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 my redemption rights</w:t>
      </w:r>
      <w:r>
        <w:rPr>
          <w:rFonts w:ascii="Times New Roman" w:cs="Times New Roman" w:eastAsia="Times New Roman" w:hAnsi="Times New Roman"/>
          <w:sz w:val="18"/>
          <w:szCs w:val="18"/>
          <w:color w:val="auto"/>
        </w:rPr>
        <w:t>” If you have questions regarding the certification of your 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your stock, please contact: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05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1051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8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Summary of the Proxy Statement/Prospectus to the “Combined Entity” refer to FS Development and its consolidated subsidiaries after giving effect to the Business Combination. References to the “Company,” “FS Development”, “we”, “us” or “our” generally refer to FS Development Corp.</w:t>
      </w:r>
    </w:p>
    <w:p>
      <w:pPr>
        <w:spacing w:after="0" w:line="9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specified, all share calculations assume no exercise of redemption rights by the Company’s public stockholders.</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FS Development Corp.</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on June 25, 2020 as a Delaware corporation for the purpose of effecting a merger, capital stock exchange, asset acquisition, stock purchase, reorganization or similar business combination involving FS Development and one or more businesses. Upon the Closing, we intend to change our name from “FS Development Corp.” to “Gemini Therapeutics, Inc.”</w:t>
      </w:r>
    </w:p>
    <w:p>
      <w:pPr>
        <w:spacing w:after="0" w:line="11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600 Montgomery Street, Suite 4500, San Francisco, CA 94111.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FSG Merger Sub, Inc. is a Delaware corporation and wholly-owned subsidiary of FS Development, which was formed on October 9, 2020 to consummate the Business Combination. Following the Business Combination, Gemini will merge with Merger Sub with Gemini surviving the merger. As a result, Gemini will become a wholly-owned subsidiary of the Combined Entity.</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Gemini Therapeutics, Inc.</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AMD. Its lead candidate, GEM103, is a recombinant form of the CFH and is designed to address both complement hyperactivity and restore retinal health. Variations in the gene that encodes CFH strongly correlate with an increased risk for developing AMD.</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Below is a summary of Gemini’s product candidate pipeline as of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 the table above, IND enabled means Gemini has completed the necessary nonclinical studies, including without limitation absorption, distribution, metabolism, and excretion, or ADME and toxicology, as well as formulation and manufacturing development necessary to seek the permission of regulatory authorities to begin human clinical testing.</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additional information about Gemini, see the section titled “</w:t>
      </w:r>
      <w:r>
        <w:rPr>
          <w:rFonts w:ascii="Times New Roman" w:cs="Times New Roman" w:eastAsia="Times New Roman" w:hAnsi="Times New Roman"/>
          <w:sz w:val="18"/>
          <w:szCs w:val="18"/>
          <w:i w:val="1"/>
          <w:iCs w:val="1"/>
          <w:color w:val="auto"/>
        </w:rPr>
        <w:t>Information about Gemini</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Proposals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FS Development and Gemini have agreed to a Business Combination under the terms of the Merger Agreement. Pursuant to the terms and subject to the conditions set forth in the Merger Agreement, at the Closing, Merger Sub will merge with and into Gemini, with Gemini continuing as the surviving entity and becoming a wholly-owned subsidiary of FS Development. See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14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Upon the Closing, it is anticipated that FS Development will change its name to “Gemini Therapeutics, Inc.”</w:t>
      </w:r>
    </w:p>
    <w:p>
      <w:pPr>
        <w:spacing w:after="0" w:line="11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Under the Merger Agreement, FS Development has agreed to acquire all of the outstanding equity interests of Gemini in exchange for up to 21,500,000 shares of FS Development Class A Common Stock,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Acquisition of Gemini; Merger Consideration”</w:t>
      </w:r>
      <w:r>
        <w:rPr>
          <w:rFonts w:ascii="Times New Roman" w:cs="Times New Roman" w:eastAsia="Times New Roman" w:hAnsi="Times New Roman"/>
          <w:sz w:val="18"/>
          <w:szCs w:val="18"/>
          <w:color w:val="auto"/>
        </w:rPr>
        <w:t>, to be paid at the Effective Time.</w:t>
      </w:r>
    </w:p>
    <w:p>
      <w:pPr>
        <w:spacing w:after="0" w:line="11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of FS Development Class A Common Stock to be placed into escrow for indemnification purposes, as further described in the Merger Agreement.</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sections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The Business Combination Proposal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Ancillary Agreements Related to the Business Combination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400" w:right="559" w:hanging="424"/>
        <w:spacing w:after="0" w:line="282" w:lineRule="auto"/>
        <w:tabs>
          <w:tab w:leader="none" w:pos="14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2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Board’s Reasons for the Business Combination</w:t>
      </w:r>
    </w:p>
    <w:p>
      <w:pPr>
        <w:spacing w:after="0" w:line="160" w:lineRule="exact"/>
        <w:rPr>
          <w:sz w:val="20"/>
          <w:szCs w:val="20"/>
          <w:color w:val="auto"/>
        </w:rPr>
      </w:pPr>
    </w:p>
    <w:p>
      <w:pPr>
        <w:jc w:val="both"/>
        <w:ind w:left="540" w:right="559"/>
        <w:spacing w:after="0" w:line="281" w:lineRule="auto"/>
        <w:rPr>
          <w:sz w:val="20"/>
          <w:szCs w:val="20"/>
          <w:color w:val="auto"/>
        </w:rPr>
      </w:pPr>
      <w:r>
        <w:rPr>
          <w:rFonts w:ascii="Times New Roman" w:cs="Times New Roman" w:eastAsia="Times New Roman" w:hAnsi="Times New Roman"/>
          <w:sz w:val="17"/>
          <w:szCs w:val="17"/>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97"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77" w:lineRule="exact"/>
        <w:rPr>
          <w:sz w:val="20"/>
          <w:szCs w:val="20"/>
          <w:color w:val="auto"/>
        </w:rPr>
      </w:pPr>
    </w:p>
    <w:p>
      <w:pPr>
        <w:jc w:val="both"/>
        <w:ind w:left="1400" w:right="559" w:hanging="424"/>
        <w:spacing w:after="0" w:line="254" w:lineRule="auto"/>
        <w:tabs>
          <w:tab w:leader="none" w:pos="152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4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4"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58"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404"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1400" w:right="559" w:hanging="424"/>
        <w:spacing w:after="0" w:line="255" w:lineRule="auto"/>
        <w:tabs>
          <w:tab w:leader="none" w:pos="15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anticipates 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400" w:right="559" w:hanging="424"/>
        <w:spacing w:after="0" w:line="286" w:lineRule="auto"/>
        <w:tabs>
          <w:tab w:leader="none" w:pos="13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6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 Development’s management team and reviewed by the Board supported the equity valuation of Gemini.</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4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Equityholders comprising a relative majority of the voting power of the Combined Entity, Gemini’s operations prior to the Merger comprising the only ongoing operations of the Combined Entity, and Gemini’s senior management comprising the senior management of the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Dissenter Rights</w:t>
      </w:r>
    </w:p>
    <w:p>
      <w:pPr>
        <w:spacing w:after="0" w:line="160"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Dissenter rights are not available to FS Development stockholders in connection with the Business Combination.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Impact of the Business Combination on FS Development’s Public Float</w:t>
      </w:r>
    </w:p>
    <w:p>
      <w:pPr>
        <w:spacing w:after="0" w:line="160"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the FS Development’s existing stockholders in the Combined Entity will be different.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79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9279255"/>
                    </a:xfrm>
                    <a:prstGeom prst="rect">
                      <a:avLst/>
                    </a:prstGeom>
                    <a:noFill/>
                  </pic:spPr>
                </pic:pic>
              </a:graphicData>
            </a:graphic>
          </wp:anchor>
        </w:drawing>
      </w:r>
    </w:p>
    <w:p>
      <w:pPr>
        <w:sectPr>
          <w:pgSz w:w="11900" w:h="16838" w:orient="portrait"/>
          <w:cols w:equalWidth="0" w:num="1">
            <w:col w:w="9019"/>
          </w:cols>
          <w:pgMar w:left="1440" w:top="270" w:right="1440" w:bottom="798" w:gutter="0" w:footer="0" w:header="0"/>
        </w:sectPr>
      </w:pPr>
    </w:p>
    <w:p>
      <w:pPr>
        <w:spacing w:after="0" w:line="35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tables illustrate varying ownership levels in FS Development assuming the factors mentioned above:</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1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 redemption</w:t>
            </w: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212"/>
        </w:trPr>
        <w:tc>
          <w:tcPr>
            <w:tcW w:w="3660" w:type="dxa"/>
            <w:vAlign w:val="bottom"/>
          </w:tcPr>
          <w:p>
            <w:pPr>
              <w:spacing w:after="0"/>
              <w:rPr>
                <w:sz w:val="18"/>
                <w:szCs w:val="18"/>
                <w:color w:val="auto"/>
              </w:rPr>
            </w:pPr>
          </w:p>
        </w:tc>
        <w:tc>
          <w:tcPr>
            <w:tcW w:w="136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7"/>
        </w:trPr>
        <w:tc>
          <w:tcPr>
            <w:tcW w:w="3660" w:type="dxa"/>
            <w:vAlign w:val="bottom"/>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660" w:type="dxa"/>
            <w:vAlign w:val="bottom"/>
          </w:tcPr>
          <w:p>
            <w:pPr>
              <w:spacing w:after="0"/>
              <w:rPr>
                <w:sz w:val="20"/>
                <w:szCs w:val="20"/>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6"/>
        </w:trPr>
        <w:tc>
          <w:tcPr>
            <w:tcW w:w="3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Corp. public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Corp. Sponsor and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41"/>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40"/>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Other Investors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Upon Closing, the Board anticipates having seven directors, with each Class I director having an initial term that expires at the Combined Entity’s annual meeting of stockholders in 2021, each Class II director having an initial term that expires at the Combined Entity’s annual meeting of stockholders in 2022, and each Class</w:t>
      </w:r>
    </w:p>
    <w:p>
      <w:pPr>
        <w:spacing w:after="0" w:line="1" w:lineRule="exact"/>
        <w:rPr>
          <w:sz w:val="20"/>
          <w:szCs w:val="20"/>
          <w:color w:val="auto"/>
        </w:rPr>
      </w:pPr>
    </w:p>
    <w:p>
      <w:pPr>
        <w:jc w:val="both"/>
        <w:ind w:left="540" w:right="559" w:firstLine="4"/>
        <w:spacing w:after="0" w:line="253" w:lineRule="auto"/>
        <w:tabs>
          <w:tab w:leader="none" w:pos="78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having an initial term that expires at the Combined Entity’s annual meeting of stockholders in 2023, or in each case until their respective successors are duly elected and qualified, or until their earlier resignation, removal or death.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for additional information.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Nasdaq Stock Issuance Proposal</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 xml:space="preserve">As the consideration for the Business Combination, FS Development is obligated to issue up to 21,500,000 shares of FS Development Class A Common Stock to the Gemini Equityholders,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In addition, in connection with the Business Combination, 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entered into the Subscription Agreements with investors to purchase 9,506,000 shares of Class A Common Stock for an aggregate amount of $95,060,000, subject to certain conditions, including that all conditions precedent to the Closing will have been satisfied or waived (other than those conditions that are to be satisfied at Closing).</w:t>
      </w:r>
    </w:p>
    <w:p>
      <w:pPr>
        <w:spacing w:after="0" w:line="12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for purposes of complying with the Nasdaq Listing Rules, the issuance of up to 21,500,000 newly issued shares of FS Development Class A Common Stock pursuant to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9,506,000 newly issued shares of FS Development Class A Common Stock in the PIPE Investment. See the section titled “</w:t>
      </w:r>
      <w:r>
        <w:rPr>
          <w:rFonts w:ascii="Times New Roman" w:cs="Times New Roman" w:eastAsia="Times New Roman" w:hAnsi="Times New Roman"/>
          <w:sz w:val="18"/>
          <w:szCs w:val="18"/>
          <w:i w:val="1"/>
          <w:iCs w:val="1"/>
          <w:color w:val="auto"/>
        </w:rPr>
        <w:t>The Nasdaq Stock Issuance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and adopt, subject to and conditional on (but with immediate effect therefrom) approval of the Business Combination Proposal, the Nasdaq Stock Issuance Proposal, the Incentive Plan Proposal and the Closing, an amendment and restatement of the Current Charter, as set out in the Proposed Charter appended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See the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Advisory Proposals</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00" w:right="559" w:hanging="424"/>
        <w:spacing w:after="0" w:line="286" w:lineRule="auto"/>
        <w:tabs>
          <w:tab w:leader="none" w:pos="14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250,000,000 shares;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1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63" w:lineRule="auto"/>
        <w:tabs>
          <w:tab w:leader="none" w:pos="154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w:t>
      </w:r>
    </w:p>
    <w:p>
      <w:pPr>
        <w:sectPr>
          <w:pgSz w:w="11900" w:h="16838" w:orient="portrait"/>
          <w:cols w:equalWidth="0" w:num="1">
            <w:col w:w="9019"/>
          </w:cols>
          <w:pgMar w:left="1440" w:top="270" w:right="1440" w:bottom="798"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98" w:gutter="0" w:footer="0" w:header="0"/>
          <w:type w:val="continuous"/>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41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794194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39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Incentive Plan Proposal</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 is proposing that its stockholders approve and adopt the Equity Incentive Plan of the Combined Entity, which will become effective as of the date immediately preceding the date of the Closing and will have the following principal features:</w:t>
      </w:r>
    </w:p>
    <w:p>
      <w:pPr>
        <w:spacing w:after="0" w:line="104" w:lineRule="exact"/>
        <w:rPr>
          <w:sz w:val="20"/>
          <w:szCs w:val="20"/>
          <w:color w:val="auto"/>
        </w:rPr>
      </w:pPr>
    </w:p>
    <w:p>
      <w:pPr>
        <w:jc w:val="both"/>
        <w:ind w:left="1400" w:right="559" w:hanging="424"/>
        <w:spacing w:after="0" w:line="255" w:lineRule="auto"/>
        <w:tabs>
          <w:tab w:leader="none" w:pos="14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Equity Incentive Plan provides for the grant of incentive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options, stock appreciation rights, restricted stock awards, restricted stock unit awards, unrestricted stock awards, and dividend equivalent rights, or collectively, stock awards, all of which may be granted to employees, including officers, non-employee directors and consultants of the Combined Entity and its affiliates. Additionally, the Equity Incentive Plan provides for the grant of performance-based cash awards. Incentive stock options may be granted only to employees. All other awards may be granted to employees, including officers, and to non-employee directors and consultants.</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Available for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the aggregate number of shares of Common Stock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issued pursuant to stock awards under the Equity Incentive Plan after the Equity Incentive Plan becomes effective will not exceed 4,264,341 shares. Additionally,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51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Non-Employee Director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of all awards awarded under the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and all other cash compensation paid by the Combined Entity to any non-employee director in any calendar year for services as a non-employee director will not exceed $750,000, or $1,000,000 for the year in which a non-employee director is first appointed or elected to the Combined Entity’s board of directors.</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A summary of the Equity Incentive Plan is set forth in the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xml:space="preserve">” section of this proxy statement/prospectus and a complete copy of the Equity Incentive Plan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Date, Time and Place of Special Meeting</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The Special Meeting will be held on February 3, 2021, at 10:00 a.m., Eastern time, conducted via live webcast at the following address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 You will need the 12-digit 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06" w:lineRule="exact"/>
        <w:rPr>
          <w:sz w:val="20"/>
          <w:szCs w:val="20"/>
          <w:color w:val="auto"/>
        </w:rPr>
      </w:pPr>
    </w:p>
    <w:p>
      <w:pPr>
        <w:jc w:val="both"/>
        <w:ind w:left="540" w:right="559"/>
        <w:spacing w:after="0" w:line="281" w:lineRule="auto"/>
        <w:rPr>
          <w:sz w:val="20"/>
          <w:szCs w:val="20"/>
          <w:color w:val="auto"/>
        </w:rPr>
      </w:pPr>
      <w:r>
        <w:rPr>
          <w:rFonts w:ascii="Times New Roman" w:cs="Times New Roman" w:eastAsia="Times New Roman" w:hAnsi="Times New Roman"/>
          <w:sz w:val="17"/>
          <w:szCs w:val="17"/>
          <w:color w:val="auto"/>
        </w:rPr>
        <w:t>Only holders of record of issued and outstanding FS Development Common Stock as of the close of business on January 15, 2021, the Record Date for the Special Meeting, are entitled to notice of, and to vote at, the Special Meeting or any adjournment or postponement of the Special Meeting. You may cast one vote for each share of FS Development Common Stock that you owned as of the close of business on the Record Date.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Times New Roman" w:cs="Times New Roman" w:eastAsia="Times New Roman" w:hAnsi="Times New Roman"/>
          <w:sz w:val="18"/>
          <w:szCs w:val="18"/>
          <w:i w:val="1"/>
          <w:iCs w:val="1"/>
          <w:color w:val="auto"/>
        </w:rPr>
        <w:t>Special Meeting of FS Development Stockholders — Revoking Your Proxy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the holders of a majority of the FS Development Common Stock outstanding and entitled to vote at the Special Meeting is represented in person (which would include presence at a virtual meeting) or by proxy at the Special Meeting. Abstentions will count as present for the purposes of establishing a quorum. Broker non-votes will not be counted for purposes of establishing a quorum.</w:t>
      </w:r>
    </w:p>
    <w:p>
      <w:pPr>
        <w:spacing w:after="0" w:line="10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1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and the Adjournment Proposal.</w:t>
      </w:r>
    </w:p>
    <w:p>
      <w:pPr>
        <w:spacing w:after="0" w:line="1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Unless the Business Combination Proposal is approved, the Nasdaq Stock Issuance Proposal, the Charter Amendment Proposal, and the Incentive Plan Proposal will not be presented to the stockholders of FS Development at the Special Meeting. The Adjournment Proposal is not conditioned on any other Proposal and does not require the approval of any other Proposal to be effective. It is important for you to note that in the event the Business Combination Proposal, the Nasdaq Stock Issuance Proposal, the Charter Amendment Proposal, and the Incentive Plan Proposal do not receive the requisite vote for approval, then FS Development will not consummate the Business Combination. If FS Development does not consummate the Business Combination and fails to complete an initial business combination by August 14, 2022, it will be required to dissolve and liquidate its Trust Account by returning the then remaining funds in such account to its public stockholders.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 to FS Development Stockholders</w:t>
      </w:r>
    </w:p>
    <w:p>
      <w:pPr>
        <w:spacing w:after="0" w:line="144" w:lineRule="exact"/>
        <w:rPr>
          <w:sz w:val="20"/>
          <w:szCs w:val="20"/>
          <w:color w:val="auto"/>
        </w:rPr>
      </w:pPr>
    </w:p>
    <w:p>
      <w:pPr>
        <w:jc w:val="both"/>
        <w:ind w:left="540" w:right="559"/>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the Proposals to be presented at the Special Meeting are in the best interests of FS Development and its stockholders and unanimously recommends that FS Development stockholders vote “FOR” the Proposals.</w:t>
      </w:r>
    </w:p>
    <w:p>
      <w:pPr>
        <w:spacing w:after="0" w:line="107"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these Proposals, you should keep in mind that FS Development directors and officers have interests in the Business Combination that are different from or in addition to (and which may conflict with) your interests as a stockholder. These interests include, among other things:</w:t>
      </w:r>
    </w:p>
    <w:p>
      <w:pPr>
        <w:spacing w:after="0" w:line="112" w:lineRule="exact"/>
        <w:rPr>
          <w:sz w:val="20"/>
          <w:szCs w:val="20"/>
          <w:color w:val="auto"/>
        </w:rPr>
      </w:pPr>
    </w:p>
    <w:p>
      <w:pPr>
        <w:jc w:val="both"/>
        <w:ind w:left="1400" w:right="559" w:hanging="424"/>
        <w:spacing w:after="0" w:line="258" w:lineRule="auto"/>
        <w:tabs>
          <w:tab w:leader="none" w:pos="14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spacing w:after="0" w:line="270" w:lineRule="auto"/>
        <w:rPr>
          <w:sz w:val="20"/>
          <w:szCs w:val="20"/>
          <w:color w:val="auto"/>
        </w:rPr>
      </w:pPr>
      <w:r>
        <w:rPr>
          <w:rFonts w:ascii="Times New Roman" w:cs="Times New Roman" w:eastAsia="Times New Roman" w:hAnsi="Times New Roman"/>
          <w:sz w:val="17"/>
          <w:szCs w:val="17"/>
          <w:color w:val="auto"/>
        </w:rPr>
        <w:t>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3" w:lineRule="exact"/>
        <w:rPr>
          <w:sz w:val="20"/>
          <w:szCs w:val="20"/>
          <w:color w:val="auto"/>
        </w:rPr>
      </w:pPr>
    </w:p>
    <w:p>
      <w:pPr>
        <w:jc w:val="both"/>
        <w:ind w:left="1400" w:right="559"/>
        <w:spacing w:after="0" w:line="253" w:lineRule="auto"/>
        <w:rPr>
          <w:sz w:val="20"/>
          <w:szCs w:val="20"/>
          <w:color w:val="auto"/>
        </w:rPr>
      </w:pPr>
      <w:r>
        <w:rPr>
          <w:rFonts w:ascii="Times New Roman" w:cs="Times New Roman" w:eastAsia="Times New Roman" w:hAnsi="Times New Roman"/>
          <w:sz w:val="18"/>
          <w:szCs w:val="18"/>
          <w:color w:val="auto"/>
        </w:rPr>
        <w:t>(iii)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21" w:lineRule="exact"/>
        <w:rPr>
          <w:sz w:val="20"/>
          <w:szCs w:val="20"/>
          <w:color w:val="auto"/>
        </w:rPr>
      </w:pPr>
    </w:p>
    <w:p>
      <w:pPr>
        <w:jc w:val="both"/>
        <w:ind w:left="1400" w:right="559" w:hanging="424"/>
        <w:spacing w:after="0" w:line="258" w:lineRule="auto"/>
        <w:tabs>
          <w:tab w:leader="none" w:pos="14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5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55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Business Combination, FS Development will continue to indemnify FS Development’s existing directors and officers and will maintain a directors’ and officers’ liability insurance policy.</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449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9244965"/>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sectPr>
      </w:pPr>
    </w:p>
    <w:p>
      <w:pPr>
        <w:spacing w:after="0" w:line="358" w:lineRule="exact"/>
        <w:rPr>
          <w:sz w:val="20"/>
          <w:szCs w:val="20"/>
          <w:color w:val="auto"/>
        </w:rPr>
      </w:pPr>
    </w:p>
    <w:p>
      <w:pPr>
        <w:jc w:val="both"/>
        <w:ind w:left="1400" w:right="559" w:hanging="424"/>
        <w:spacing w:after="0" w:line="255" w:lineRule="auto"/>
        <w:tabs>
          <w:tab w:leader="none" w:pos="15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Class A Common Stock is publicly traded on Nasdaq, under the symbol “FSDC.” FS Development intends to apply to list the common stock of the Combined Entity on Nasdaq under the symbol “GMNI”, upon the Closing.</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Sources and Uses for the Business Combination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summarizes the sources and uses for funding the Business Combination based on (i) the assumption that there will be no redemptions and (ii) the assumption that there will be maximum redemptions. See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112" w:lineRule="exact"/>
        <w:rPr>
          <w:sz w:val="20"/>
          <w:szCs w:val="20"/>
          <w:color w:val="auto"/>
        </w:rPr>
      </w:pPr>
    </w:p>
    <w:p>
      <w:pPr>
        <w:ind w:left="940" w:hanging="396"/>
        <w:spacing w:after="0"/>
        <w:tabs>
          <w:tab w:leader="none" w:pos="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redemptions</w:t>
      </w: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120,751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2"/>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(ii) Maximum redemptions</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5,001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Following the Closing, the rights of the Combined Entity’s Stockholders will be governed by the Proposed Charter and the Amended By-laws. See the section 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5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w:t>
      </w:r>
    </w:p>
    <w:p>
      <w:pPr>
        <w:sectPr>
          <w:pgSz w:w="11900" w:h="16838" w:orient="portrait"/>
          <w:cols w:equalWidth="0" w:num="1">
            <w:col w:w="9019"/>
          </w:cols>
          <w:pgMar w:left="1440" w:top="270" w:right="1440" w:bottom="852"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type w:val="continuous"/>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074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340741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8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our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4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33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913384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GEMINI</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summary statements of operations data for the years ended December 31, 2018 and 2019 and the balance sheet data as of December 31, 2019 from its audited financial statements included elsewhere in this proxy statement/prospectus. The summary statements of operations data for the nine months ended September 30, 2019 and 2020 and the summary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Gemini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Nine Months Ended September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4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40" w:type="dxa"/>
            <w:vAlign w:val="bottom"/>
          </w:tcPr>
          <w:p>
            <w:pPr>
              <w:spacing w:after="0"/>
              <w:rPr>
                <w:sz w:val="21"/>
                <w:szCs w:val="21"/>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3160" w:type="dxa"/>
            <w:vAlign w:val="bottom"/>
            <w:gridSpan w:val="2"/>
            <w:vMerge w:val="continue"/>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3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20"/>
                <w:szCs w:val="20"/>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4,811,641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5,171,537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18,528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380" w:type="dxa"/>
            <w:vAlign w:val="bottom"/>
            <w:gridSpan w:val="4"/>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47,113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1"/>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(70,797)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014"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935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593598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FS DEVELOPMENT</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in conjunction with FS Development’s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FS Development</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From June 25,</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6"/>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452,486</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Pr>
          <w:p>
            <w:pPr>
              <w:spacing w:after="0"/>
              <w:rPr>
                <w:sz w:val="21"/>
                <w:szCs w:val="21"/>
                <w:color w:val="auto"/>
              </w:rPr>
            </w:pPr>
          </w:p>
        </w:tc>
      </w:tr>
      <w:tr>
        <w:trPr>
          <w:trHeight w:val="41"/>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12,516,500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r>
      <w:tr>
        <w:trPr>
          <w:trHeight w:val="403"/>
        </w:trPr>
        <w:tc>
          <w:tcPr>
            <w:tcW w:w="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6340" w:type="dxa"/>
            <w:vAlign w:val="bottom"/>
            <w:tcBorders>
              <w:bottom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64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87649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UNAUDITED PRO FORMA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13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has been derived from the unaudited pro forma condensed combined balance sheet as of September 30, 2020 and the unaudited pro forma condensed combined statements of operations for the year ended December 31, 2019 and the nine months ended September 30, 2020 included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 Development and Gemini, including the accompanying notes, which are included elsewhere in this proxy statement/prospectus.</w:t>
      </w:r>
    </w:p>
    <w:p>
      <w:pPr>
        <w:spacing w:after="0" w:line="10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capitalization, with no goodwill or other intangible assets recorded, in accordance with GAAP. Under this method of accounting, FS Development is treated as the “acquired” company for financial reporting purposes.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are stated at historical cost, with no goodwill or other intangible assets recorded. Operations prior to the Business Combination are those of Gemini.</w:t>
      </w:r>
    </w:p>
    <w:p>
      <w:pPr>
        <w:spacing w:after="0" w:line="12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into cash of FS Development Common Stock:</w:t>
      </w:r>
    </w:p>
    <w:p>
      <w:pPr>
        <w:spacing w:after="0" w:line="92" w:lineRule="exact"/>
        <w:rPr>
          <w:sz w:val="20"/>
          <w:szCs w:val="20"/>
          <w:color w:val="auto"/>
        </w:rPr>
      </w:pPr>
    </w:p>
    <w:p>
      <w:pPr>
        <w:ind w:left="1400" w:right="559" w:hanging="424"/>
        <w:spacing w:after="0" w:line="284" w:lineRule="auto"/>
        <w:tabs>
          <w:tab w:leader="none" w:pos="16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No Redemptions</w:t>
      </w:r>
      <w:r>
        <w:rPr>
          <w:rFonts w:ascii="Times New Roman" w:cs="Times New Roman" w:eastAsia="Times New Roman" w:hAnsi="Times New Roman"/>
          <w:sz w:val="18"/>
          <w:szCs w:val="18"/>
          <w:color w:val="auto"/>
        </w:rPr>
        <w:t>: This presentation assumes that no FS Development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exercise redemption rights with respect to their Public Shares.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53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stockholders, without giving effect to the Subscription Agreements entered into by certain FS Development public stockholders participating in the PIPE Investment, exercise redemption rights with respect to their shares of FS Development Class A Common Stock. This scenario assumes that 11,152,375 FS Development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6"/>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For the Nine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Months Ended September 30, 2020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FSDC</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24,748</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(24,748)</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(33,938)</w:t>
            </w:r>
          </w:p>
        </w:tc>
      </w:tr>
      <w:tr>
        <w:trPr>
          <w:trHeight w:val="24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A</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(0.96)</w:t>
            </w:r>
          </w:p>
        </w:tc>
      </w:tr>
      <w:tr>
        <w:trPr>
          <w:trHeight w:val="40"/>
        </w:trPr>
        <w:tc>
          <w:tcPr>
            <w:tcW w:w="30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B</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Historical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6"/>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6"/>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Year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FSDC</w:t>
            </w: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scenario</w:t>
            </w:r>
          </w:p>
        </w:tc>
      </w:tr>
      <w:tr>
        <w:trPr>
          <w:trHeight w:val="47"/>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41,225</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(41,225)</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(41,400)</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98"/>
        </w:trPr>
        <w:tc>
          <w:tcPr>
            <w:tcW w:w="8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46"/>
        </w:trPr>
        <w:tc>
          <w:tcPr>
            <w:tcW w:w="80" w:type="dxa"/>
            <w:vAlign w:val="bottom"/>
            <w:tcBorders>
              <w:left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 Sheet – As of September 30, 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FSDC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8"/>
              </w:rPr>
              <w:t>Gemini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6"/>
        </w:trPr>
        <w:tc>
          <w:tcPr>
            <w:tcW w:w="3040" w:type="dxa"/>
            <w:vAlign w:val="bottom"/>
            <w:tcBorders>
              <w:left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2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95,491</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16,253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18,033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24,531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Borders>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408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9408160"/>
                    </a:xfrm>
                    <a:prstGeom prst="rect">
                      <a:avLst/>
                    </a:prstGeom>
                    <a:noFill/>
                  </pic:spPr>
                </pic:pic>
              </a:graphicData>
            </a:graphic>
          </wp:anchor>
        </w:drawing>
      </w:r>
    </w:p>
    <w:p>
      <w:pPr>
        <w:sectPr>
          <w:pgSz w:w="11900" w:h="16838" w:orient="portrait"/>
          <w:cols w:equalWidth="0" w:num="1">
            <w:col w:w="9019"/>
          </w:cols>
          <w:pgMar w:left="1440" w:top="270" w:right="1440" w:bottom="596"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per share data of FS Development on a stand-alone basis and the unaudited pro forma condensed combined per share data for the year ended December 31, 2019 and the nine months ended September 30, 2020 after giving effect to the Business Combination, (1) assuming no FS Development stockholders exercise redemption rights with respect to their Public Shares upon the Closing; and</w:t>
      </w:r>
    </w:p>
    <w:p>
      <w:pPr>
        <w:spacing w:after="0" w:line="3" w:lineRule="exact"/>
        <w:rPr>
          <w:sz w:val="20"/>
          <w:szCs w:val="20"/>
          <w:color w:val="auto"/>
        </w:rPr>
      </w:pPr>
    </w:p>
    <w:p>
      <w:pPr>
        <w:ind w:left="540" w:right="559" w:firstLine="4"/>
        <w:spacing w:after="0" w:line="260" w:lineRule="auto"/>
        <w:tabs>
          <w:tab w:leader="none" w:pos="8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FS Development stockholders exercise their redemption rights with respect to a maximum of 11,152,375 Public Shares upon the Closing.</w:t>
      </w:r>
    </w:p>
    <w:p>
      <w:pPr>
        <w:spacing w:after="0" w:line="11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You should read the information in the following table in conjunction with the selected historical financial information summary included elsewhere in this proxy statement/prospectus, and the historical financial statements of FS Development and Gemini and related notes that are included elsewhere in this proxy statement/prospectus. The unaudited FS Development and Gemini pro forma combined per share information is derived from, and should be read in conjunction with, the unaudited pro forma condensed combined financial statements and related notes included elsewhere in this proxy statement/prospectus.</w:t>
      </w:r>
    </w:p>
    <w:p>
      <w:pPr>
        <w:spacing w:after="0" w:line="10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FS Development and Gemini would have been had the companies been combined during the periods presented.</w:t>
      </w:r>
    </w:p>
    <w:p>
      <w:pPr>
        <w:spacing w:after="0" w:line="1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Gemini equivalent pro forma</w:t>
      </w:r>
    </w:p>
    <w:p>
      <w:pPr>
        <w:spacing w:after="0" w:line="11" w:lineRule="exact"/>
        <w:rPr>
          <w:sz w:val="20"/>
          <w:szCs w:val="20"/>
          <w:color w:val="auto"/>
        </w:rPr>
      </w:pPr>
    </w:p>
    <w:p>
      <w:pPr>
        <w:ind w:left="3160"/>
        <w:spacing w:after="0"/>
        <w:tabs>
          <w:tab w:leader="none" w:pos="4760" w:val="left"/>
          <w:tab w:leader="none" w:pos="6960" w:val="left"/>
        </w:tabs>
        <w:rPr>
          <w:sz w:val="20"/>
          <w:szCs w:val="20"/>
          <w:color w:val="auto"/>
        </w:rPr>
      </w:pPr>
      <w:r>
        <w:rPr>
          <w:rFonts w:ascii="Times New Roman" w:cs="Times New Roman" w:eastAsia="Times New Roman" w:hAnsi="Times New Roman"/>
          <w:sz w:val="14"/>
          <w:szCs w:val="14"/>
          <w:b w:val="1"/>
          <w:bCs w:val="1"/>
          <w:color w:val="auto"/>
        </w:rPr>
        <w:t>Historical</w:t>
      </w:r>
      <w:r>
        <w:rPr>
          <w:sz w:val="20"/>
          <w:szCs w:val="20"/>
          <w:color w:val="auto"/>
        </w:rPr>
        <w:tab/>
      </w:r>
      <w:r>
        <w:rPr>
          <w:rFonts w:ascii="Times New Roman" w:cs="Times New Roman" w:eastAsia="Times New Roman" w:hAnsi="Times New Roman"/>
          <w:sz w:val="14"/>
          <w:szCs w:val="14"/>
          <w:b w:val="1"/>
          <w:bCs w:val="1"/>
          <w:color w:val="auto"/>
        </w:rPr>
        <w:t>Pro Forma Combined</w:t>
      </w:r>
      <w:r>
        <w:rPr>
          <w:sz w:val="20"/>
          <w:szCs w:val="20"/>
          <w:color w:val="auto"/>
        </w:rPr>
        <w:tab/>
      </w: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9"/>
          <w:szCs w:val="19"/>
          <w:b w:val="1"/>
          <w:bCs w:val="1"/>
          <w:color w:val="auto"/>
          <w:vertAlign w:val="superscript"/>
        </w:rPr>
        <w:t>(3)</w:t>
      </w:r>
    </w:p>
    <w:p>
      <w:pPr>
        <w:spacing w:after="0" w:line="13" w:lineRule="exact"/>
        <w:rPr>
          <w:sz w:val="20"/>
          <w:szCs w:val="20"/>
          <w:color w:val="auto"/>
        </w:rPr>
      </w:pPr>
    </w:p>
    <w:tbl>
      <w:tblPr>
        <w:tblLayout w:type="fixed"/>
        <w:tblInd w:w="540" w:type="dxa"/>
        <w:tblCellMar>
          <w:top w:w="0" w:type="dxa"/>
          <w:left w:w="0" w:type="dxa"/>
          <w:bottom w:w="0" w:type="dxa"/>
          <w:right w:w="0" w:type="dxa"/>
        </w:tblCellMar>
      </w:tblPr>
      <w:tr>
        <w:trPr>
          <w:trHeight w:val="183"/>
        </w:trPr>
        <w:tc>
          <w:tcPr>
            <w:tcW w:w="1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(in thousands, except share</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02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Assuming Max</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83"/>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per share amounts)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center"/>
              <w:ind w:right="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10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Max</w:t>
            </w:r>
          </w:p>
        </w:tc>
        <w:tc>
          <w:tcPr>
            <w:tcW w:w="0" w:type="dxa"/>
            <w:vAlign w:val="bottom"/>
          </w:tcPr>
          <w:p>
            <w:pPr>
              <w:spacing w:after="0"/>
              <w:rPr>
                <w:sz w:val="1"/>
                <w:szCs w:val="1"/>
                <w:color w:val="auto"/>
              </w:rPr>
            </w:pPr>
          </w:p>
        </w:tc>
      </w:tr>
      <w:tr>
        <w:trPr>
          <w:trHeight w:val="190"/>
        </w:trPr>
        <w:tc>
          <w:tcPr>
            <w:tcW w:w="1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 of and for the Nine</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r>
              <w:rPr>
                <w:rFonts w:ascii="Times New Roman" w:cs="Times New Roman" w:eastAsia="Times New Roman" w:hAnsi="Times New Roman"/>
                <w:sz w:val="21"/>
                <w:szCs w:val="21"/>
                <w:b w:val="1"/>
                <w:bCs w:val="1"/>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Book value per share, basic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r>
              <w:rPr>
                <w:rFonts w:ascii="Times New Roman" w:cs="Times New Roman" w:eastAsia="Times New Roman" w:hAnsi="Times New Roman"/>
                <w:sz w:val="21"/>
                <w:szCs w:val="21"/>
                <w:color w:val="auto"/>
                <w:vertAlign w:val="superscript"/>
              </w:rPr>
              <w:t>(1)(2)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0.90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17,877,339</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17,877,339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21"/>
                <w:szCs w:val="21"/>
                <w:b w:val="1"/>
                <w:bCs w:val="1"/>
                <w:color w:val="auto"/>
                <w:vertAlign w:val="superscript"/>
              </w:rPr>
              <w:t>(4)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17,877,339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17,877,339</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1005"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 Total equity (deficit)/shares outstanding at September 30, 2020 for FSDC, Gemini and the pro forma.</w:t>
      </w:r>
    </w:p>
    <w:p>
      <w:pPr>
        <w:ind w:left="980" w:right="559" w:hanging="436"/>
        <w:spacing w:after="0" w:line="264" w:lineRule="auto"/>
        <w:tabs>
          <w:tab w:leader="none" w:pos="101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Book value per share and Net income (loss) per share are based on Class A and Class B common stock for FSDC and total common stock for Gemini.</w:t>
      </w:r>
    </w:p>
    <w:p>
      <w:pPr>
        <w:jc w:val="both"/>
        <w:ind w:left="980" w:right="559" w:hanging="436"/>
        <w:spacing w:after="0" w:line="264" w:lineRule="auto"/>
        <w:tabs>
          <w:tab w:leader="none" w:pos="1029"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Gemini is based on the expected exchange ratio of 0.2179 (calculated as of the Record Date, assuming interest on the Convertible Notes accrues through the expected Closing Date of February 5, 2020) for both No Redemptions and Max Redemptions scenarios. The equivalent pro forma shares outstanding for Gemini represent the total consideration shares of up to 21.5 million, less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Merger Consideration</w:t>
      </w:r>
      <w:r>
        <w:rPr>
          <w:rFonts w:ascii="Times New Roman" w:cs="Times New Roman" w:eastAsia="Times New Roman" w:hAnsi="Times New Roman"/>
          <w:sz w:val="16"/>
          <w:szCs w:val="16"/>
          <w:color w:val="auto"/>
        </w:rPr>
        <w:t>.”</w:t>
      </w:r>
    </w:p>
    <w:p>
      <w:pPr>
        <w:ind w:left="980" w:hanging="436"/>
        <w:spacing w:after="0"/>
        <w:tabs>
          <w:tab w:leader="none" w:pos="9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periods presented.</w:t>
      </w:r>
    </w:p>
    <w:p>
      <w:pPr>
        <w:sectPr>
          <w:pgSz w:w="11900" w:h="16838" w:orient="portrait"/>
          <w:cols w:equalWidth="0" w:num="1">
            <w:col w:w="9019"/>
          </w:cols>
          <w:pgMar w:left="1440" w:top="270" w:right="1440" w:bottom="596" w:gutter="0" w:footer="0" w:header="0"/>
          <w:type w:val="continuous"/>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96" w:gutter="0" w:footer="0" w:header="0"/>
          <w:type w:val="continuous"/>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will apply to our business and operations following the completion of the Business Combination. These risk factors are not exhaustive and we may face additional risks and uncertainties that are not presently known to us, or that we currently deem immaterial, which may also impair our business, prospects, financial condition or operating results.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FS Development Common Stock. The following discussion should be read in conjunction with our financial statements and the financial statements of Gemini and the notes to the financial statements included herein.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Gemini</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Gemini”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incurred significant losses since its inception and expects to incur losses for the foreseeable future.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years ended December 31, 2018 and 2019, respectively. For the nine months ended September 30, 2020, Gemini reported a net loss of $26.5 million. As of September 30, 2020, Gemini had an accumulated deficit of $98.5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13" w:lineRule="exact"/>
        <w:rPr>
          <w:sz w:val="20"/>
          <w:szCs w:val="20"/>
          <w:color w:val="auto"/>
        </w:rPr>
      </w:pPr>
    </w:p>
    <w:p>
      <w:pPr>
        <w:ind w:left="1320" w:right="479" w:hanging="434"/>
        <w:spacing w:after="0" w:line="282" w:lineRule="auto"/>
        <w:tabs>
          <w:tab w:leader="none" w:pos="13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larger scale clinical trials for its lead product candidate, GEM103, and any other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discovers and develops new product candidates, and conducts nonclinical studies and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or has manufactured, clinical and commercial supplies of its product candidates;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its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commercializes GEM103 or any other product candidates, if approved;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to transition from a company with a research focus to a company capable of supporting commercial activities, including establishing sales, marketing and distribution infrastructure;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scientific, and management personnel;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additional compounds or product candidates and acquires rights from third parties to those compounds or product candidates through licenses;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additional costs associated with operating as a public company following the Business Combination.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currently has a limited operating history, has not generated any revenue to date, and may never become profitable.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21" w:lineRule="exact"/>
        <w:rPr>
          <w:sz w:val="20"/>
          <w:szCs w:val="20"/>
          <w:color w:val="auto"/>
        </w:rPr>
      </w:pPr>
    </w:p>
    <w:p>
      <w:pPr>
        <w:ind w:left="1320" w:right="479" w:hanging="434"/>
        <w:spacing w:after="0" w:line="282" w:lineRule="auto"/>
        <w:tabs>
          <w:tab w:leader="none" w:pos="14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nonclinical studies and clinical trials for GEM103 and any other product candidates;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marketing approvals for any product candidates that complete clinical development;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2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any approved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technological and market developments;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Gemini may enter in the future and performing its obligations in such collaborations;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its intellectual property rights;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September 30, 2020, Gemini had $13.2 million of cash and cash equivalents. Gemini believes that the net proceeds from the Business Combination and the PIPE transaction, together with its existing cash and cash equivalents, will fund its projected operating requirements through at least the next 12 months.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21" w:lineRule="exact"/>
        <w:rPr>
          <w:sz w:val="20"/>
          <w:szCs w:val="20"/>
          <w:color w:val="auto"/>
        </w:rPr>
      </w:pPr>
    </w:p>
    <w:p>
      <w:pPr>
        <w:jc w:val="both"/>
        <w:ind w:left="1320" w:right="479" w:hanging="434"/>
        <w:spacing w:after="0" w:line="266" w:lineRule="auto"/>
        <w:tabs>
          <w:tab w:leader="none" w:pos="15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as well as product coverage and the adequacy of reimbursement by third-party payors;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5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need to implement additional internal systems and infrastructure, including financial and reporting systems.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is heavily dependent on the success of GEM103, its lead product candidate.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2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11" w:lineRule="exact"/>
        <w:rPr>
          <w:sz w:val="20"/>
          <w:szCs w:val="20"/>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its product candidates obsolete;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Gemini develop may nevertheless be covered by third parties’ patents or other exclusive rights;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6" w:lineRule="auto"/>
        <w:tabs>
          <w:tab w:leader="none" w:pos="159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3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12" w:lineRule="exact"/>
        <w:rPr>
          <w:sz w:val="20"/>
          <w:szCs w:val="20"/>
          <w:color w:val="auto"/>
        </w:rPr>
      </w:pPr>
    </w:p>
    <w:p>
      <w:pPr>
        <w:jc w:val="both"/>
        <w:ind w:left="1320" w:right="459" w:hanging="434"/>
        <w:spacing w:after="0" w:line="255" w:lineRule="auto"/>
        <w:tabs>
          <w:tab w:leader="none" w:pos="151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9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0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encounter difficulties in managing its growth, which could adversely affect its operations.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November 30, 2020,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Gemini’s disclosure controls and procedures may not prevent or detect all errors or acts of fraud.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its Chief Technology Officer, Scott Lauder, Ph.D., its Chief Medical Officer, Marc Uknis, M.D., and its interim Chief Financial Officer, Gregg Beloff.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3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generally affect patient enrollment include:</w:t>
      </w:r>
    </w:p>
    <w:p>
      <w:pPr>
        <w:spacing w:after="0" w:line="144" w:lineRule="exact"/>
        <w:rPr>
          <w:sz w:val="20"/>
          <w:szCs w:val="20"/>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where patients are to be enrolled;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faces substantial competition, which may result in others discovering, developing or commercializing products before or more successfully than us.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its business and financial condition.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might not be able to utilize a significant portion of its U.S. NOL carryforwards and U.S. research and development tax credit carryforwards.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uses and generates materials that may expose it to material liability.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Government Regulation”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GEM103 or its other product candidates could fail to receive regulatory approval from the FDA or an applicable foreign regulatory authority for many reasons, including:</w:t>
      </w:r>
    </w:p>
    <w:p>
      <w:pPr>
        <w:spacing w:after="0" w:line="94" w:lineRule="exact"/>
        <w:rPr>
          <w:sz w:val="20"/>
          <w:szCs w:val="20"/>
          <w:color w:val="auto"/>
        </w:rPr>
      </w:pPr>
    </w:p>
    <w:p>
      <w:pPr>
        <w:ind w:left="1300" w:hanging="41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its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its interpretation of data from nonclinical studies or clinical trials;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its product candidates to obtain regulatory approval;</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facilities of third-party manufacturers with whom Gemini contract for clinical and commercial supplies; or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its nonclinical and clinical data insufficient for approval.</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108" w:lineRule="exact"/>
        <w:rPr>
          <w:sz w:val="20"/>
          <w:szCs w:val="20"/>
          <w:color w:val="auto"/>
        </w:rPr>
      </w:pPr>
    </w:p>
    <w:p>
      <w:pPr>
        <w:jc w:val="both"/>
        <w:ind w:left="1320" w:right="459" w:hanging="434"/>
        <w:spacing w:after="0" w:line="261" w:lineRule="auto"/>
        <w:tabs>
          <w:tab w:leader="none" w:pos="13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allowance of additional IND applications that may be required;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its clinical trials and nonclinical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its ongoing nonclinical studies;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CROs to perform under these agreements, including due to impacts from the COVID-19 pandemic on their workforce;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trials, for example delays in the manufacturing of sufficient supply of finished drug product;</w:t>
      </w:r>
    </w:p>
    <w:p>
      <w:pPr>
        <w:spacing w:after="0" w:line="72" w:lineRule="exact"/>
        <w:rPr>
          <w:rFonts w:ascii="Times New Roman" w:cs="Times New Roman" w:eastAsia="Times New Roman" w:hAnsi="Times New Roman"/>
          <w:sz w:val="17"/>
          <w:szCs w:val="17"/>
          <w:color w:val="auto"/>
        </w:rPr>
      </w:pPr>
    </w:p>
    <w:p>
      <w:pPr>
        <w:ind w:left="1320" w:right="459" w:hanging="434"/>
        <w:spacing w:after="0" w:line="282" w:lineRule="auto"/>
        <w:tabs>
          <w:tab w:leader="none" w:pos="13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ethics committee or Institutional Review Board, or IRB, approval to conduct a clinical study at a prospective site or sites;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subjects in a clinical trial;</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decide, or regulatory authorities may require us, to conduct additional nonclinical or clinical trials or abandon product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or inability to validate, any endpoints utilized in a clinical trial;</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16" w:lineRule="exact"/>
        <w:rPr>
          <w:sz w:val="20"/>
          <w:szCs w:val="20"/>
          <w:color w:val="auto"/>
        </w:rPr>
      </w:pPr>
    </w:p>
    <w:p>
      <w:pPr>
        <w:ind w:left="1320" w:right="479" w:hanging="434"/>
        <w:spacing w:after="0" w:line="282" w:lineRule="auto"/>
        <w:tabs>
          <w:tab w:leader="none" w:pos="151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its clinical protocols;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safety signals, including any that could be identified in its ongoing nonclinical studies or clinical trials, adverse side effects or lack of effectiveness;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clinical trials.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its ability to profitably sell its product candidates, if approved.</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United States and many foreign jurisdictions has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2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has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2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21" w:lineRule="exact"/>
        <w:rPr>
          <w:sz w:val="20"/>
          <w:szCs w:val="20"/>
          <w:color w:val="auto"/>
        </w:rPr>
      </w:pPr>
    </w:p>
    <w:p>
      <w:pPr>
        <w:jc w:val="both"/>
        <w:ind w:left="1320" w:right="459" w:hanging="434"/>
        <w:spacing w:after="0" w:line="256" w:lineRule="auto"/>
        <w:tabs>
          <w:tab w:leader="none" w:pos="151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9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and civil monetary penalty laws, including the federal False Claims Act, which can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0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12" w:lineRule="exact"/>
        <w:rPr>
          <w:sz w:val="20"/>
          <w:szCs w:val="20"/>
          <w:color w:val="auto"/>
        </w:rPr>
      </w:pPr>
    </w:p>
    <w:p>
      <w:pPr>
        <w:ind w:left="1320" w:right="479" w:hanging="434"/>
        <w:spacing w:after="0" w:line="282" w:lineRule="auto"/>
        <w:tabs>
          <w:tab w:leader="none" w:pos="15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Gemini conduct post-marketing studies;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its ability to commercialize its products and generate revenue.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has a material adverse effect on its business, financial condition and results of operations.</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95" w:lineRule="exact"/>
        <w:rPr>
          <w:sz w:val="20"/>
          <w:szCs w:val="20"/>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GEM103 and other product candidates for which Gemini intends to seek approval as biologic products may face competition sooner than anticipated.</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has a material adverse effect on the future commercial prospects for its biological products.</w:t>
      </w:r>
    </w:p>
    <w:p>
      <w:pPr>
        <w:spacing w:after="0" w:line="11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Intellectual Property”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6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5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7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8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95" w:lineRule="exact"/>
        <w:rPr>
          <w:sz w:val="20"/>
          <w:szCs w:val="20"/>
          <w:color w:val="auto"/>
        </w:rPr>
      </w:pPr>
    </w:p>
    <w:p>
      <w:pPr>
        <w:jc w:val="both"/>
        <w:ind w:left="1320" w:right="479" w:hanging="434"/>
        <w:spacing w:after="0" w:line="261" w:lineRule="auto"/>
        <w:tabs>
          <w:tab w:leader="none" w:pos="13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7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addition, although Gemini enters into non-disclosure and confidentiality agreements with parties who have access to patentable aspects of our research and development output, such as our employees, outside scientific collaborators,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be unable to obtain intellectual property rights or technology necessary to develop and commercialize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Disputes may also arise between Gemini and Sanquin Blood Supply Foundation, as well as any future potential licensors, regarding intellectual property subject to a license agreement, including:</w:t>
      </w:r>
    </w:p>
    <w:p>
      <w:pPr>
        <w:spacing w:after="0" w:line="94" w:lineRule="exact"/>
        <w:rPr>
          <w:sz w:val="20"/>
          <w:szCs w:val="20"/>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its technology and processes infringe on intellectual property of the licensor that is not subject to the licensing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right to sublicense patent and other rights to third parties under collaborative development relationships;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its licensors and us and its partners;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its competitive position on its product candidates for an adequate amount of time.</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not be able to protect its intellectual property rights throughout the world.</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9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1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2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inability to protect its confidential information and trade secrets would harm its business and competitive position.</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08" w:lineRule="exact"/>
        <w:rPr>
          <w:sz w:val="20"/>
          <w:szCs w:val="20"/>
          <w:color w:val="auto"/>
        </w:rPr>
      </w:pPr>
    </w:p>
    <w:p>
      <w:pPr>
        <w:jc w:val="both"/>
        <w:ind w:left="1320" w:right="459" w:hanging="434"/>
        <w:spacing w:after="0" w:line="266" w:lineRule="auto"/>
        <w:tabs>
          <w:tab w:leader="none" w:pos="13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file patent applications covering certain of its or their inventions;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its technologies without infringing its owned or licensed intellectual property rights;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Gemini’s pending patent applications or those that it may own in the future will not lead to issued patents;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Gemini holds rights to may be held invalid or unenforceable, including as a result of legal challenges by its competitors;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not develop additional proprietary technologies that are patentable;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its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choose not to file a patent application in order to maintain certain trade secrets or know-how, and a third party may subsequently file a patent covering such intellectual property.</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its business, financial condition, results of operations and prospects.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that ultimately issue that cover its product candidates could be found invalid or unenforceable if challenged in court or the USPTO.</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its ability to protect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Reliance on Third Parties”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will depend upon third parties, including independent investigators, to conduct its clinical trials under agreements with universities, medical institutions, CROs, strategic partners and others. Gemini expects to has to negotiate budgets and contracts with CROs and trial sites, which may result in delays to its development timelines and increased costs.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manufacturing facilities. Gemini currently relies, and expect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27" w:lineRule="exact"/>
        <w:rPr>
          <w:sz w:val="20"/>
          <w:szCs w:val="20"/>
          <w:color w:val="auto"/>
        </w:rPr>
      </w:pPr>
    </w:p>
    <w:p>
      <w:pPr>
        <w:ind w:left="1300" w:hanging="41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72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72"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Commercialization”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12" w:lineRule="exact"/>
        <w:rPr>
          <w:sz w:val="20"/>
          <w:szCs w:val="20"/>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 as demonstrated in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clinics and patients;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its product candidates.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Gemini may develop and insurance coverage may not be adequate.</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21" w:lineRule="exact"/>
        <w:rPr>
          <w:sz w:val="20"/>
          <w:szCs w:val="20"/>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Gemini may develop;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its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its business operations;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Gemini may develop;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its stock price.</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FS Development and the Business Combination</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FS Development and Combination”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Sponsor, directors and officers have interests in the Business Combination which may be different from or in addition to (and which may conflict with) the interests of its stockholders.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Development’s Sponsor, officers and directors and their respective affiliates and associates have interests in and arising from the Business Combination that are different from, or in addition to, (and which may conflict with) the interests of FS Development’s public stockholders, which could result in a real or perceived conflict of interest. These interests include, among other things, the interests listed below:</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 .</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our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39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our Sponsor would be entitled to the repayment of any working capital loan and advances that have been made to FS Development and remain outstanding. As of the date of this proxy statement/prospectus, our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our Sponsor or certain of our officers and directors to finance transaction costs in connection with an intended initial business combination.</w:t>
      </w:r>
    </w:p>
    <w:p>
      <w:pPr>
        <w:spacing w:after="0" w:line="11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These financial interests of the Sponsor as well as FS Development’s directors and officers may have influenced their motivation in identifying and selecting Gemini as a business combination target, and their decision to approve the Business Combination. In considering the recommendations of the Board to vote for the proposals, its stockholders should consider these interests.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FS Development’s affiliates to purchase, directly or indirectly, Public Shares will increase the likelihood of approval of the Business Combination Proposal and the other Proposals and may affect the market price of the FS Development’s securities.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Sponsor, directors, officers, advisors or their affiliates may purchase shares in privately negotiated transactions either prior to or following the Closing, although they are under no obligation to do so. None of FS Development’s Sponsor, directors, officers, advisors or their affiliates will make any such purchases when such parties are in possession of any material non-public information not disclosed to the seller or during a restricted period under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Regulation M under the Exchange Act. Although none of FS Development’s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FS Development’s Sponsor, directors, officers, advisors or their affiliates, or the price such parties may pay, subject to compliance with applicable law and Nasdaq rules.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FS Development’s securities. In addition, the termination of the support provided by these purchases may materially adversely affect the market price of FS Development’s securities. In addition, if such purchases are made, the public “float” of FS Development Class A Common Stock and the number of beneficial holders of FS Development Class A Common Stock may be reduced, possibly making it difficult to obtain or maintain the quotation, listing or trading of FS Development Class A Common Stock on a national securities exchange.</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 than as expressly stated herein, there are no current commitments, plans or intentions to engage in any such transactions and no terms or conditions for any such transaction have been formulated. None of the funds in the Trust Account will be used to purchase shares in such transactions.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 did not obtain an opinion from an independent investment banking or accounting firm, and consequently, there can be no assurance from an independent source that the price FS Development is paying for is fair to FS Development from a financial point of view.</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is not required to obtain an opinion from an independent investment banking or accounting firm that the price FS Development is paying in connection with the Business Combination is fair to FS Development from a financial point of view. The Board did not obtain a third-party valuation or fairness opinion in connection with its initial determination to approve and recommend the Business Combination. Accordingly, investors will be relying solely on the judgment of the Board in valuing Gemini’s business, and assuming the risk that the Board may not have properly valued the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FS Development’s public stockholders vote.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pursuant to the Parent Support Agreement, have agreed, among other things, to vote their shares in favor of the Business Combination. Our initial stockholders own approximately 22.3% of our outstanding shares prior to the Business Combination. As a result, FS Development would need only 4,303,264, or approximately 27.7%, of the 15,535,250 shares of FS Development Common Stock to be voted in favor of the Business Combination in order to have the Business Combination approved. Accordingly, it is more likely that the necessary stockholder approval will be received than would be the case if the Sponsor agreed to vote its Founders Shares in accordance with the majority of the votes cast by FS Development’s public stockholders.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 has no operating history and is subject to a mandatory liquidation and subsequent dissolution requirement. If FS Development is unable to consummate a business combination, including the Business Combination, its public stockholders may be forced to wait more than 24 months before receiving distributions from the Trust Account.</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is a development stage blank check company, and it has no operating history and is subject to a mandatory liquidation and subsequent dissolution requirement. FS Development has until August 14, 2022 to complete a business combination. FS Development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FS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Development. Only after the expiration of this full time period will public stockholders be entitled to distributions from the Trust Account if FS Development is unable to complete a business combination. Accordingly, investors’ funds may be unavailable to them until after such date and to liquidate their investment, public security holders may be forced to sell their Public Shares, potentially at a loss.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the Combined Entity’s only significant asset will be ownership of 100% of Gemini and such ownership may not be sufficient to pay dividends or make distributions or loans to enable it to pay any dividends on its Common Stock.</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Closing, the Combined Entity will have no direct operations and no significant assets other than the ownership of 100% of Gemini. The Combined Entity will depend on Gemini for distributions, loans and other payments to generate the funds necessary to meet the Combined Entity’s financial obligations, including expenses related to operating as a publicly traded company, and to pay any dividends with respect to its Common Stock. In addition, there are legal and contractual restrictions in agreements governing current and future indebtedness of Gemini under its loan and security agreement with SVB. The earnings from, or other available assets of, Gemini, may not be sufficient to pay dividends or make distributions or loans to enable the Combined Entity to pay any dividends on its Common Stock.</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Closing, FS Development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Although FS Development has conducted due diligence on Gemini, FS Development cannot assure you that this diligence revealed all material issues that may be present in Gemini’s business, that it would be possible to uncover all material issues through a customary amount of due diligence, or that factors outside of FS Development’s and Gemini’s control will not later arise. As a result, FS Development may be forced to later write-down or write-off assets, restructure its operations, or incur impairment or other charges that could result in losses. Even if FS Development’s due diligence successfully identifies certain risks, unexpected risks may arise and previously known risks may materialize in a manner not consistent with FS Development’s preliminary risk analysis. Even though these charges may be non-cash items and may not have an immediate impact on FS Development’s liquidity, the fact that FS Development reports charges of this nature could contribute to negative market perceptions about the Combined Entity’s or FS Development’s securities. In addition, charges of this nature may cause FS Development to be unable to obtain future financing on favorable terms or at all. Accordingly, any FS Development stockholder who chooses to remain a stockholder of the Combined Entity following the Business Combination could suffer a reduction in the value of their shares. Such stockholders are unlikely to have a remedy for such reduction in value unless they are able to successfully claim that the reduction was due to the breach by FS Development’s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condensed combined financial information included in this proxy statement/prospectus may not be indicative of what FS Development’s actual financial position or results of operations would have been.</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proxy statement/prospectus is presented for illustrative purposes only and is not necessarily indicative of what FS Development’s actual financial position or results of operations would have been had the Business Combination been completed on the dates indicated. See the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FS Development or if FS Development files a bankruptcy petition or an involuntary bankruptcy petition is filed against FS Development that is not dismissed, the proceeds held in trust could be reduced and the per-share redemption price received by stockholders may be less than $10.00 (which was the offering price in our initial public offering).</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placing of funds in trust may not protect those funds from third party claims against FS Development. Although FS Development will seek to have all vendors and service providers (except for our independent registered public accounting firm) FS Development engages and prospective target businesses FS Development negotiates with execute agreements with FS Development waiving any right, title, interest or claim of any kind in or to any monies held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Trust Account for the benefit of FS Development’s public stockholders, they may not execute such agreements. Furthermore, even if such entities execute such agreements with FS Development, they may seek recourse against the Trust Account. Additionally, a court may not uphold the validity of such agreements. Accordingly, the proceeds held in trust could be subject to claims which could take priority over those of FS Development’s public stockholders.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if FS Development is forced to file a bankruptcy case or an involuntary bankruptcy case is filed against FS Development’s which is not dismissed, the proceeds held in the Trust Account could be subject to applicable bankruptcy law, and may be included in FS Development’s bankruptcy estate and subject to the claims of third parties with priority over the claims of FS Development’s stockholders. To the extent any bankruptcy claims deplete the Trust Account, FS Development may not be able to return to FS Development’s public stockholders at least $10.00 (which was the offering price in our initial public offering). As a result, if any such claims were successfully made against the Trust Account, the funds available for FS Development’s initial business combination, including the Business Combination, and redemptions could be reduced to less than $10.00 per Public Share.</w:t>
      </w:r>
    </w:p>
    <w:p>
      <w:pPr>
        <w:spacing w:after="0" w:line="11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may be held liable for claims by third parties against FS Development to the extent of distributions received by them.</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Current Charter provides that FS Development will continue in existence only until April 14, 2022. If FS Development has not completed a business combination by such date, FS Development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FS Development is forced to file a bankruptcy case or an involuntary bankruptcy case is filed against FS Development which is not dismissed, any distributions received by stockholders could be viewed under applicable debtor/creditor and/or bankruptcy laws as either a “preferential transfer” or a “fraudulent conveyance.” As a result, a bankruptcy court could seek to recover all amounts received by FS Development’s stockholders. Furthermore, because FS Development intends to distribute the proceeds held in the Public Shares to FS Development’s public stockholders promptly after expiration of the time FS Development has to complete an initial business combination, this may be viewed or interpreted as giving preference to FS Development’s public stockholders over any potential creditors with respect to access to or distributions from FS Development’s assets. Furthermore, the Board may be viewed as having breached their fiduciary duties to FS Development’s creditors and/or may have acted in bad faith, and thereby exposing itself and FS Development to claims of punitive damages, by paying public stockholders from the Trust Account prior to addressing the claims of creditors. FS Development cannot assure you that claims will not be brought against it for these reasons.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FS Development’s ability to successfully effect the Business Combination and to be successful thereafter will be totally dependent upon the efforts of its key personnel, including Gemini’s key personnel, all of whom are expected to join FS Development following the Business Combination. While FS Development intends to closely scrutinize any individuals it engages after the Business Combination, it cannot assure you that its assessment of these individuals will prove to be correct.</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ability to successfully effect the Business Combination is dependent upon the efforts of FS Development’s key personnel, including key personnel of Gemini. Although FS Development expects all of such key personnel to remain with Gemini following the Business Combination, it is possible that FS Development will lose some key personnel, the loss of which could negatively impact the operations and profitability of the Combined Entity. While FS Development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FS Development to have to expend time and resources helping them become familiar with such requirements. This could be expensive and time-consuming and could lead to various regulatory issues which may adversely affect its operations. Additionally, FS Development</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cannot assure you that FS Development will be successful in integrating and retaining such key personnel, or in identifying and recruiting additional key individuals FS Development determines may be necessary following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FS Development’s securities may not continue, which would adversely affect the liquidity and price of its securities.</w:t>
      </w:r>
    </w:p>
    <w:p>
      <w:pPr>
        <w:spacing w:after="0" w:line="9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the price of FS Development’s securities may fluctuate significantly due to the market’s reaction to the Business Combination and general market and economic conditions. An active trading market for FS Development’s securities following the Business Combination may never develop or, if developed, it may not be sustained. In addition, the price of FS Development’s securities after the Business Combination can vary due to general economic conditions and forecasts, FS Development’s general business condition and the release of FS Development’s financial reports. Additionally, if FS Development’s securities are not listed on, or become delisted from the Nasdaq for any reason, and are quoted on the OTC Bulletin Board, an inter-dealer automated quotation system for equity securities that is not a national securities exchange, the liquidity and price of FS Development’s securities may be more limited than if FS Development were quoted or listed on the NYSE American, LLC, the Nasdaq or another national securities exchange. You may be unable to sell your securities unless a market can be established or sustained.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FS Development will be able to comply with the continued listing standards of the Nasdaq.</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Class A Common Stock is expected to be listed on Nasdaq following the Business Combination. FS Development’s continued eligibility for listing may depend on the number of shares that are redeemed. If, after the Business Combination, the Nasdaq delists FS Development’s securities from trading on its exchange for failure to meet the listing standards, FS Development and its stockholders could face significant material adverse consequences including:</w:t>
      </w:r>
    </w:p>
    <w:p>
      <w:pPr>
        <w:spacing w:after="0" w:line="102" w:lineRule="exact"/>
        <w:rPr>
          <w:sz w:val="20"/>
          <w:szCs w:val="20"/>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FS Development’s securities;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FS Development Class A Common Stock is a “penny stock” which will require brokers trading in its FS Development Class A Common Stock to adhere to more stringent rules, possibly resulting in a reduced level of trading activity in the secondary trading market for FS Development Class A Common Stock;</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w:t>
      </w:r>
    </w:p>
    <w:p>
      <w:pPr>
        <w:spacing w:after="0" w:line="27" w:lineRule="exact"/>
        <w:rPr>
          <w:sz w:val="20"/>
          <w:szCs w:val="20"/>
          <w:color w:val="auto"/>
        </w:rPr>
      </w:pPr>
    </w:p>
    <w:p>
      <w:pPr>
        <w:jc w:val="both"/>
        <w:ind w:left="460" w:right="459" w:hanging="6"/>
        <w:spacing w:after="0" w:line="251" w:lineRule="auto"/>
        <w:tabs>
          <w:tab w:leader="none" w:pos="7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FS Development’s securities may decline.</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benefits of the Business Combination do not meet the expectations of investors or securities analysts, the market price of FS Development’s securities prior to the Closing may decline. The market values of FS Development’s securities at the time of the Business Combination may vary significantly from their prices on the date the Merger Agreement was executed, the date of this proxy statement/prospectus, or the date on which FS Development’s stockholders vote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the Business Combination. Because the number of shares to be issued pursuant to the Merger Agreement is fixed and will not be adjusted to reflect any changes in the market price of FS Development Class A Common Stock, the market value of FS Development stock issued in the Business Combination may be higher or lower than the value of these shares on an earlier date.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following the Business Combination, fluctuations in the price of FS Development’s securities could contribute to the loss of all or part of your investment. Accordingly, the valuation ascribed to Gemini and FS Development Class A Common Stock in the Business Combination may not be indicative of the actual price that will prevail in the trading market following the Business Combination. If an active market for FS Development’s Class A Common Stock develops and continues, the trading price of FS Development’s Class A Common Stock following the Business Combination could be volatile and subject to wide fluctuations in response to various factors, some of which are beyond FS Development’s control. Any of the factors listed below could have a material adverse effect on your investment in FS Development’s Class A Common Stock and FS Development’s Class A Common Stock may trade at prices significantly below the price you paid for them. In such circumstances, the trading price of FS Development’s Class A Common Stock may not recover and may experience a further decline.</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Factors affecting the trading price of the Combined Entity’s securities following the Business Combination may include:</w:t>
      </w:r>
    </w:p>
    <w:p>
      <w:pPr>
        <w:spacing w:after="0" w:line="81" w:lineRule="exact"/>
        <w:rPr>
          <w:sz w:val="20"/>
          <w:szCs w:val="20"/>
          <w:color w:val="auto"/>
        </w:rPr>
      </w:pPr>
    </w:p>
    <w:p>
      <w:pPr>
        <w:ind w:left="1320" w:right="479" w:hanging="434"/>
        <w:spacing w:after="0" w:line="282" w:lineRule="auto"/>
        <w:tabs>
          <w:tab w:leader="none" w:pos="131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Combined Entity’s quarterly financial results or the quarterly financial results of companies perceived to be similar to the Combined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Combined Entity’s operating results;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operating results failing to meet the expectation of securities analysts or investors in a particular period;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Combined Entity or the market in general;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Combined Entity;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ability to develop product candidates;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Combined Entity’s business, including any changes that affect development of Gemini’s product candidates, including GEM103, Gemini’s lead product candidate;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Combined Entity;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Combined Entity’s capital structure, such as future issuances of securities or the incurrence of additional debt;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Combined Entity’s securities available for public sale;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FS Development’s directors, executive officers or significant stockholders or the perception that such sales could occur;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Combined Entity’s securities irrespective of its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the Combined Entity’s securities, may not be predictable. A loss of investor confidence in the market for biopharmaceutical stocks or the stocks of other companies which investors perceive to be similar to the Combined Entity could depress the Combined Entity’s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price regardless of the Combined Entity’s business, prospects, financial conditions or results of operations. A decline in the market price of the Combined Entity’s securities also could adversely affect the Combined Entity’s ability to issue additional securities and the Combined Entity’s ability to obtain additional financing in the future.</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Business Combination, if securities or industry analysts do not publish or cease publishing research or reports about the Combined Entity, its business, or its market, or if they change their recommendations regarding the Combined Entity’s securities adversely, the price and trading volume of the Combined Entity’s securities could decline.</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trading market for the Combined Entity’s securities will be influenced by the research and reports that industry or securities analysts may publish about FS Development, its business, its market, or its competitors. Securities and industry analysts do not currently, and may never, publish research on FS Development or the Combined Entity. Because the Business Combination will result in Gemini being acquired by a special purpose acquisition company, research coverage from industry analysts may be limited. If no securities or industry analysts commence coverage of the Combined Entity, FS Development’s stock price and trading volume could be negatively impacted. If any of the analysts who may cover the Combined Entity change their recommendation regarding FS Development’s stock adversely, provide more favorable relative recommendations about FS Development’s competitors or publishes inaccurate or unfavorable research about the Combined Entity’s business, the price of the Combined Entity’s securities would likely decline. If any analyst who may cover the Combined Entity were to cease coverage of the Combined Entity or fail to regularly publish reports on it, FS Development could lose visibility in the financial markets, demand for the Combined Entity’s securities could decrease, which could cause its stock price or trading volume to decline.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sales of shares by existing stockholders and future exercise of registration rights may adversely affect the market price of the Combined Entity’s common stock.</w:t>
      </w:r>
    </w:p>
    <w:p>
      <w:pPr>
        <w:spacing w:after="0" w:line="9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the Combined Entity’s common stock in the public market could occur at any time. If the Combined Entity’s stockholders sell, or the market perceives that the Combined Entity’s stockholders intend to sell, substantial amounts of the Combined Entity’s common stock in the public market, the market price of the Combined Entity’s common stock could decline.</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to be entered into in connection with the Business Combination,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the Combined Entity’s securities.</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Development’s public stockholders will experience immediate dilution as a consequence of, among other transactions, the issuance of FS Development Class A Common Stock as consideration in the Business Combination and the PIPE Investment. Having a minority share position may reduce the influence that FS Development’s current stockholders have on the management of the Combined Entity.</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FS Development’s existing stockholders in the Combined Entity will be different.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Entity expects to incur significant additional costs as a result of being a public company, which may adversely affect its operating results and financial condition.</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Combined Entity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the Combined Entity expects these rules and regulations are expected to increase its accounting, legal and financial compliance costs and make some activities more time-consuming and costly. In addition, the Combined Entity will incur additional costs associated with its public company reporting requirements and the Combined Entity expects those costs to increase in the future. For example, the Combined Entity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date, the Combined Entity has not conducted a review of its internal control for the purpose of providing the reports required by these rules. During its review and testing, the Combined Entity may identify deficiencies and be unable to remediate them before the Combined Entity must provide the required reports. Furthermore, if the Combined Entity fails to remediate its existing material weakness in its internal control over financial reporting or if new material weaknesses are identified or arise in the future, the Combined Entity may not detect errors on a timely basis and its consolidated financial statements may be materially misstated. the Combined Entity or its independent registered public accounting firm may not be able to conclude on an ongoing basis that the Combined Entity has effective internal control over financial reporting, which could harm its operating results, cause investors to lose confidence in its reported financial information and cause the trading price of its stock to fall. In addition, as a public company the Combined Entity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The Combined Entity will incur significant costs to remediate any material weaknesses the Combined Entity identifies through these efforts. The increased costs will increase its net loss and may require us to reduce costs in other areas of its business or increase the prices of its products or services. The Combined Entity also expects these rules and regulations to make it more expensive for us to maintain directors’ and officers’ liability insurance and the Combined Entity may be required to accept reduced policy limits and coverage or incur substantially higher costs to obtain the same or similar coverage. As a result, it may be more difficult for the Combined Entity to attract and retain qualified persons to serve on its board of directors, its board committees, or as executive officers. The Combined Entity cannot predict or estimate the amount of additional costs the Combined Entity may incur or the timing of such costs.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the Combined Entity responds to their requirements, which may adversely affect its operating results and financial condition.</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Proposed Charter and the Amended By-laws, as well as provisions of Delaware law, could impair a takeover attempt.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Proposed Charter will contain provisions that may discourage unsolicited takeover proposals that stockholders may consider to be in their best interests. FS Development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the Combined Entity’s stockholders. These provisions provide for, among other things:</w:t>
      </w:r>
    </w:p>
    <w:p>
      <w:pPr>
        <w:spacing w:after="0" w:line="93" w:lineRule="exact"/>
        <w:rPr>
          <w:sz w:val="20"/>
          <w:szCs w:val="20"/>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a three-year staggered term;</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Entity’s board of directors to issue one or more series of “blank check” preferred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the Combined Entity’s annual meetings;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3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the organizational documents only by the affirmative vote of at least two-thirds of the Combined Entity’s then-outstanding shares of capital stock entitled to vote generally at an election of directors.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anti-takeover provisions as well as certain provisions of Delaware law could make it more difficult for a third party to acquire the Combined Entity, even if the third party’s offer may be considered beneficial by many of the Combined Entity’s stockholders. As a result, the Combined Entity’s stockholders may be limited in their ability to obtain a premium for their shares. If prospective takeovers are not consummated for any reason, the Combined Entity may experience negative reactions from the financial markets, including negative impacts on the price of the Combined Entity common stock. These provisions could also discourage proxy contests and make it more difficult for the Combined Entity’s stockholders to elect directors of their choosing and to cause the Combined Entity to take other corporate actions that the Combined Entity’s stockholders desire. For more information, see “Charter Amendment Proposal.”</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is subject to conditions, including certain conditions that may not be satisfied on a timely basis, if at all.</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completion of the Business Combination is subject to a number of conditions. The completion of the Business Combination is not assured and is subject to risks, including the risk that approval of the Business Combination by FS Development stockholders is not obtained or that there are not sufficient funds in the Trust Account, in each case subject to certain terms specified in the Merger Agreement (as described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 or that other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not satisfied. If FS Development does not complete the Business Combination, it could be subject to several risks, including:</w:t>
      </w:r>
    </w:p>
    <w:p>
      <w:pPr>
        <w:spacing w:after="0" w:line="108" w:lineRule="exact"/>
        <w:rPr>
          <w:sz w:val="20"/>
          <w:szCs w:val="20"/>
          <w:color w:val="auto"/>
        </w:rPr>
      </w:pPr>
    </w:p>
    <w:p>
      <w:pPr>
        <w:ind w:left="1320" w:right="479" w:hanging="434"/>
        <w:spacing w:after="0" w:line="282" w:lineRule="auto"/>
        <w:tabs>
          <w:tab w:leader="none" w:pos="13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be liable for damages to one another under the terms and conditions of the Merger Agreement;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 of FS Development’s Class A Common Stock due to the fact that current prices may reflect a market assumption that the Business Combination will be completed;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FS Development’s management will have been diverted to the Business Combination rather than the pursuit of other opportunities in respect of an initial business combination.</w:t>
      </w:r>
    </w:p>
    <w:p>
      <w:pPr>
        <w:spacing w:after="0" w:line="93"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 or Gemini may waive one or more of the closing conditions without re-soliciting stockholder approval.</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conditions to FS Development’s or Gemini’s obligations to complete the Business Combination may be waived, in whole or in part, to the extent legally allowed, either unilaterally or by agreement of FS Development and Gemini. In the event of a waiver of a condition, the Board will evaluate the materiality of any such waiver to determine whether amendment of this proxy statement/prospectus and re-solicitation of proxies is necessary. In the event that the Board determines any such waiver is not significant enough to require re-solicitation of its stockholders, it will have the discretion to complete the Business Combination without seeking further stockholder approval.</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“The Business Combination Proposal — The Merger Agreement — Conditions to Closing.”</w:t>
      </w:r>
    </w:p>
    <w:p>
      <w:pPr>
        <w:spacing w:after="0" w:line="15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Amended By-laws will provide that the Court of Chancery of the State of Delaware and the federal district courts of the District of Massachusetts will be the exclusive forums for substantially all disputes between the Combined Entity and its stockholders, which could limit the Combined Entity’s stockholders’ ability to obtain a favorable judicial forum for disputes with the Combined Entity or its directors, officers, or employees.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Amended By-laws will provide that the Court of Chancery of the State of Delaware is the exclusive forum for:</w:t>
      </w:r>
    </w:p>
    <w:p>
      <w:pPr>
        <w:spacing w:after="0" w:line="94" w:lineRule="exact"/>
        <w:rPr>
          <w:sz w:val="20"/>
          <w:szCs w:val="20"/>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its behalf;</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arising under the Delaware General Corporation Law, the Proposed Charter, or the Amended By-laws;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Proposed Charter or the Amended By-laws;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that is governed by the internal-affairs doctrine.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Amended By-laws provides that the federal district courts of the District of Massachusetts will be the exclusive forum for resolving any complaint asserting a cause of action arising under the Securities Act.</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the Combined Entity or its directors, officers, or other employees, which may discourage lawsuits against the Combined Entity and its directors, officers, and other employees. If a court were to find either exclusive-forum provision in the Amended By-laws to be inapplicable or unenforceable in an action, it may incur additional costs associated with resolving the dispute in other jurisdictions, which could harm the Combined Entity’s business.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and Gemini intend for the Business Combination to be treated for U.S. federal income tax purposes as a reorganization within the meaning of Section 368(a) of the Code. However, neither FS Development nor Gemini has requested, or intends to request, an opinion of tax counsel or a ruling from the Internal Revenue Service, or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 For a more complete discussion of U.S. federal income tax consequences of the Business Combination, see the section titled “</w:t>
      </w:r>
      <w:r>
        <w:rPr>
          <w:rFonts w:ascii="Times New Roman" w:cs="Times New Roman" w:eastAsia="Times New Roman" w:hAnsi="Times New Roman"/>
          <w:sz w:val="18"/>
          <w:szCs w:val="18"/>
          <w:i w:val="1"/>
          <w:iCs w:val="1"/>
          <w:color w:val="auto"/>
        </w:rPr>
        <w:t>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Business Combination to Gemini Equityholders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Redemption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the Redemption”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stockholders of which you are a part are deemed to hold an aggregate of 20.0% or more of FS Development Class A Common Stock issued in the FS Development IPO, you (or, if a member of such a group, all of the members of such group in the aggregate) will lose the ability to redeem all such shares of 20.0% or more of FS Development Class A Common Stock issued in the FS Development IPO.</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20% or more of the shares of FS Development Class A Common Stock issued in the FS Development IPO. FS Development refers to such shares in excess of an aggregation of 20% or more of the shares issued in the FS Development IPO as “Unredeemable Shares.” In order to determine whether a stockholder is acting in concert or as a group with another stockholder, FS Development will require each public stockholder seeking to exercise redemption rights to certify to FS Development whether such stockholder is acting in concert or as a group with any other stockholder. Such certifications, together with other public information relating to stock ownership available to FS Development at that time, such as Section 13D, Section 13G and Section 16 filings under the Exchange Act, will be the sole basis on which FS Development makes the above-referenced determination. Your inability to redeem any Unredeemable Shares will reduce your influence over FS Development’s ability to</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consummate the Business Combination and you could suffer a material loss on your investment in FS Development if you sell Unredeemable Shares in open market transactions. Additionally, you will not receive redemption distributions with respect to the Unredeemable Shares if FS Development consummates the Business Combination. As a result, in order to dispose of such shares, you would be required to sell your stock in open market transactions, potentially at a loss. Notwithstanding the foregoing, stockholders may challenge FS Development’s determination as to whether a stockholder is acting in concert or as a group with another stockholder in a court of competent jurisdiction.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FS Development’s share price, and may result in a lower value realized now for a stockholder redeeming their shares than a stockholder of FS Development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FS Development’s stockholders fail to comply with the redemption requirements specified in this proxy statement/prospectus, they will not be entitled to redeem their shares of FS Development Class A Common Stock for a pro rata portion of the funds held in the Trust Account.</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Holders of Public Shares are required to submit a request in writing and deliver their stock (either physically or electronically) to FS Development’s transfer agent at least two (2) business days prior to the Special Meeting in order to exercise their rights to redeem their shares for a pro rata portion of the Trust Account. Stockholders electing to redeem their shares will receive their pro rata portion of the aggregate amount then on deposit in the Trust Account, including interest earned on the funds held in the Trust Account and not previously released to it to pay the Company’s franchise and income taxes, calculated as of two (2) business days prior to the anticipated Closing.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FS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Redemption Rights,</w:t>
      </w:r>
      <w:r>
        <w:rPr>
          <w:rFonts w:ascii="Times New Roman" w:cs="Times New Roman" w:eastAsia="Times New Roman" w:hAnsi="Times New Roman"/>
          <w:sz w:val="18"/>
          <w:szCs w:val="18"/>
          <w:color w:val="auto"/>
        </w:rPr>
        <w:t>” tender their certificates to FS Development’s transfer agent or deliver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the transfer agent electronically through the Depository Trust Company, or DTC, at least two (2) business days prior to the Special Meeting. In order to obtain a physical stock certificate, a stockholder’s broker and/or clearing broker, DTC and FS Development’s transfer agent will need to act to facilitate this request. It is FS Development’s understanding that stockholders should generally allot at least two (2) weeks to obtain physical certificates from the transfer agent. However, because FS Development does not have any control over this process or over the brokers or DTC, it may take significantly longer than two (2)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FS Development’s strategic plan could be negatively impacted to the extent a significant number of stockholders choose to redeem their shares in connection with the Business Combination.</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the aggregate cash consideration FS Development would be required to pay for all shares of FS Development Class A Common Stock that are validly submitted for redemption plus any amount required to satisfy cash conditions pursuant to the terms of the Merger Agreement exceeds the aggregate amount of cash available to FS Development, FS Development may be required to increase the financial leverage FS Development’s business would have to support. This may negatively impact FS Development’s ability to execute on its own future strategic plan.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Forward-looking statements provide FS Development’s and Gemini’s current expectations or forecasts of future events. Forward-looking statements include statements about FS Development’s and Gemini’s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FS Development in this proxy statement/prospectus include, but are not limited to, statements about FS Development’s:</w:t>
      </w:r>
    </w:p>
    <w:p>
      <w:pPr>
        <w:spacing w:after="0" w:line="121" w:lineRule="exact"/>
        <w:rPr>
          <w:sz w:val="20"/>
          <w:szCs w:val="20"/>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complete an initial business combination, including the Business Combination;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Closing conditions to the Business Combination, including approval by the stockholders of FS Development and the availability of at least $170 million of cash from the proceeds received from the PIPE Investment and in the Trust Account, after giving effect to redemptions of Public Shares, if any;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following the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 following an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allocating their time to other businesses and potentially having conflicts of interest with Gemini’s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securities’ potential liquidity and trading;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not held in the Trust Account;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the outcome of any known and unknown litigation.</w:t>
      </w:r>
    </w:p>
    <w:p>
      <w:pPr>
        <w:spacing w:after="0" w:line="15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Forward-looking statements relating to Gemini and the Combined Entity following the Closing in this proxy statement/prospectus include, but are not limited to, statements about:</w:t>
      </w:r>
    </w:p>
    <w:p>
      <w:pPr>
        <w:spacing w:after="0" w:line="81" w:lineRule="exact"/>
        <w:rPr>
          <w:sz w:val="20"/>
          <w:szCs w:val="20"/>
          <w:color w:val="auto"/>
        </w:rPr>
      </w:pPr>
    </w:p>
    <w:p>
      <w:pPr>
        <w:jc w:val="both"/>
        <w:ind w:left="1320" w:right="479" w:hanging="434"/>
        <w:spacing w:after="0" w:line="282" w:lineRule="auto"/>
        <w:tabs>
          <w:tab w:leader="none" w:pos="147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Gemini’s clinical trials to demonstrate acceptable safety and efficacy of Gemini’s product candidates, including GEM103, Gemini’s lead product candidate, and other positive results;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2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will become available, and Gemini’s research and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obtain marketing approvals of its product candidates and to meet existing or future regulatory standards or comply with post-approval requirements;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expectations regarding the potential market size and the size of the patient populations for its product candidates, if approved for commercial use;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commercialization, marketing and manufacturing capabilities and strategy;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intellectual property position and expectations regarding its ability to obtain and maintain intellectual property protection;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5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identify additional products, product candidates or technologies with significant commercial potential that are consistent with its commercial objectives;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competitive position and expectations regarding developments and projections relating to its competitors and any competing therapies that are or become available;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Gemini’s competitors and industry.</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statements that FS Development or Gemini “believes” and similar statements reflect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FS Development or Gemini has conducted an exhaustive inquiry into, or review of, all potentially available relevant information. These statements are inherently uncertain and investors are cautioned not to unduly rely upon these statements.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forward-looking statements. Some factors that could cause the Combined Entity’s actual results to differ include:</w:t>
      </w:r>
    </w:p>
    <w:p>
      <w:pPr>
        <w:spacing w:after="0" w:line="116" w:lineRule="exact"/>
        <w:rPr>
          <w:sz w:val="20"/>
          <w:szCs w:val="20"/>
          <w:color w:val="auto"/>
        </w:rPr>
      </w:pPr>
    </w:p>
    <w:p>
      <w:pPr>
        <w:ind w:left="1320" w:right="479" w:hanging="434"/>
        <w:spacing w:after="0" w:line="282" w:lineRule="auto"/>
        <w:tabs>
          <w:tab w:leader="none" w:pos="13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FS Development, Gemini or others following announcement of the Business Combination and the transactions contemplated therein;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due to the failure to obtain approval of the stockholders of FS Development or Gemini or other conditions to closing in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as a result of the announcement and the Closing;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FS Development or Gemini may be adversely impacted by other economic, business, and/or competitive factors;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6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statement/prospectus, including those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other filings that have been made or will be made with the SEC.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FS DEVELOPMENT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furnishing this proxy statement/prospectus to its stockholders as part of the solicitation of proxies by the Board for use at the Special Meeting to be held on February 3, 2021 and at any adjournment or postponement thereof. This proxy statement/prospectus provides FS Development’s stockholders with information they need to know to be able to vote or direct their vote to be cast at the Special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Special Meeting will be held on February 3, 2021, at 10:00 a.m. Eastern Time, via live webcast at the following address: </w:t>
      </w:r>
      <w:r>
        <w:rPr>
          <w:rFonts w:ascii="Times New Roman" w:cs="Times New Roman" w:eastAsia="Times New Roman" w:hAnsi="Times New Roman"/>
          <w:sz w:val="18"/>
          <w:szCs w:val="18"/>
          <w:i w:val="1"/>
          <w:iCs w:val="1"/>
          <w:color w:val="auto"/>
        </w:rPr>
        <w:t>https://www.cstproxy.com/fsdevelopmentcorp/sm2021</w:t>
      </w:r>
      <w:r>
        <w:rPr>
          <w:rFonts w:ascii="Times New Roman" w:cs="Times New Roman" w:eastAsia="Times New Roman" w:hAnsi="Times New Roman"/>
          <w:sz w:val="18"/>
          <w:szCs w:val="18"/>
          <w:color w:val="auto"/>
        </w:rPr>
        <w:t>. In light of the COVID-19 pandemic and to support the well-being of FS Development’s stockholders, directors and management, the Special Meeting will be completely virtual.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You will be entitled to vote or direct votes to be cast at the Special Meeting if you owned shares of FS Development Common Stock at the close of business on January 15, 2021, which is the Record Date. You are entitled to one vote for each share of FS Development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15,535,250 shares of FS Development Common Stock outstanding, of which 12,075,000 are Public Shares, 441,500 are Private Placement Shares held by the Sponsor and 3,018,750 are Founders Shares held by the Sponsor and the other Initial Stockholders.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of the Sponsor, Directors and Officers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FS Development IPO, FS Development entered into agreements with each of its Sponsor, directors and officers pursuant to which each agreed to vote any shares of FS Development Common Stock owned by it in favor of the Business Combination Proposal and for all other proposals presented at the Special Meeting. These agreements apply to the Sponsor as it relates to the Founders Shares and the requirement to vote such shares in favor of the Business Combination Proposal and for all other proposals presented to FS Development stockholders in this proxy statement/prospectus.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Development’s Sponsor, directors and officers have waived any redemption rights, including with respect to shares of FS Development Common Stock issued or purchased in the FS Development IPO or in the aftermarket, in connection with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a majority of the FS Development Common Stock outstanding and entitled to vote at the Special Meeting is represented in person or by proxy at the Special Meeting.</w:t>
      </w:r>
    </w:p>
    <w:p>
      <w:pPr>
        <w:spacing w:after="0" w:line="6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as of the Record Date for the Special Meeting, voting together as a single class. The approval of the Business Combination Proposal, the Nasdaq Stock Issuance Proposal, the Incentive Plan Proposal, the Advisory Charter Approvals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 The Nasdaq Stock Issuance Proposal, the Charter Amendment Proposal, the Advisory Charter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The Adjournment Proposal is not conditioned on the approval of any other proposal set forth in this proxy statement/prospectus.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important for you to note that in the event the Business Combination Proposal does not receive the requisite vote for approval, then FS Development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the public stockholders.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Special Meeting, FS Development will count a properly executed proxy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or the Adjournment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has unanimously determined that each of the Proposals is fair to and in the best interests of FS Development and its stockholders, and has unanimously approved such proposals. The Board unanimously recommends that stockholders:</w:t>
      </w:r>
    </w:p>
    <w:p>
      <w:pPr>
        <w:spacing w:after="0" w:line="95" w:lineRule="exact"/>
        <w:rPr>
          <w:sz w:val="20"/>
          <w:szCs w:val="20"/>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Business Combination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Nasdaq Stock Issuance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Charter Amendment Proposal;</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each of the Advisory Charter Proposals;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Incentive Plan Proposal;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Adjournment Proposal, if it is presented to the meeting.</w:t>
      </w:r>
    </w:p>
    <w:p>
      <w:pPr>
        <w:spacing w:after="0" w:line="144" w:lineRule="exact"/>
        <w:rPr>
          <w:sz w:val="20"/>
          <w:szCs w:val="20"/>
          <w:color w:val="auto"/>
        </w:rPr>
      </w:pPr>
    </w:p>
    <w:p>
      <w:pPr>
        <w:jc w:val="both"/>
        <w:ind w:left="460" w:right="479" w:firstLine="45"/>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Proposals, you should keep in mind that the Sponsor, members of the Board and officers of FS Development have interests in the Business Combination that are different from or in addition to (or which may conflict with) your interests as a stockholder.</w:t>
      </w:r>
    </w:p>
    <w:p>
      <w:pPr>
        <w:spacing w:after="0" w:line="11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share of FS Development Common Stock that you own in your name entitles you to one vote. If you are a record owner of your shares, there are two ways to vote your shares of FS Development Common Stock at the Special Meeting:</w:t>
      </w:r>
    </w:p>
    <w:p>
      <w:pPr>
        <w:spacing w:after="0" w:line="93" w:lineRule="exact"/>
        <w:rPr>
          <w:sz w:val="20"/>
          <w:szCs w:val="20"/>
          <w:color w:val="auto"/>
        </w:rPr>
      </w:pPr>
    </w:p>
    <w:p>
      <w:pPr>
        <w:jc w:val="both"/>
        <w:ind w:left="1320" w:right="459" w:hanging="434"/>
        <w:spacing w:after="0" w:line="256" w:lineRule="auto"/>
        <w:tabs>
          <w:tab w:leader="none" w:pos="13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Can Vote By Signing and Returning the Enclosed Proxy Card</w:t>
      </w:r>
      <w:r>
        <w:rPr>
          <w:rFonts w:ascii="Times New Roman" w:cs="Times New Roman" w:eastAsia="Times New Roman" w:hAnsi="Times New Roman"/>
          <w:sz w:val="18"/>
          <w:szCs w:val="18"/>
          <w:color w:val="auto"/>
        </w:rPr>
        <w:t>. If you vote by proxy card,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Stock Issuance Proposal, the Charter Amendment Proposal, the Advisory Charter Proposals, the Incentive Plan Proposal, and the Adjournment Proposal (if presented). Votes received after a matter has been voted upon at the Special Meeting will not be counted.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Can Attend the Special Meeting and Vote Through the Internet</w:t>
      </w:r>
      <w:r>
        <w:rPr>
          <w:rFonts w:ascii="Times New Roman" w:cs="Times New Roman" w:eastAsia="Times New Roman" w:hAnsi="Times New Roman"/>
          <w:sz w:val="18"/>
          <w:szCs w:val="18"/>
          <w:color w:val="auto"/>
        </w:rPr>
        <w:t>. You will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Special Meeting online and vote during the meeting by visiting </w:t>
      </w:r>
      <w:r>
        <w:rPr>
          <w:rFonts w:ascii="Times New Roman" w:cs="Times New Roman" w:eastAsia="Times New Roman" w:hAnsi="Times New Roman"/>
          <w:sz w:val="18"/>
          <w:szCs w:val="18"/>
          <w:i w:val="1"/>
          <w:iCs w:val="1"/>
          <w:color w:val="auto"/>
        </w:rPr>
        <w:t xml:space="preserve">https://www.cstproxy.com/fsdevelopmentcorp/sm2021 </w:t>
      </w:r>
      <w:r>
        <w:rPr>
          <w:rFonts w:ascii="Times New Roman" w:cs="Times New Roman" w:eastAsia="Times New Roman" w:hAnsi="Times New Roman"/>
          <w:sz w:val="18"/>
          <w:szCs w:val="18"/>
          <w:color w:val="auto"/>
        </w:rPr>
        <w:t>and entering the control number included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proxy card or on the instructions that accompanied your proxy materials, as applicable.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FS Development can be sure that the broker, bank or nominee has not already voted your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record owner of your shares and you give a proxy, you may change or revoke it at any time before it is exercised by doing any one of the following:</w:t>
      </w:r>
    </w:p>
    <w:p>
      <w:pPr>
        <w:spacing w:after="0" w:line="94" w:lineRule="exact"/>
        <w:rPr>
          <w:sz w:val="20"/>
          <w:szCs w:val="20"/>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94" w:lineRule="exact"/>
        <w:rPr>
          <w:sz w:val="20"/>
          <w:szCs w:val="20"/>
          <w:color w:val="auto"/>
        </w:rPr>
      </w:pPr>
    </w:p>
    <w:p>
      <w:pPr>
        <w:jc w:val="both"/>
        <w:ind w:left="1320" w:right="459" w:hanging="431"/>
        <w:spacing w:after="0" w:line="261" w:lineRule="auto"/>
        <w:tabs>
          <w:tab w:leader="none" w:pos="1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vote electronically at the Special Meeting by visiting </w:t>
      </w:r>
      <w:r>
        <w:rPr>
          <w:rFonts w:ascii="Times New Roman" w:cs="Times New Roman" w:eastAsia="Times New Roman" w:hAnsi="Times New Roman"/>
          <w:sz w:val="18"/>
          <w:szCs w:val="18"/>
          <w:i w:val="1"/>
          <w:iCs w:val="1"/>
          <w:color w:val="auto"/>
        </w:rPr>
        <w:t xml:space="preserve">https://www.cstproxy.com/fsdevelopmentcorp/sm2021 </w:t>
      </w:r>
      <w:r>
        <w:rPr>
          <w:rFonts w:ascii="Times New Roman" w:cs="Times New Roman" w:eastAsia="Times New Roman" w:hAnsi="Times New Roman"/>
          <w:sz w:val="18"/>
          <w:szCs w:val="18"/>
          <w:color w:val="auto"/>
        </w:rPr>
        <w:t>and entering the control number found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proxy card, voting instruction form or notice you previously received. Please note that your attendance at the Special Meeting will not alone serve to revoke your proxy.</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and have any questions about how to vote or direct a vote in respect of your FS Development Common Stock, you may call Morrow Sodali LLC, FS Development’s proxy solicitor, at (800)</w:t>
      </w:r>
    </w:p>
    <w:p>
      <w:pPr>
        <w:ind w:left="460"/>
        <w:spacing w:after="0"/>
        <w:tabs>
          <w:tab w:leader="none" w:pos="1480" w:val="left"/>
          <w:tab w:leader="none" w:pos="2780" w:val="left"/>
          <w:tab w:leader="none" w:pos="3300" w:val="left"/>
          <w:tab w:leader="none" w:pos="4060" w:val="left"/>
          <w:tab w:leader="none" w:pos="5120" w:val="left"/>
          <w:tab w:leader="none" w:pos="5960" w:val="left"/>
          <w:tab w:leader="none" w:pos="6600" w:val="left"/>
          <w:tab w:leader="none" w:pos="7560" w:val="left"/>
          <w:tab w:leader="none" w:pos="8080" w:val="left"/>
        </w:tabs>
        <w:rPr>
          <w:sz w:val="20"/>
          <w:szCs w:val="20"/>
          <w:color w:val="auto"/>
        </w:rPr>
      </w:pPr>
      <w:r>
        <w:rPr>
          <w:rFonts w:ascii="Times New Roman" w:cs="Times New Roman" w:eastAsia="Times New Roman" w:hAnsi="Times New Roman"/>
          <w:sz w:val="18"/>
          <w:szCs w:val="18"/>
          <w:color w:val="auto"/>
        </w:rPr>
        <w:t>662-5200</w:t>
      </w:r>
      <w:r>
        <w:rPr>
          <w:sz w:val="20"/>
          <w:szCs w:val="20"/>
          <w:color w:val="auto"/>
        </w:rPr>
        <w:tab/>
      </w:r>
      <w:r>
        <w:rPr>
          <w:rFonts w:ascii="Times New Roman" w:cs="Times New Roman" w:eastAsia="Times New Roman" w:hAnsi="Times New Roman"/>
          <w:sz w:val="18"/>
          <w:szCs w:val="18"/>
          <w:color w:val="auto"/>
        </w:rPr>
        <w:t>(Individuals)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658-9400</w:t>
      </w:r>
      <w:r>
        <w:rPr>
          <w:sz w:val="20"/>
          <w:szCs w:val="20"/>
          <w:color w:val="auto"/>
        </w:rPr>
        <w:tab/>
      </w:r>
      <w:r>
        <w:rPr>
          <w:rFonts w:ascii="Times New Roman" w:cs="Times New Roman" w:eastAsia="Times New Roman" w:hAnsi="Times New Roman"/>
          <w:sz w:val="18"/>
          <w:szCs w:val="18"/>
          <w:color w:val="auto"/>
        </w:rPr>
        <w:t>(banks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brokers)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7"/>
          <w:szCs w:val="17"/>
          <w:color w:val="auto"/>
        </w:rPr>
        <w:t>email: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FSDC.info@investor.morrowsodali.com.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Additional Matters May Be Presented at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Stock Issuance Proposal, the Charter Amendment Proposal, the Incentive Plan Proposal, the Advisory Charter Proposals and the Adjournment Proposal. Under the Current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any holders of Public Shares may demand that such shares be redeemed in exchange for a pro rata share of the aggregate amount on deposit in the Trust Account, less franchise and income taxes payable.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FS Development IPO (including interest earned on the funds held in the Trust Account and not previously released to it to pay the Company’s franchise and income taxes). For illustrative purposes, based on funds in the Trust Account of approximately $120,751,489 on September 30, 2020, the estimated per share redemption price would have been approximately $10.73.</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58" w:lineRule="exact"/>
        <w:rPr>
          <w:sz w:val="20"/>
          <w:szCs w:val="20"/>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on the enclosed proxy card to elect redemption;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8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 the written request to redeem your Public Shares for cash to Continental Stock Transfer &amp; Trust Company, a “Stockholder Certification” if you are not acting in concert or as a “group” (as defined in Section 13d-3 of the Exchange Act) with any other stockholder with respect to shares of FS Development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5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February 1, 2021 (two (2) business days before the Special Meeting), tender your shares physically or electronically and submit a request in writing that we redeem your Public Shares for cash to Continental Stock Transfer &amp; Trust Company, FS Development’s transfer agent, at the following address: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mzimkind@continentalstock.comand</w:t>
      </w:r>
    </w:p>
    <w:p>
      <w:pPr>
        <w:spacing w:after="0" w:line="126" w:lineRule="exact"/>
        <w:rPr>
          <w:sz w:val="20"/>
          <w:szCs w:val="20"/>
          <w:color w:val="auto"/>
        </w:rPr>
      </w:pPr>
    </w:p>
    <w:p>
      <w:pPr>
        <w:jc w:val="both"/>
        <w:ind w:left="1320" w:right="459" w:hanging="434"/>
        <w:spacing w:after="0" w:line="253" w:lineRule="auto"/>
        <w:tabs>
          <w:tab w:leader="none" w:pos="143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 to FS Development’s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above.</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FS Development Class A Common Stock as they may receive higher proceeds from the sale of their FS Development Class A Common Stock in the public market than from exercising their redemption rights if the market price per share is higher than the redemption price. We cannot assure you that you will be able to sell your shares of FS Development Class A Common Stock in the open market, even if the market price per share is higher than the redemption price stated above, as there may not be sufficient liquidity in FS Development Common Stock when you wish to sell your shares.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 exercise your redemption rights, your shares of FS Development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or completed for any reason, then public stockholders who elected to exercise their redemption rights will not be entitled to redeem their shares. In such case FS Development will promptly return any Public Shares previously delivered by the public 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 Rights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stockholders do not have dissenter rights in connection with the Business Combination or the other proposals.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Purchases of Shares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is soliciting proxies on behalf of the Board. This solicitation is being made by mail but also may be made by telephone or in person. FS Development and its directors, officers and employees may also solicit proxies in person. FS Development will file with the SEC all scripts and other electronic communications as proxy soliciting materials. FS Development will bear the cost of the solicitation.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FS Development has hired Morrow Sodali LLC to assist in the proxy solicitation process. FS Development will pay that firm a fee of $22,500, plus disbursements.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will ask banks, brokers and other institutions, nominees and fiduciaries to forward the proxy materials to their principals and to obtain their authority to execute proxies and voting instructions. FS Development will reimburse them for their reasonable expenses.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Special Meeting, please contact Morrow Sodali LLC, the proxy solicitation agent for FS Development, by calling (800) 662-5200 or banks and brokers can call collect at (203) 658-9400, or by emailing: FSDC.info@investor.morrowsodali.com.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balance sheet of Combined Entity as of September 30, 2020 and the unaudited pro forma combined statements of operations of Combined Entity for the year ended December 31, 2019 and nine months ended September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2019 and the nine months ended September 30, 2020 give pro forma effect to the Business Combination and PIPE Investment as if they had occurred as of January 1, 2019. The unaudited pro forma combined balance sheet as of September 30, 2020 gives pro forma effect to the Business Combination and PIPE Investment as if they were completed on September 30, 2020.</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Gemini and the Shareholders Representative, pursuant to which Merger Sub will merge with and into Gemini, with Gemini surviving the merger as a wholly-owned subsidiary of FS Development. Upon the Closing, FS Development will then change its name to “Gemini Therapeutics, Inc.” The aggregate consideration to be paid to Gemini Equityholders pursuant to the Merger Agreement (subject to certain adjustments as provided therein) will be up to 21,500,000 shares of Class A Common Stock. In connection with the Business Combination, FS Development will also expect to consummate the private placement of 9,506,000 shares of Class A Common Stock at $10.00 per share, for aggregate gross proceeds of $95,060,000, under the PIPE Investment.</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unaudited pro forma combined information contained herein assumes that FS Development stockholders approve the Business Combination. FS Development’s public stockholders may elect to redeem their Public Shares for cash even if they approve the Business Combination. FS Development Corp. cannot predict how many of its public stockholders will exercise their right to have their Public Shares redeemed for cash. As a result, the Combined Entity has elected to provide the unaudited pro forma combined financial information under two different redemption scenarios, which produce different allocations of total Combined Entity equity between holders of Public Shares. As described in greater detail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of the unaudited pro forma combined financial information, the first scenario, or “no redemption scenario,” assumes that none of FS Development’s public stockholders will exercise their right to have their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scenarios. However, there can be no assurance regarding which scenario will be closest to the actual results. Under both scenarios, Gemini is considered the accounting acquirer, as further discussed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of the unaudited pro forma combined financial information.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6"/>
                <w:szCs w:val="16"/>
                <w:color w:val="auto"/>
              </w:rPr>
            </w:pPr>
          </w:p>
        </w:tc>
        <w:tc>
          <w:tcPr>
            <w:tcW w:w="214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0"/>
                <w:szCs w:val="10"/>
                <w:color w:val="auto"/>
              </w:rPr>
            </w:pP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 (b)</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205,854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207,015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95,491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Cash held in Trust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100" w:type="dxa"/>
            <w:vAlign w:val="bottom"/>
          </w:tcPr>
          <w:p>
            <w:pPr>
              <w:spacing w:after="0"/>
              <w:rPr>
                <w:sz w:val="18"/>
                <w:szCs w:val="18"/>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122,359</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16,253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209,062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7,236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Franchise tax payable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Term loan,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portion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7,600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21"/>
                <w:szCs w:val="2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18,033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10,986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Deferred underwriting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 and discount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6,190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24,531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17,484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47,113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33,336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convertible</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7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80,449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subject to redemption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296,998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170,201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185,475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(6,414)</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(105,421)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(6,414)</w:t>
            </w:r>
          </w:p>
        </w:tc>
        <w:tc>
          <w:tcPr>
            <w:tcW w:w="100" w:type="dxa"/>
            <w:vAlign w:val="bottom"/>
          </w:tcPr>
          <w:p>
            <w:pPr>
              <w:spacing w:after="0"/>
              <w:rPr>
                <w:sz w:val="21"/>
                <w:szCs w:val="21"/>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(105,421)</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275,305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191,578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163,781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97" w:name="page98"/>
    <w:bookmarkEnd w:id="97"/>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   $  122,359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$ 16,253</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70,450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$ 209,062</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(41,074)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97,538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-544195</wp:posOffset>
            </wp:positionV>
            <wp:extent cx="5143500" cy="5829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58293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 NINE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FSDC</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10"/>
                <w:szCs w:val="10"/>
                <w:color w:val="auto"/>
              </w:rPr>
            </w:pPr>
          </w:p>
        </w:tc>
        <w:tc>
          <w:tcPr>
            <w:tcW w:w="8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0"/>
                <w:szCs w:val="10"/>
                <w:color w:val="auto"/>
              </w:rPr>
            </w:pPr>
          </w:p>
        </w:tc>
        <w:tc>
          <w:tcPr>
            <w:tcW w:w="8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14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1"/>
                <w:szCs w:val="21"/>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(24,246)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(6,204)</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(8,511)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(6,204)</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(8,511)</w:t>
            </w: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extinguishment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of debt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(711)</w:t>
            </w: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(26,522)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(6,915)</w:t>
            </w: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(33,938)</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(6,915)</w:t>
            </w:r>
          </w:p>
        </w:tc>
        <w:tc>
          <w:tcPr>
            <w:tcW w:w="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(33,938)</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46,541,250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 share – Class 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 share – Class 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140" w:type="dxa"/>
            <w:vAlign w:val="bottom"/>
          </w:tcPr>
          <w:p>
            <w:pPr>
              <w:spacing w:after="0"/>
              <w:rPr>
                <w:sz w:val="16"/>
                <w:szCs w:val="16"/>
                <w:color w:val="auto"/>
              </w:rPr>
            </w:pPr>
          </w:p>
        </w:tc>
        <w:tc>
          <w:tcPr>
            <w:tcW w:w="21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4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(Historical)  (Historical)</w:t>
            </w: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34,472</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6,753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41,225</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54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basic and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46,541,250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per share</w:t>
            </w:r>
          </w:p>
        </w:tc>
        <w:tc>
          <w:tcPr>
            <w:tcW w:w="54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and Gemini, pursuant to which Merger Sub will merge with and into Gemini, with Gemini as the surviving company in the Merger and, after giving effect to such Merger, Gemini shall be a wholly-owned subsidiary of FS Development. Upon the closing of the Business Combination,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the consideration to be received by the Gemini Equityholders in connection with the Business Combination will be an aggregate number of shares of Combined Entity common stock up to (i) $215.0 million, divided by (ii) $10.00. In addition, immediately after the completion of the Business Combination, certain investors have agreed to subscribe for and purchase an aggregate of $95,060,000 of common stock of Combined Entity (the “PIPE Investment”).</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represents the aggregate merger consideration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No Redemption and</w:t>
            </w:r>
          </w:p>
        </w:tc>
      </w:tr>
      <w:tr>
        <w:trPr>
          <w:trHeight w:val="212"/>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Shares Issued</w:t>
            </w:r>
          </w:p>
        </w:tc>
      </w:tr>
      <w:tr>
        <w:trPr>
          <w:trHeight w:val="46"/>
        </w:trPr>
        <w:tc>
          <w:tcPr>
            <w:tcW w:w="5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 to Gemini</w:t>
            </w:r>
            <w:r>
              <w:rPr>
                <w:rFonts w:ascii="Times New Roman" w:cs="Times New Roman" w:eastAsia="Times New Roman" w:hAnsi="Times New Roman"/>
                <w:sz w:val="20"/>
                <w:szCs w:val="20"/>
                <w:color w:val="auto"/>
                <w:vertAlign w:val="superscript"/>
              </w:rPr>
              <w:t>(a)(b)</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215,000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9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common stock issued to Gemini included in the consideration is reflected at $10 per share as defined in the Merger Agreement.</w:t>
      </w:r>
    </w:p>
    <w:p>
      <w:pPr>
        <w:jc w:val="both"/>
        <w:ind w:left="880" w:right="459" w:hanging="426"/>
        <w:spacing w:after="0" w:line="268" w:lineRule="auto"/>
        <w:tabs>
          <w:tab w:leader="none" w:pos="1017"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up to 21.5 million consideration shares include 17.9 million shares to be issued for all issued and outstanding Gemini common and preferred stock plus 3.6 million shares underlying unvested, unissued, and/or unexercised stock options and warrants calculated as of the Record Date, with interest accruing under the Convertible Notes through the assumed Closing Date of February 5, 2021, which final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Consideration.</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of the date of the signing of the Merger Agreement, the conversion ratio was 10.00. The closing conversion ratio will be calculated in accordance with the methodology and procedures set forth in the Merger Agreement, and FS Development will file with the SEC a Current Report on Form 8-K announcing the final conversion ratio no later than four business days prior to the special meeting of its stockholders.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unaudited pro form common stock shares outstanding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600" w:type="dxa"/>
            <w:vAlign w:val="bottom"/>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Assuming No</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240" w:type="dxa"/>
            <w:vAlign w:val="bottom"/>
          </w:tcPr>
          <w:p>
            <w:pPr>
              <w:spacing w:after="0"/>
              <w:rPr>
                <w:sz w:val="18"/>
                <w:szCs w:val="18"/>
                <w:color w:val="auto"/>
              </w:rPr>
            </w:pPr>
          </w:p>
        </w:tc>
        <w:tc>
          <w:tcPr>
            <w:tcW w:w="1600" w:type="dxa"/>
            <w:vAlign w:val="bottom"/>
            <w:gridSpan w:val="3"/>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7"/>
        </w:trPr>
        <w:tc>
          <w:tcPr>
            <w:tcW w:w="324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3,460,250</w:t>
            </w:r>
          </w:p>
        </w:tc>
        <w:tc>
          <w:tcPr>
            <w:tcW w:w="3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3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15,535,250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8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17,877,339</w:t>
            </w:r>
          </w:p>
        </w:tc>
        <w:tc>
          <w:tcPr>
            <w:tcW w:w="3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17,877,339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284"/>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9,506,000</w:t>
            </w:r>
          </w:p>
        </w:tc>
        <w:tc>
          <w:tcPr>
            <w:tcW w:w="3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9,506,000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(excluding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8"/>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42,918,589</w:t>
            </w:r>
          </w:p>
        </w:tc>
        <w:tc>
          <w:tcPr>
            <w:tcW w:w="3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31,766,214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40"/>
        </w:trPr>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Gemini-Remaining Consideration Shares</w:t>
            </w:r>
            <w:r>
              <w:rPr>
                <w:rFonts w:ascii="Times New Roman" w:cs="Times New Roman" w:eastAsia="Times New Roman" w:hAnsi="Times New Roman"/>
                <w:sz w:val="20"/>
                <w:szCs w:val="20"/>
                <w:color w:val="auto"/>
                <w:vertAlign w:val="superscript"/>
              </w:rPr>
              <w:t>(A)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3,622,661</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3,622,661</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(including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9" w:lineRule="auto"/>
        <w:tabs>
          <w:tab w:leader="none" w:pos="92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consideration to be issued to Gemini is up to $215.0 million or 21.5 million shares ($10 per share price). The total shares to be issued includes Gemini common and preferred stock plus shares underlying unvested, unissued, and/or unexercised stock options and warrants. Accordingly, the consideration shares outstanding at the closing of the Business Combination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116" w:lineRule="exact"/>
        <w:rPr>
          <w:sz w:val="20"/>
          <w:szCs w:val="20"/>
          <w:color w:val="auto"/>
        </w:rPr>
      </w:pPr>
    </w:p>
    <w:p>
      <w:pPr>
        <w:ind w:left="1320" w:right="479" w:hanging="434"/>
        <w:spacing w:after="0" w:line="282" w:lineRule="auto"/>
        <w:tabs>
          <w:tab w:leader="none" w:pos="13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hold the majority of voting rights in Combined Entity;</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have the right to appoint the majority of the directors on the Combined Entity Board;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Gemini will comprise the senior management of Combined Entity;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Gemini will comprise the ongoing operations of Combined Entity.</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Under the reverse recapitalization model, the Business Combination will be treated as Gemini issuing equity for the net assets of FS Development, with no goodwill or intangible assets recorded.</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prepared using the assumptions below with respect to the potential redemption of Public Shares into cash:</w:t>
      </w:r>
    </w:p>
    <w:p>
      <w:pPr>
        <w:spacing w:after="0" w:line="36" w:lineRule="exact"/>
        <w:rPr>
          <w:sz w:val="20"/>
          <w:szCs w:val="20"/>
          <w:color w:val="auto"/>
        </w:rPr>
      </w:pPr>
    </w:p>
    <w:p>
      <w:pPr>
        <w:ind w:left="1320" w:right="479" w:hanging="434"/>
        <w:spacing w:after="0" w:line="286" w:lineRule="auto"/>
        <w:tabs>
          <w:tab w:leader="none" w:pos="141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No Redemptions</w:t>
      </w:r>
      <w:r>
        <w:rPr>
          <w:rFonts w:ascii="Times New Roman" w:cs="Times New Roman" w:eastAsia="Times New Roman" w:hAnsi="Times New Roman"/>
          <w:sz w:val="18"/>
          <w:szCs w:val="18"/>
          <w:color w:val="auto"/>
        </w:rPr>
        <w:t>: This presentation assumes that no FS Development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redemption rights with respect to their Public Shares; and</w:t>
      </w:r>
    </w:p>
    <w:p>
      <w:pPr>
        <w:spacing w:after="0" w:line="19"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stockholders exercise redemption rights with respect to their Public Shares. This scenario assumes that 11,152,375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6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then the amounts and shares outstanding in the unaudited pro forma combined financial information will be different.</w:t>
      </w:r>
    </w:p>
    <w:p>
      <w:pPr>
        <w:spacing w:after="0" w:line="4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to enter into new equity awards with its employees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4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reflect the income tax effects of the pro forma adjustments as any change in the deferred tax balance would be offset by an increase in the valuation allowance given Gemini incurred significant losses during the historical periods presented.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 Forma Adjustments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Balance Sheet as of September 30, 2020</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balance sheet as of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2020 are as follows:</w:t>
      </w:r>
    </w:p>
    <w:p>
      <w:pPr>
        <w:spacing w:after="0" w:line="137" w:lineRule="exact"/>
        <w:rPr>
          <w:sz w:val="20"/>
          <w:szCs w:val="20"/>
          <w:color w:val="auto"/>
        </w:rPr>
      </w:pPr>
    </w:p>
    <w:p>
      <w:pPr>
        <w:ind w:left="1320" w:right="459" w:hanging="434"/>
        <w:spacing w:after="0" w:line="284" w:lineRule="auto"/>
        <w:tabs>
          <w:tab w:leader="none" w:pos="1443" w:val="left"/>
        </w:tabs>
        <w:numPr>
          <w:ilvl w:val="0"/>
          <w:numId w:val="1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Represents the impact of the Business Combination and PIPE Investment on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Combined Entity.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represents the sources and uses of funds as it relates to the Business Combination: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 redemption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7"/>
        </w:trPr>
        <w:tc>
          <w:tcPr>
            <w:tcW w:w="47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cash held in Trust Account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PIPE Investors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redeeming FS Development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(111,524)</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underwriting commissions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41"/>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Excess cash to balance sheet from Business Combination</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191,201</w:t>
            </w:r>
          </w:p>
        </w:tc>
        <w:tc>
          <w:tcPr>
            <w:tcW w:w="100" w:type="dxa"/>
            <w:vAlign w:val="bottom"/>
          </w:tcPr>
          <w:p>
            <w:pPr>
              <w:spacing w:after="0"/>
              <w:rPr>
                <w:sz w:val="21"/>
                <w:szCs w:val="21"/>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68"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the restricted investments and cash held in the trust account upon consummation of the Business Combination at Closing.</w:t>
      </w:r>
    </w:p>
    <w:p>
      <w:pPr>
        <w:ind w:left="880" w:right="479" w:hanging="426"/>
        <w:spacing w:after="0" w:line="264" w:lineRule="auto"/>
        <w:tabs>
          <w:tab w:leader="none" w:pos="1047"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issuance, in the PIPE Investment, to certain investors of 9,506,000 shares of Combined Entity common stock at a price of $10.00 per share.</w:t>
      </w:r>
    </w:p>
    <w:p>
      <w:pPr>
        <w:ind w:left="880" w:right="479" w:hanging="426"/>
        <w:spacing w:after="0" w:line="264" w:lineRule="auto"/>
        <w:tabs>
          <w:tab w:leader="none" w:pos="94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paid to FS Development stockholders who are assumed to exercise redemption rights under the maximum redemption scenario.</w:t>
      </w:r>
    </w:p>
    <w:p>
      <w:pPr>
        <w:ind w:left="880" w:hanging="426"/>
        <w:spacing w:after="0"/>
        <w:tabs>
          <w:tab w:leader="none" w:pos="88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deferred FS Development IPO underwriting commissions by FS Development.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other Business Combination transaction costs.</w:t>
      </w:r>
    </w:p>
    <w:p>
      <w:pPr>
        <w:spacing w:after="0" w:line="139" w:lineRule="exact"/>
        <w:rPr>
          <w:rFonts w:ascii="Times New Roman" w:cs="Times New Roman" w:eastAsia="Times New Roman" w:hAnsi="Times New Roman"/>
          <w:sz w:val="16"/>
          <w:szCs w:val="16"/>
          <w:color w:val="auto"/>
        </w:rPr>
      </w:pPr>
    </w:p>
    <w:p>
      <w:pPr>
        <w:ind w:left="1300" w:hanging="414"/>
        <w:spacing w:after="0"/>
        <w:tabs>
          <w:tab w:leader="none" w:pos="1300" w:val="left"/>
        </w:tabs>
        <w:numPr>
          <w:ilvl w:val="1"/>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 costs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i w:val="1"/>
          <w:iCs w:val="1"/>
          <w:color w:val="auto"/>
        </w:rPr>
      </w:pPr>
    </w:p>
    <w:p>
      <w:pPr>
        <w:jc w:val="both"/>
        <w:ind w:left="1760" w:right="479" w:hanging="442"/>
        <w:spacing w:after="0" w:line="261" w:lineRule="auto"/>
        <w:tabs>
          <w:tab w:leader="none" w:pos="1918"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71"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2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incremental expenses related to the Business Combination and the PIPE Investment in the amount of $20.4 million (see Note 3(a)(5)). The unaudited pro forma combined balance sheet reflects these costs as a reduction of cash, with a corresponding decrease in additional paid-in capital (see Note 3(d)).</w:t>
      </w:r>
    </w:p>
    <w:p>
      <w:pPr>
        <w:spacing w:after="0" w:line="69"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541" w:val="left"/>
        </w:tabs>
        <w:numPr>
          <w:ilvl w:val="1"/>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Represents release of the restricted investments and cash held in the 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trust account upon consummation of the Business Combination (See Note 3(a)(1)).</w:t>
      </w:r>
    </w:p>
    <w:p>
      <w:pPr>
        <w:spacing w:after="0" w:line="50" w:lineRule="exact"/>
        <w:rPr>
          <w:rFonts w:ascii="Times New Roman" w:cs="Times New Roman" w:eastAsia="Times New Roman" w:hAnsi="Times New Roman"/>
          <w:sz w:val="18"/>
          <w:szCs w:val="18"/>
          <w:i w:val="1"/>
          <w:iCs w:val="1"/>
          <w:color w:val="auto"/>
        </w:rPr>
      </w:pPr>
    </w:p>
    <w:p>
      <w:pPr>
        <w:ind w:left="1320" w:right="479" w:hanging="434"/>
        <w:spacing w:after="0" w:line="284" w:lineRule="auto"/>
        <w:tabs>
          <w:tab w:leader="none" w:pos="1328" w:val="left"/>
        </w:tabs>
        <w:numPr>
          <w:ilvl w:val="1"/>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Franchise tax payable</w:t>
      </w:r>
      <w:r>
        <w:rPr>
          <w:rFonts w:ascii="Times New Roman" w:cs="Times New Roman" w:eastAsia="Times New Roman" w:hAnsi="Times New Roman"/>
          <w:sz w:val="18"/>
          <w:szCs w:val="18"/>
          <w:color w:val="auto"/>
        </w:rPr>
        <w:t>. Reflects the reclassification of FS Development’s franchise tax payable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with the balance sheet presentation of Gemini.</w:t>
      </w:r>
    </w:p>
    <w:p>
      <w:pPr>
        <w:spacing w:after="0" w:line="50" w:lineRule="exact"/>
        <w:rPr>
          <w:rFonts w:ascii="Times New Roman" w:cs="Times New Roman" w:eastAsia="Times New Roman" w:hAnsi="Times New Roman"/>
          <w:sz w:val="18"/>
          <w:szCs w:val="18"/>
          <w:i w:val="1"/>
          <w:iCs w:val="1"/>
          <w:color w:val="auto"/>
        </w:rPr>
      </w:pPr>
    </w:p>
    <w:p>
      <w:pPr>
        <w:jc w:val="both"/>
        <w:ind w:left="1320" w:right="459" w:hanging="434"/>
        <w:spacing w:after="0" w:line="253" w:lineRule="auto"/>
        <w:tabs>
          <w:tab w:leader="none" w:pos="1356" w:val="left"/>
        </w:tabs>
        <w:numPr>
          <w:ilvl w:val="1"/>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On August 21, 2020, Gemini entered into a purchase agreement with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Principal and interest are convertible into Series B preferred stock at a per share conversion price of $1.3513 prior to the effective date of the Business Combination. The proforma disclosures have been prepared as if the Notes convert to Series B preferred stock on February 5, 2021, and a reacquisition price of $22.9 million representing the expected fair value of Series B preferred stock upon conversion. The adjustments reflect the conversion of the notes to Series B preferred stock, and the impact of conversion on additional paid-in capital and accumulated deficit.</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1320" w:right="459" w:hanging="2"/>
        <w:spacing w:after="0" w:line="267" w:lineRule="auto"/>
        <w:tabs>
          <w:tab w:leader="none" w:pos="1818" w:val="left"/>
        </w:tabs>
        <w:numPr>
          <w:ilvl w:val="0"/>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Impact on equity</w:t>
      </w:r>
      <w:r>
        <w:rPr>
          <w:rFonts w:ascii="Times New Roman" w:cs="Times New Roman" w:eastAsia="Times New Roman" w:hAnsi="Times New Roman"/>
          <w:sz w:val="18"/>
          <w:szCs w:val="18"/>
          <w:color w:val="auto"/>
        </w:rPr>
        <w:t>. The following table represents the impact of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PIPE Investment on the number of shares of FS Development Class A Common Stock and represents the total equity section assuming no redemptions by FS Development stockholder:</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8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20" w:type="dxa"/>
            <w:vAlign w:val="bottom"/>
          </w:tcPr>
          <w:p>
            <w:pPr>
              <w:spacing w:after="0"/>
              <w:rPr>
                <w:sz w:val="10"/>
                <w:szCs w:val="10"/>
                <w:color w:val="auto"/>
              </w:rPr>
            </w:pPr>
          </w:p>
        </w:tc>
        <w:tc>
          <w:tcPr>
            <w:tcW w:w="6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88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(6,915)</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112,579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214,024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(105,922)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(103,853)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103,859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Post-Business Combination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296,998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(105,421)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case of maximum redemption by holders of Public Shares, the following table represents the impact of the Business Combination and PIPE Investment on the number of shares of FS Development Class A Common Stock and represents the total equity section:</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9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gridSpan w:val="2"/>
          </w:tcPr>
          <w:p>
            <w:pPr>
              <w:spacing w:after="0"/>
              <w:rPr>
                <w:sz w:val="10"/>
                <w:szCs w:val="10"/>
                <w:color w:val="auto"/>
              </w:rPr>
            </w:pPr>
          </w:p>
        </w:tc>
        <w:tc>
          <w:tcPr>
            <w:tcW w:w="70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3,018,750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(6,915)</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Redemption of redeemable</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(11,152,375)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(111,522)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64,460</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2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103,853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(105,922)</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(103,853)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Post-Business Combination</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(105,421)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Statements of Operations for the Nine Months Ended September 30, 2020 and Year Ended December 31, 2019</w:t>
      </w:r>
    </w:p>
    <w:p>
      <w:pPr>
        <w:spacing w:after="0" w:line="51"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 of operations for the nine months ended September 30, 2020 and for the year ended December 31, 2019 are as follows:</w:t>
      </w:r>
    </w:p>
    <w:p>
      <w:pPr>
        <w:spacing w:after="0" w:line="52" w:lineRule="exact"/>
        <w:rPr>
          <w:sz w:val="20"/>
          <w:szCs w:val="20"/>
          <w:color w:val="auto"/>
        </w:rPr>
      </w:pPr>
    </w:p>
    <w:p>
      <w:pPr>
        <w:ind w:left="1320" w:right="479" w:hanging="434"/>
        <w:spacing w:after="0" w:line="284" w:lineRule="auto"/>
        <w:tabs>
          <w:tab w:leader="none" w:pos="1371"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Franchise tax expense. </w:t>
      </w:r>
      <w:r>
        <w:rPr>
          <w:rFonts w:ascii="Times New Roman" w:cs="Times New Roman" w:eastAsia="Times New Roman" w:hAnsi="Times New Roman"/>
          <w:sz w:val="18"/>
          <w:szCs w:val="18"/>
          <w:color w:val="auto"/>
        </w:rPr>
        <w:t>Reflects the reclassification of FS Development’s franchise tax expense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with the statement of operations presentation of Gemini.</w:t>
      </w:r>
    </w:p>
    <w:p>
      <w:pPr>
        <w:spacing w:after="0" w:line="50" w:lineRule="exact"/>
        <w:rPr>
          <w:rFonts w:ascii="Times New Roman" w:cs="Times New Roman" w:eastAsia="Times New Roman" w:hAnsi="Times New Roman"/>
          <w:sz w:val="18"/>
          <w:szCs w:val="18"/>
          <w:i w:val="1"/>
          <w:iCs w:val="1"/>
          <w:color w:val="auto"/>
        </w:rPr>
      </w:pPr>
    </w:p>
    <w:p>
      <w:pPr>
        <w:jc w:val="both"/>
        <w:ind w:left="1320" w:right="459" w:hanging="434"/>
        <w:spacing w:after="0" w:line="253" w:lineRule="auto"/>
        <w:tabs>
          <w:tab w:leader="none" w:pos="1348"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loss on extinguishment of debt. </w:t>
      </w:r>
      <w:r>
        <w:rPr>
          <w:rFonts w:ascii="Times New Roman" w:cs="Times New Roman" w:eastAsia="Times New Roman" w:hAnsi="Times New Roman"/>
          <w:sz w:val="18"/>
          <w:szCs w:val="18"/>
          <w:color w:val="auto"/>
        </w:rPr>
        <w:t>On August 21, 2020, Gemini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with various 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have been prepared as if the Notes convert to Series B preferred stock on February 5, 2021, and a reacquisition price of $22.9 million representing the expected fair value of Series B preferred stock upon conversion. The adjustments reflect the accretion of the BCF discount recognized as interest expense of $7.5 million, simple interest of $0.5 million and a loss on extinguishment of $0.7 million.</w:t>
      </w:r>
    </w:p>
    <w:p>
      <w:pPr>
        <w:spacing w:after="0" w:line="81" w:lineRule="exact"/>
        <w:rPr>
          <w:rFonts w:ascii="Times New Roman" w:cs="Times New Roman" w:eastAsia="Times New Roman" w:hAnsi="Times New Roman"/>
          <w:sz w:val="18"/>
          <w:szCs w:val="18"/>
          <w:i w:val="1"/>
          <w:iCs w:val="1"/>
          <w:color w:val="auto"/>
        </w:rPr>
      </w:pPr>
    </w:p>
    <w:p>
      <w:pPr>
        <w:jc w:val="both"/>
        <w:ind w:left="1320" w:right="459" w:hanging="434"/>
        <w:spacing w:after="0" w:line="258" w:lineRule="auto"/>
        <w:tabs>
          <w:tab w:leader="none" w:pos="1448" w:val="left"/>
        </w:tabs>
        <w:numPr>
          <w:ilvl w:val="0"/>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Represents pro forma net loss per share based on pro forma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46,541,250 and 35,388,875 total pro forma shares outstanding upon consummation of the Business Combination and PIPE Investment for no redemption and maximum redemption scenario, respectively. There are no equity instruments that are expected to have a dilutive effect on the net income per share post-Business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Loss Per Share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for the year ended December 31, 2019 and for the nine months ended September 30,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21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Pr>
          <w:p>
            <w:pPr>
              <w:spacing w:after="0"/>
              <w:rPr>
                <w:sz w:val="18"/>
                <w:szCs w:val="18"/>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47"/>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w:t>
            </w: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Redemptions</w:t>
            </w:r>
          </w:p>
        </w:tc>
        <w:tc>
          <w:tcPr>
            <w:tcW w:w="0" w:type="dxa"/>
            <w:vAlign w:val="bottom"/>
          </w:tcPr>
          <w:p>
            <w:pPr>
              <w:spacing w:after="0"/>
              <w:rPr>
                <w:sz w:val="1"/>
                <w:szCs w:val="1"/>
                <w:color w:val="auto"/>
              </w:rPr>
            </w:pPr>
          </w:p>
        </w:tc>
      </w:tr>
      <w:tr>
        <w:trPr>
          <w:trHeight w:val="46"/>
        </w:trPr>
        <w:tc>
          <w:tcPr>
            <w:tcW w:w="3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46,541,250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35,388,875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46,541,250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35,388,875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15,535,250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17,877,339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17,877,339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17,877,339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17,877,339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9,506,000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42,918,589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31,766,214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42,918,589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31,766,214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_____________</w:t>
      </w:r>
    </w:p>
    <w:p>
      <w:pPr>
        <w:spacing w:after="0" w:line="100" w:lineRule="exact"/>
        <w:rPr>
          <w:sz w:val="20"/>
          <w:szCs w:val="20"/>
          <w:color w:val="auto"/>
        </w:rPr>
      </w:pPr>
    </w:p>
    <w:p>
      <w:pPr>
        <w:jc w:val="both"/>
        <w:ind w:left="880" w:right="459" w:hanging="426"/>
        <w:spacing w:after="0" w:line="272" w:lineRule="auto"/>
        <w:tabs>
          <w:tab w:leader="none" w:pos="1007"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3.6 million Gemini consideration shares that will be issued upon the occurrence of future events (i.e., exercise of stock options or warrants, and unissued stock options). Total consideration to be issued to Gemini is up to $215.0 million or 21.5 million shares ($10 per share price). The total shares to be issued includes all issued and outstanding Gemini common and preferred stock plus shares underlying unvested, unissued, and/or unexercised stock options. Accordingly, the weighted</w:t>
      </w:r>
    </w:p>
    <w:p>
      <w:pPr>
        <w:sectPr>
          <w:pgSz w:w="11900" w:h="16838" w:orient="portrait"/>
          <w:cols w:equalWidth="0" w:num="1">
            <w:col w:w="9019"/>
          </w:cols>
          <w:pgMar w:left="1440" w:top="270" w:right="1440" w:bottom="555"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55" w:gutter="0" w:footer="0" w:header="0"/>
          <w:type w:val="continuous"/>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8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6"/>
          <w:szCs w:val="16"/>
          <w:color w:val="auto"/>
        </w:rPr>
        <w:t>average pro forma shares outstanding at close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Acquisition of Gemini; Merger Consideration</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jc w:val="both"/>
        <w:ind w:left="880" w:right="459" w:hanging="426"/>
        <w:spacing w:after="0" w:line="270" w:lineRule="auto"/>
        <w:tabs>
          <w:tab w:leader="none" w:pos="92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applying the if converted method for calculating diluted earnings per share, it was assumed that all Gemini stock options and outstanding warrants are exchanged for Class A common stock. However, since this results in anti-dilution, the effect of such exchange was not included in calculation of diluted loss per share. Shares underlying these instruments include 3.6 million Gemini consideration shares for unvested, unissued, and/or unexercised stock options and warrants.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Holders of FS Development Common Stock are being asked to approve and adopt the Merger Agreement and the transactions contemplated thereby, including the Business Combination. FS Development stockholders should read carefully this proxy statement/prospectus in its entirety for more detailed information concerning the Merger Agreement,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to this proxy statement/prospectus. 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below, for additional information and a summary of certain terms of the Merger Agreement. You are urged to read carefully the Merger Agreement in its entirety before voting on this proposal.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terms of the Business Combination are the result of negotiations between the representatives of FS Development and Gemini. The following is a brief description of the background of these negotiations and the resulting Business Combination. The following does not purport to list every conversation among representatives of FS Development, Gemini and other parties.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is a blank check company incorporated in Delaware on June 25, 2020 and formed for the purpose of effecting a merger, capital stock exchange, asset acquisition, stock purchase, reorganization or similar business combination with one or more businesses. FS Development was created to capitalize on the substantial deal sourcing, investing and operating expertise of our management team to identify and combine with one or more businesses with high growth potential.</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Class A Common Stock, generating total gross proceeds of $120,750,000. Substantially concurrent with the consummation of the FS Development IPO, our Sponsor purchased 441,500 shares of Class A Common Stock for an aggregate purchase price of $4,415,000, or $10.00 per share.</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Prior to the consummation of the FS Development IPO, neither FS Development, nor anyone on its behalf, engaged in any substantive discussions, directly or indirectly, with any business combination target with respect to an initial business combination with FS Development.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Following the FS Development IPO and up to the signing of the mutual exclusivity agreement with Gemini on September 20, 2020, our officers and directors commenced an active search for prospective businesses or assets to acquire in our initial business combination. Representatives of FS Development were contacted by, and representatives of FS Development contacted, numerous individuals, financial advisors and other entities who offered to present ideas for business combination opportunities. Our officers and directors and their affiliates also brought to our attention target business candidates.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this search process, FS Development reviewed business combination opportunities with potential target businesses in the biotechnology industry. Discussions with several of these potential target businesses progressed to discussions of material transaction terms, including valuation, and FS Development delivered non-binding indications of interest to the following five potential target businesses: Gemini, Company B, Company C, Company D and Company 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However, shortly after preliminary discussions and before any material discussion progressed, FS Development ceased discussions with Company B, Company C and Company D because each of these companies decided to pursue alternative strategic transactions. Further, by September 20, 2020, the date on which FS Development and Gemini reached agreement on a non-binding indication of interest and a mutual exclusivity agreement (as described below), FS Development ultimately determined to abandon its potential business combination opportunity with Company E because of, among other things: (a) the level of engagement by, and advanced negotiations and discussions with Gemini, as compared to Company E where engagement was more limited and negotiations and discussions did not progress as rapidly, although Gemini had yet to reach an agreement on key terms and conditions of a potential transaction; (b) Gemini’s willingness to enter into the non-binding indication of interest and the mutual exclusivity agreement discussed below on terms that FS Development’s directors and officers believed were attractive; and (c) the Board and FS Development officers’ belief, based on their preliminary evaluation and the terms of the non-binding indication of interest, that Gemini was the most attractive potential business combination target that met its key criteria in a target.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engaged White &amp; Case LLP as its counsel, Wilson Sonsini Goodrich &amp; Rosati as its intellectual property counsel and Jefferies LLC as its financial and capital markets advisor in connection with its business combination and engaged Jefferies LLC and SVB Leerink LLC as co-lead placement agents in connection with a related private placement.</w:t>
      </w:r>
    </w:p>
    <w:p>
      <w:pPr>
        <w:spacing w:after="0" w:line="10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On August 18, 2020, Foresite Capital Fund V (“</w:t>
      </w:r>
      <w:r>
        <w:rPr>
          <w:rFonts w:ascii="Times New Roman" w:cs="Times New Roman" w:eastAsia="Times New Roman" w:hAnsi="Times New Roman"/>
          <w:sz w:val="18"/>
          <w:szCs w:val="18"/>
          <w:b w:val="1"/>
          <w:bCs w:val="1"/>
          <w:color w:val="auto"/>
        </w:rPr>
        <w:t>Fund V</w:t>
      </w:r>
      <w:r>
        <w:rPr>
          <w:rFonts w:ascii="Times New Roman" w:cs="Times New Roman" w:eastAsia="Times New Roman" w:hAnsi="Times New Roman"/>
          <w:sz w:val="18"/>
          <w:szCs w:val="18"/>
          <w:color w:val="auto"/>
        </w:rPr>
        <w:t>”), an affiliate of our Sponsor, was wall-crossed in connection with a potential private placement relating to a proposed business combination involving Gemini and Company A. Thereafter, representatives of Fund V and Gemini discussed Gemini’s business in relation to such potential private placement.</w:t>
      </w:r>
    </w:p>
    <w:p>
      <w:pPr>
        <w:spacing w:after="0" w:line="11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August 23, 2020, the Board held a special board meeting via video conference to discuss potential business combination opportunities.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1, 2020, Gemini’s exclusivity agreement with Company A terminated, and on September 21, 2020, based on discussions of Gemini’s board of directors, Gemini terminated discussions with Company A regarding a potential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 2020, Gemini management contacted FS Development about its potential interest in a business combination transaction with Gemini. Thereafter, FS Development continued discussions regarding a potential business combination with Gemini and several other companies.</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September 17, 2020, representatives of FS Development and Gemini held a teleconference to discuss a potential business combination. Thereafter, Jason Meyenburg, Chief Executive Officer of Gemini contacted Jim Tananbaum, Director, President and Chief Executive Officer of FS Development, and indicated that Gemini would be willing to consider a business combination at an enterprise value of at least $200 million. Thereafter, representatives of FS Development and Gemini continued to discuss the proposed valuation of Gemini. Having determined that a business combination with Gemini would be favorable for FS Development stockholders, in an industry in which FS Development was focused and possessed the growth and other financial attributes that FS Development intended to target at the time of the FS Development IPO, FS Development proposed in a non-binding indication of interest an enterprise value of Gemini of $215 million in order to secure exclusivity with Gemini. In addition, the non-binding indication of interest contained the following material terms: (1) issuance of an aggregate of 21,500,000 shares of FS Development Class A Common Stock (the “Share Cap”) at a valuation of $10.00 per share, (2) a proposed investment by an affiliate of FS Development of $45 million in a proposed private placement to close concurrently with the closing of the potential business combination, (3) disclosure of the amount in the Trust Account of approximately $121 million and (4) a proposal that the board of directors of the Combined Entity be comprised of seven (7) members to be drawn primarily from the current board of Gemini.</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20, 2020, FS Development and Gemini entered into the non-binding indication of interest in the form submitted by FS Development and a mutual exclusivity agreement, and FS Development ceased contact with other potential target businesses in the biotechnology industry. On September 24, 2020, FS Development and Gemini entered into a confidentiality agreement regarding the sharing of information in order for FS Development to conduct due diligence on Gemini.</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22, 2020, Gemini’s financial advisors informed potential private placement investors in connection with the potential business combination with Company A that wall-crossing restrictions were terminated.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Starting on September 24, 2020 until signing of the Merger Agreement, Gemini provided FS Development and its representatives with due diligence materials, including financial, clinical and regulatory information and representatives of FS Development and Gemini held telephonic conferences and virtual meetings to discuss the terms of the potential business combination, due diligence items and commercial and legal elements of Gemini’s business to assist FS Development and its advisors in assessing the enterprise valuation proposed by Gemini. During this time period, management of FS Development periodically updated members of the Board on the status and timing of discussions with Gemini, material transaction terms and due diligence items.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24, 2020, Goodwin Procter LLP, counsel to Gemini, delivered an initial draft of the Merger Agreement to White &amp; Case LLP, which provided for the repayment of the Convertible Notes by issuance of additional shares of FS Development Class A Common Stock above the Share Cap. Thereafter, the parties and their respective legal counsel negotiated the terms of the Merger Agreement and related documentation and agreements and exchanged several drafts of the Merger Agreement and related documentation and agreements.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parties also began preparing an investor presentation for meetings with certain targeted investors. FS Development and Gemini held investor meetings with potential investors in the PIPE Investment. All such investors were wall-crossed.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24, 2020 and September 25, 2020, representatives of FS Development held telephonic conferences with Gemini management to discuss due diligence items.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28, 2020, Dr. Tananbaum, Dr. Michael Rome, Director and Vice President of FS Development, and other members of management of FS Development met telephonically with representatives of White &amp; Case LLP to discuss material transaction terms and due diligence items. Later on September 28, 2020, Dr. Rome, Dr. Tananbaum and representatives of White &amp; Case LLP met telephonically with Gemini management and representatives of Goodwin Procter LLP to update parties on the status of the transaction.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29, 2020, management of FS Development met telephonically with management of Gemini to discuss additional clinical and regulatory due diligence items.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29, October 1, October 6, and October 8, 2020, Dr. Rome, Dr. Tananbaum, other members of management of FS Development and representatives of Jefferies LLC and SVB Leerink LLC met telephonically with Gemini management to discuss the status of the PIPE Investment.</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30, 2020, White &amp; Case LLP sent a revised draft of the Merger Agreement to Goodwin Procter LLP. The revised draft proposed, among other things, (i) changes relating to indemnification provisions, (ii) changes relating to allocation of purchase price, including repayment of the Convertible Notes out of the Share Cap, (iii) changes relating to treatment of options and warrants, and (iv) material changes to various representations, warranties and covenants.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October 3, 2020, Goodwin Procter LLP sent a revised draft of the Merger Agreement to White &amp; Case LLP. The revised draft proposed, among other things, (i) additional changes relating to indemnification provisions,</w:t>
      </w:r>
    </w:p>
    <w:p>
      <w:pPr>
        <w:jc w:val="both"/>
        <w:ind w:left="460" w:right="459" w:hanging="6"/>
        <w:spacing w:after="0" w:line="255" w:lineRule="auto"/>
        <w:tabs>
          <w:tab w:leader="none" w:pos="7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changes relating to allocation of purchase price, (iii) changes to closing conditions applicable to the parties and (iv) treating the Convertible Notes as a pre-funded investment by the holders of the Convertible Notes in the potential PIPE Investment.</w:t>
      </w:r>
    </w:p>
    <w:p>
      <w:pPr>
        <w:spacing w:after="0" w:line="11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8, 2020, the Board held a special board meeting via video conference to discuss the potential business combination, commitments from investors in the potential PIPE Investment and support from existing and prospective stockholders.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Thereafter, final allocations for investors in the potential PIPE Investment were determined by the parties and the proposed investment by an affiliate of FS Development of $45 million was decreased to $15 million.</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11, 2020, White &amp; Case LLP sent a further revised draft of the Merger Agreement to Goodwin Procter LLP. The revised draft (i) proposed, among other things, changes to closing conditions applicable to the parties and additional changes relating allocation of purchase price and (ii) reflected the agreement among the parties to repayment of the Convertible Notes out of the Share Cap and the board of directors of the Combined Entity would consist of seven (7) members, with the Sponsor entitled to nominate one such member.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12, October 13, and October 14, 2020, management of FS Development met telephonically with management of Gemini to discuss clinical and other due diligence items.</w:t>
      </w:r>
    </w:p>
    <w:p>
      <w:pPr>
        <w:spacing w:after="0" w:line="9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On October 12, 2020, the Board held a special board meeting via video conference to discuss the Business Combination and the terms of the definitive agreements. The Board was briefed on the terms of the Merger Agreement and related agreements and discussed the status of the proposed private placement. Following the discussions, the Board unanimously voted to approve the Business Combination with Gemini as well as the PIPE Investment. In approving the transactions, the Board determined that the aggregate fair market value of the proposed Business Combination was at least 80% of the assets held in the Trust Account (excluding the deferred underwriting commissions and taxes payable on the income earned on the Trust Account). On October 15, 2020, the Board executed a unanimous written consent approving the Merger Agreement and the transactions contemplated in the Business Combination.</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October 12, 2020 until the signing of the Merger Agreement, representatives of White &amp; Case LLP and Goodwin Procter LLP met telephonically to finalize the Merger Agreement and related documentation and agreements.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prior to the signing of the Merger Agreement, FS Development held virtual meetings and follow-up phone calls with the existing stockholders of FS Development. This resulted in stockholders owning 2,742,529 shares of Class A Common Stock committing not to transfer or redeem their shares through the closing of the Business Combination. During this process, several existing investors requested the ability to purchase additional shares in the PIPE Investment.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15, 2020, the parties entered into the Merger Agreement and FS Development entered into the subscription agreements for the PIPE Investment. On October 15, 2020, the parties issued a press release announcing the Business Combination.</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Board’s Reasons for Approval of the Business Combination</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90" w:lineRule="exact"/>
        <w:rPr>
          <w:sz w:val="20"/>
          <w:szCs w:val="20"/>
          <w:color w:val="auto"/>
        </w:rPr>
      </w:pPr>
    </w:p>
    <w:p>
      <w:pPr>
        <w:jc w:val="both"/>
        <w:ind w:left="1320" w:right="459" w:hanging="434"/>
        <w:spacing w:after="0" w:line="254" w:lineRule="auto"/>
        <w:tabs>
          <w:tab w:leader="none" w:pos="152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5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1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7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446"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pacing w:after="0" w:line="112" w:lineRule="exact"/>
        <w:rPr>
          <w:sz w:val="20"/>
          <w:szCs w:val="20"/>
          <w:color w:val="auto"/>
        </w:rPr>
      </w:pPr>
    </w:p>
    <w:p>
      <w:pPr>
        <w:jc w:val="both"/>
        <w:ind w:left="1320" w:right="459" w:hanging="434"/>
        <w:spacing w:after="0" w:line="259" w:lineRule="auto"/>
        <w:tabs>
          <w:tab w:leader="none" w:pos="140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 anticipates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5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8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 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management team and reviewed by the Board supported the equity valuation of Gemini.</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FS Development Financial Analysis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prepared by FS Development and reviewed by the Board in connection with the valuation of Gemini. The summary set forth below does not purport to be a complete description of the financial analyses performed or factors considered by FS Development. FS Development may have deemed various assumptions more or less probable than other assumptions.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None of Gemini, FS Development,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Gemini do not purport to be appraisals or reflect the prices at which Gemini shares may actually be valued or trade in the open market after the consummation of the Business Combination. Accordingly, the assumptions and estimates used in, and the results derived from, the financial analyses are inherently subject to substantial uncertainty. The following quantitative information, to the extent that it is based on market data, is not necessarily indicative of current market conditions.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Trading Comparables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valuation of Gemini, FS Development reviewed certain financial information of certain publicly traded companies selected based on the experience and the professional judgment of FS Development’s directors and officers. In connection with its analysis, FS Development reviewed certain financial information of Gemini, such as its current balance sheet, expected cash needs, financing history and equity capitalization.</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considered certain financial and operating data of IVERIC bio and Apellis Pharmaceuticals, each a publicly traded company that is developing an injectable complement therapy for geographic atrophy (the “Trading Comparables”).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None of the Trading Comparables has characteristics identical to Gemini. The Trading Comparables were selected because they have a comparable drug mechanism of action, comparable structures or comparable target indications. FS Development made qualitative judgments, based on the experience and professional judgment of its directors and officers, concerning differences between the operational, business and/or financial characteristics of Gemini and the Trading Comparables.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reviewed the market capitalization of each of the Trading Comparables, which FS Development management deemed relevant based on its professional judgment and expertise.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Trading Comparables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Stage of Lead Comparable Program</w:t>
            </w:r>
          </w:p>
        </w:tc>
        <w:tc>
          <w:tcPr>
            <w:tcW w:w="14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Market Cap</w:t>
            </w:r>
          </w:p>
        </w:tc>
      </w:tr>
      <w:tr>
        <w:trPr>
          <w:trHeight w:val="46"/>
        </w:trPr>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IVERIC</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bl>
    <w:p>
      <w:pPr>
        <w:spacing w:after="0" w:line="19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conducted a comparative analysis between Gemini and the Trading Comparables and determined that an implied enterprise value for Gemini of $215 million was at a discount to each of the market capitalizations of the Trading Comparables.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FS Development’s management team considered the financing that would be required in connection with the Business Combination and determined that the PIPE Investment was sized such that, together with the expected cash from FS Development’s trust account (assuming no redemptions), Gemini’s research and development programs would be expected to be funded through 2022.</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hereto, which is incorporated herein by reference.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that the respective parties made to each other as of the date of the Merger Agreement or other specific dates, which may be updated prior to the Closing.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Gemini; Merger Consideration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Upon the Closing, Merger Sub will merge with and into Gemini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Gemini surviving the Merger as a wholly owned subsidiary of FS Development.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subject to potential reduction for indemnification claims as described below, an aggregate number of shares equal to the Closing Payment Shares will be issued (or reserved for issuance pursuant to currently exercisable options or warrants) in respect of shares of Gemini capital stock, and options and warrants to purchase shares of Gemini capital stock, in each case, issued and outstanding immediately prior to the Closing. Each holder of Gemini Stock will receive its Pro Rata Portion of the Merger Consideration.</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parties agreed that immediately following the closing of the Business Combination, the Combined Entity’s board of directors will consist of no more than seven directors, one of which will be designated by the Sponsor and six of which will be designated by Gemini.</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Prior to the Closing, the affirmative vote of holders of a majority of the votes cast of FS Development Common Stock, voting together as a single class, at a stockholder’s meeting (at which there is a quorum) must approve the transactions contemplated by the Merger Agreement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In connection with obtaining the Stockholder Approval, FS Development must call a special meeting of its common stockholders and must prepare and file with the SEC a Proxy Statement on Schedule 14A, which will be mailed to all stockholders entitled to vote at the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Gemini makes certain representations and warranties (with certain exceptions set forth in the disclosure schedule to the Merger Agreement) relating to, among other things:</w:t>
      </w:r>
    </w:p>
    <w:p>
      <w:pPr>
        <w:spacing w:after="0" w:line="94" w:lineRule="exact"/>
        <w:rPr>
          <w:sz w:val="20"/>
          <w:szCs w:val="20"/>
          <w:color w:val="auto"/>
        </w:rPr>
      </w:pPr>
    </w:p>
    <w:p>
      <w:pPr>
        <w:jc w:val="both"/>
        <w:ind w:left="1320" w:right="459" w:hanging="434"/>
        <w:spacing w:after="0" w:line="261" w:lineRule="auto"/>
        <w:tabs>
          <w:tab w:leader="none" w:pos="13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organization, qualification to do business in each jurisdiction in which its properties are owned or leased by it or the operation of its business as currently conducted, good standing and corporate power required to own and operate its properties and assets and to carry out the business as presently conducted and as proposed to be conducted;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having requisite corporate authority to enter into the Merger Agreement and to complete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consents and approvals that Gemini must obtain for the Merger Agreement and to consummate the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5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(i) the duly authorized and validly issued and outstanding shares of capital stock of Gemini; (ii) common stock reserved for issuance under its outstanding unexercised options and equity incentive plans; (iii) warrants to purchase shares of Gemini Series A Preferred Stock; and (iv) additional matters with respect to its options;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its corporate records, including the approvals of its board of directors, including all committees thereof, stockholders, and all consents to actions taken thereby;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 subsidiaries;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statements for the periods ended December 31, 2018, December 31, 2019 and the six month period ended June 30, 2020 fairly present, in all material respects, the financial position of Gemini as of the dates thereof and the results of operations of Gemini for the periods reflected therein, and have been prepared in conformity with U.S. GAAP applied on a consistent basis and in accordance with the requirements of the Public Company Accounting Oversight Board for public companies;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3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its maintenance of proper financial books and records in all material respects in accordance with reasonable business practices, which accurately and fairly, in reasonable detail, reflect the transactions and dispositions of assets of and providing services by Gemini, and (ii) its proper internal controls over accounting which are sufficient to provide reasonable assurance that (A) transactions are executed in accordance with management’s general or specific authorizations; (B) transactions are recorded as necessary to permit preparation of financial statements in conformity with Gemini’s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its material contracts (i) is a valid and binding agreement, (ii) in full force and effect and (iii) enforceable by the parties thereto, and there are no known breaches of such materials contracts;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Gemini has all material necessary permits and licenses to conduct its business (ii) all such permits are valid and in full force and effect, and (iii) additional matters relating to such permits including with respect to the absence of breaches or violations of default;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82" w:lineRule="auto"/>
        <w:tabs>
          <w:tab w:leader="none" w:pos="13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compliance with all applicable laws, including, without limitation, those relating to foreign corrupt practices, sanctions, money laundering and environmental matters;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9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litigation against Gemini or its officers or directors or action with any governmental authority that would challenge the Merger Agreement or the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good and marketable title to the tangible assets and properties it owns or leases;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compliance in all material respects with rules and regulations of the FDA, other regulatory matters and all applicable healthcare laws;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ownership or appropriate licenses to use intellectual property used in its business, including with respect to the absence of rights of third parties to any of its intellectual property rights, and any infringement by a third party of Gemini’s intellectual property rights;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its employees as well as its compliance with applicable laws related to employment matters, proper tax withholding and employee benefit plans, including with respect to ERISA and tax matters relating thereto;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Gemini has duly and timely filed all material tax returns, which are true, correct and complete and accurate in all material respects; (ii) there is no action with respect to taxes of Gemini in the past five years; (iii) no statute of limitations in respect of the assessment or collection of any taxes of Gemini has been waived or extended, which waiver or extension is in effect and Gemini is not presently contesting the tax liability before any taxing authority or other authority; (iv) Gemini has complied in all respects with all applicable laws relating to the reporting, payment, collection and withholding of taxes and has duly and timely withheld or collected, paid over to the applicable taxing authority and reported all taxes required to be withheld or collected by Gemini, (v) no stock transfer tax, sales tax, use tax, real estate transfer tax or other similar tax will be imposed on the transfer of the shares of Gemini common stock by Gemini Stockholders to FS Development pursuant to the Merger Agreement; (vi) there is no outstanding request for a ruling from any taxing authority, request for consent by a taxing authority for a change in a method of accounting, subpoena or request for information by any taxing authority or agreement with any taxing authority with respect to Gemini; (vii) there is no lien (other than certain permitted liens specified in the Merger Agreement) for taxes upon Gemini or any of the assets of Gemini; (viii) no claim has ever been made by a taxing authority in a jurisdiction where Gemini has not paid any tax or filed tax returns, asserting that Gemini is or may be subject to tax in such jurisdiction, Gemini is not nor has it ever been subject to tax in any country other than the country of incorporation of Gemini by virtue of having a permanent establishment or other place of business in that country, and Gemini is and has always been tax resident solely in its country of incorporation; (ix) Gemini has provided to FS Development true, complete and correct copies of all tax returns relating to, and all audit reports and correspondence relating to each proposed adjustment, if any, made by any taxing authority with respect to, any taxable period ending after December 31, 2015; (x) Gemini is not, and has never been, a party to any tax sharing, allocation, indemnification or similar contract; (xi) Gemini has not taken any action, and is not aware of any fact or circumstances, that would reasonably be expected to prevent the Business Combination from qualifying as a “reorganization” within the meaning of Section 368(a) of the Code; and (xii) Gemini is not a “United States real property holding corporation” within the meaning of Section 897(c)(2) of the Code at any time during the five-year period before the Closing Date;</w:t>
      </w:r>
    </w:p>
    <w:p>
      <w:pPr>
        <w:spacing w:after="0" w:line="13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Gemini, no investment banker, broker, finder or other intermediary which has been retained by or is authorized to act on behalf of Gemini and its affiliates will be entitled to any fee or commissions from Gemini upon consummation of the Business Combination;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related party transactions other than those that Gemini has disclosed;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maintenance of proper insurance policies;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representations and warranties.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Certain of these representations and warranties are qualified as to “materiality” or “material adverse effect”. Material Adverse Effect with respect to Gemini means a material adverse change or a material adverse effect upon the assets, liabilities, financial condition, net worth, management, earnings, cash flows, business, operations or properties of Gemini and its business, subject to customary exceptions.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FS Development makes certain representations and warranties relating to, among other things:</w:t>
      </w:r>
    </w:p>
    <w:p>
      <w:pPr>
        <w:spacing w:after="0" w:line="94" w:lineRule="exact"/>
        <w:rPr>
          <w:sz w:val="20"/>
          <w:szCs w:val="20"/>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proper corporate organization and similar corporate matters;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delivery and enforceability of the Merger Agreement and other transaction documents;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FS Development, no investment banker, broker, finder or other intermediary which has been retained by or is authorized to act on behalf of FS Development and its affiliates will be entitled to any fee or commissions from Gemini upon consummation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the duly authorized and validly issued and outstanding shares of capital stock of FS Development and Merger Sub; (ii) absence of any other shares of capital stock or other voting securities of FS Development that are issued, reserved for issuance or outstanding; and (iii) except as disclosed by FS Development’s organizational documents, there are no outstanding contractual obligations of FS Development to repurchase, redeem or otherwise acquire any shares of FS Development Common Stock or any capital equity of FS Development;</w:t>
      </w:r>
    </w:p>
    <w:p>
      <w:pPr>
        <w:spacing w:after="0" w:line="10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its share issuance;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trust fund amount at Closing, including the validity of the trust agreement;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4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FS Development has duly and timely filed all material tax returns, which are true, correct and complete and accurate in all material respects; (ii) no statute of limitations in respect of the assessment or collection of any taxes of FS Development has been waived or extended, which waiver or extension is in effect, and FS Development is not presently contesting the tax liability before any taxing authority or other authority; (iii) there is no action with respect to taxes of FS Development in the past five years; (iv) FS Development has complied in all respects with all applicable laws relating to the reporting, payment, collection and withholding of taxes and has duly and timely withheld or collected, paid over to the applicable taxing authority and reported all taxes required to be withheld or collected by FS Development; (v) there is no lien (other than certain permitted liens specified in the Merger Agreement) for taxes upon FS Development or any of the assets of FS Development; (vi) no claim has ever been made by a taxing authority in a jurisdiction where FS Development has not paid any tax or filed tax returns, asserting that FS Development is or may be subject to tax in such jurisdiction, FS Development is not nor has it ever been subject to tax in any country other than the country of incorporation of FS Development by virtue of having a permanent establishment or other place of business in that country, and FS Development is and has always been tax resident solely in its country of incorporation; (vii) FS Development has provided to Gemini true, complete and correct copies of all tax returns (if any) relating to, and all audit reports and correspondence relating to each proposed adjustment (if any) made by any taxing authority with respect to, any taxable period ending after December 31, 2020; (viii) there is no outstanding power of attorney from FS Development authorizing anyone to act on behalf of FS Development in connection with any tax, tax return or action relating to any tax or tax return of FS Development; (ix) FS Development is not, and has never been, a party to any tax sharing, allocation, indemnification or similar contract; (x) FS Development has not taken any action, and is not aware of any fact or circumstances, that would reasonably be expected to prevent the Business Combination from qualifying as a “reorganization” within the meaning of Section 368(a) of the Code; and (xi) FS Development is not a “United States real property holding corporation” within the meaning of Section 897(c)(2) of the Code at any time during the five-year period before the Closing Date;</w:t>
      </w:r>
    </w:p>
    <w:p>
      <w:pPr>
        <w:spacing w:after="0" w:line="121"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of FS Development Class A Common Stock, with trading ticker “FSDC”; 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6" w:lineRule="auto"/>
        <w:tabs>
          <w:tab w:leader="none" w:pos="14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 requirements, including that FS Development has filed all forms, reports, schedules, statements and other documents, including any exhibits thereto, required to be filed or furnished by FS Development with the SEC since FS Development’s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the Merger Agreement.</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FS Development and Gemini,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FS Development, Gemini or any of their respective subsidiaries or affiliates. Moreover, information concerning the subject matter of the representations, warranties and covenants may change after the date of the Merger Agreement. To the extent that prior to the effective date of this proxy statement/prospectus, material information that contradicts the representations, warranties, and covenants in the Merger Agreement has come to our attention, we have provided corrective disclosure in this proxy statement/prospectus. Furthermore, if subsequent to the effective date of this proxy statement/prospectus, material information concerning the subject matter of the representations, warranties, and covenants in the Merger Agreement comes to our attention and such information has not been previously disclosed in our public filings, our public filings will be updated to include any material information necessary to provide our stockholders with a materially complete understanding of the disclosures in the Merger Agreement.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Prior to Closing; Covenants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Agreement contains certain customary covenants of FS Development and Gemini, including, among others, each of FS Development and Gemini having agreed to (i) operate its business in the ordinary course prior to the closing of the Business Combination (with certain exceptions) and (ii) use its commercially reasonable efforts to preserve intact its business relationships with employees, clients, suppliers, contract manufacturing organizations, contract research organizations and other third parties. Each party has also agreed not to take certain specified actions without the prior written consent of the other party.</w:t>
      </w:r>
    </w:p>
    <w:p>
      <w:pPr>
        <w:spacing w:after="0" w:line="10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FS Development has agreed to adopt the Equity Incentive Plan as described elsewhere in this proxy statement/prospectus.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Conditions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obligation of FS Development and Gemini to consummate the Business Combination is conditioned on, among other things, any one or more of which may be waived in writing by all of such parties, (a) the absence of any order, stay, judgment or decree by any government agency restraining or prohibiting or imposing any condition on the closing of the Business Combination; (b) all necessary governmental approvals having been obtained; (c) the absence of any litigation brought by a governmental agency seeking to enjoin or otherwise restrict the Closing; (d) FS Development shall not have redeemed Public Shares in an amount that would cause it to have net tangible assets of less than $5,000,001; (e) FS Development shall have obtained the approval of its stockholders on the Merger Agreement and the Business Combination and the proposals set forth in this proxy statement/prospectus shall have been approved at the Special Meeting, or any adjournment thereof; and (f) Gemini shall have obtained the approval of its stockholders on the Merger Agreement and the Business Combination. FS Development and Gemini have waived the condition that the bylaws of the Combined Entity be approved by the stockholders of FS Development.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Gemini’s Conditions to Closing</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Gemini to consummate the transactions contemplated by the Merger Agreement, in addition to the conditions described above, are conditioned upon, among other things, each of the following, any one or more of which may be waived by Gemini:</w:t>
      </w:r>
    </w:p>
    <w:p>
      <w:pPr>
        <w:spacing w:after="0" w:line="108" w:lineRule="exact"/>
        <w:rPr>
          <w:sz w:val="20"/>
          <w:szCs w:val="20"/>
          <w:color w:val="auto"/>
        </w:rPr>
      </w:pPr>
    </w:p>
    <w:p>
      <w:pPr>
        <w:jc w:val="both"/>
        <w:ind w:left="1320" w:right="459" w:hanging="434"/>
        <w:spacing w:after="0" w:line="261" w:lineRule="auto"/>
        <w:tabs>
          <w:tab w:leader="none" w:pos="136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and Merger Sub shall each have duly performed or complied with, in all material respects, all of its respective obligations under the Merger Agreement required to be performed or complied with (without giving effect to any materiality or similar qualifiers contained therein) by FS Development or Merger Sub, as applicable, at or prior to the Closing Date.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1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contained in the Merger Agreement (disregarding all qualifications contained therein relating to materiality or Material Adverse Effect (as defined in the Merger Agreement)), other than the representations and warranties of FS Development and Merger Sub regarding corporate existence and power, authorization and finder’s fees, shall have been true and correct as of the date of the Merger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FS Development or on FS Development’s ability to consummate the transactions contemplated by the Merger Agreement and other specified agreements.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6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regarding corporate existence and power, authorization and finder’s fees (disregarding all qualifications and exceptions contained therein relating to materiality or Material Adverse Effect) shall have been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Charter shall have been filed with, and declared effective by, the Delaware Secretary of State.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post-Closing board of directors shall have been appointed as set forth in Section 2.7 of the Merger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(as defined in the Merger Agreement) shall be equal to or greater than $170,000,000.</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55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listing application with Nasdaq in connection with the transactions contemplated by the Merger Agreement shall have been conditionally approved and, immediately following the Effective Time, FS Development shall satisfy any applicable initial and continuing listing requirements of Nasdaq, and FS Development shall not have received any notice of non-compliance therewith, and the Closing Payment Shares (as defined in the Merger Agreement) shall have been approved for listing on Nasdaq.</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Development’s Conditions to Closing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FS Development to consummate the transactions contemplated by the Merger Agreement, in addition to the conditions described above in the first paragraph of this section, are conditioned upon, among other things, each of the following, any one or more of which may be waived by FS Development:</w:t>
      </w:r>
    </w:p>
    <w:p>
      <w:pPr>
        <w:spacing w:after="0" w:line="95" w:lineRule="exact"/>
        <w:rPr>
          <w:sz w:val="20"/>
          <w:szCs w:val="20"/>
          <w:color w:val="auto"/>
        </w:rPr>
      </w:pPr>
    </w:p>
    <w:p>
      <w:pPr>
        <w:jc w:val="both"/>
        <w:ind w:left="1320" w:right="479" w:hanging="434"/>
        <w:spacing w:after="0" w:line="266" w:lineRule="auto"/>
        <w:tabs>
          <w:tab w:leader="none" w:pos="139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duly performed or complied with, in all material respects, all of its obligations under the Merger Agreement required to be performed or complied with (without giving effect to any materiality or similar qualifiers contained therein) by Gemini at or prior to the Closing Date.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5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contained in the Merger Agreement (disregarding all qualifications and exceptions contained therein relating to materiality or Material Adverse Effect), other than the representations and warranties of Gemini regarding corporate existence and power, authorization and finder’s fees, shall be true and correct in all respects at and as of the date of the Merger Agreement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21" w:lineRule="exact"/>
        <w:rPr>
          <w:sz w:val="20"/>
          <w:szCs w:val="20"/>
          <w:color w:val="auto"/>
        </w:rPr>
      </w:pPr>
    </w:p>
    <w:p>
      <w:pPr>
        <w:jc w:val="both"/>
        <w:ind w:left="1320" w:right="459" w:hanging="434"/>
        <w:spacing w:after="0" w:line="255" w:lineRule="auto"/>
        <w:tabs>
          <w:tab w:leader="none" w:pos="172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regarding corporate existence and power, authorization and finder’s fees, (disregarding all qualifications and exceptions contained therein relating to materiality or Material Adverse Effect)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of Gemini since the date of the Merger Agreement that is continuing.</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Gemini common stock (including shares of Gemini common stock issuable upon conversion of Gemini preferred stock) shall continue Dissenting Shares (as defined in the Merger Agreement).</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specified consents from third parties.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the consent of the holders of outstanding awards under Gemini’s existing equity incentive plans, to ensure that no more than five percent (5%) of the outstanding equity and equity-based awards under Gemini’s existing equity incentive plans accelerate in connection with the consummation of the Merger or otherwise as a result of the transactions contemplated by the Merger Agreement.</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delivered to FS Development copies of a lockup agreement duly executed by specified persons.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5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and after the Closing, holders of shares of Gemini capital stock (collectively, the “</w:t>
      </w:r>
      <w:r>
        <w:rPr>
          <w:rFonts w:ascii="Times New Roman" w:cs="Times New Roman" w:eastAsia="Times New Roman" w:hAnsi="Times New Roman"/>
          <w:sz w:val="18"/>
          <w:szCs w:val="18"/>
          <w:b w:val="1"/>
          <w:bCs w:val="1"/>
          <w:color w:val="auto"/>
        </w:rPr>
        <w:t>Escrow Participants</w:t>
      </w:r>
      <w:r>
        <w:rPr>
          <w:rFonts w:ascii="Times New Roman" w:cs="Times New Roman" w:eastAsia="Times New Roman" w:hAnsi="Times New Roman"/>
          <w:sz w:val="18"/>
          <w:szCs w:val="18"/>
          <w:color w:val="auto"/>
        </w:rPr>
        <w:t>”) have agreed to indemnify and hold harmless FS Development, its officers, directors and affiliates and their respective successors and permitted assigns against and in respect of any and all out-of-pocket losses incurred or sustained by FS Development as a result of: (a) any breach or inaccuracy of any of the representations, warranties set forth in Article V of the Merger Agreement (as modified by the schedules to the Merger Agreement) or in a specified certificate delivered by Gemini to FS Development at closing, in each case as of the Closing Date or such other date as expressly set forth in such representation or warranty, and (b) any breach or nonfulfillment of any covenants of Gemini contained in the Merger Agreement to be performed at or prior to the Closing Date.</w:t>
      </w:r>
    </w:p>
    <w:p>
      <w:pPr>
        <w:spacing w:after="0" w:line="12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Two Million One Hundred Fifty Thousand (2,150,000) of the shares of FS Development Class A Common Stock otherwise issuable to (or reserved for issuance for) the Escrow Participants at the Closing shall be deposited into a third party escrow account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FS Development’s sole and exclusive remedy for such losses under the Merger Agreement shall be the recovery of a number of Escrow Shares from the then remaining Escrow Shares having a value equal to the losses that have been finally determined to be owing to FS Development in accordance with Article XI of the Merger Agreement (at an assumed value equal to the greater of: (a) $10.00 per share and (b) the volume weighted average price of the FS Development Class A Common Stock for the ten (10) trading days ending on the trading day immediately preceding the Closing Date (the “</w:t>
      </w:r>
      <w:r>
        <w:rPr>
          <w:rFonts w:ascii="Times New Roman" w:cs="Times New Roman" w:eastAsia="Times New Roman" w:hAnsi="Times New Roman"/>
          <w:sz w:val="18"/>
          <w:szCs w:val="18"/>
          <w:b w:val="1"/>
          <w:bCs w:val="1"/>
          <w:color w:val="auto"/>
        </w:rPr>
        <w:t>Escrow Share Value</w:t>
      </w:r>
      <w:r>
        <w:rPr>
          <w:rFonts w:ascii="Times New Roman" w:cs="Times New Roman" w:eastAsia="Times New Roman" w:hAnsi="Times New Roman"/>
          <w:sz w:val="18"/>
          <w:szCs w:val="18"/>
          <w:color w:val="auto"/>
        </w:rPr>
        <w:t>”)), in each case, subject to the limitations set forth in Article XI of the Merger Agreement, including the Indemnifiable Loss Limit (as defined below).</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w:t>
      </w:r>
    </w:p>
    <w:p>
      <w:pPr>
        <w:spacing w:after="0" w:line="158" w:lineRule="exact"/>
        <w:rPr>
          <w:sz w:val="20"/>
          <w:szCs w:val="20"/>
          <w:color w:val="auto"/>
        </w:rPr>
      </w:pPr>
    </w:p>
    <w:p>
      <w:pPr>
        <w:jc w:val="both"/>
        <w:ind w:left="1320" w:right="479" w:hanging="434"/>
        <w:spacing w:after="0" w:line="261" w:lineRule="auto"/>
        <w:tabs>
          <w:tab w:leader="none" w:pos="14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liability of the Escrow Participants under the Merger Agreement or otherwise in connection with the transactions contemplated by the Merger Agreement shall in no event exceed an amount equal to: (i) the Escrow Share Value, multiplied by (ii) the Escrow Shares (the “</w:t>
      </w:r>
      <w:r>
        <w:rPr>
          <w:rFonts w:ascii="Times New Roman" w:cs="Times New Roman" w:eastAsia="Times New Roman" w:hAnsi="Times New Roman"/>
          <w:sz w:val="18"/>
          <w:szCs w:val="18"/>
          <w:b w:val="1"/>
          <w:bCs w:val="1"/>
          <w:color w:val="auto"/>
        </w:rPr>
        <w:t>Indemnifiable Loss Limit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shall not be entitled to indemnification pursuant to Section 11.1 of the Merger Agreement unless and until the aggregate amount of losses to FS Development equal at least $1,612,500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at which time, subject to the other limitations set forth in the Merger Agreement, FS Development shall be entitled to indemnification for any losses above the Basket, subject to the Indemnifiable Loss Limit.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Participants shall have no liability or obligation to indemnify FS Development under the Merger Agreement with respect to the breach or inaccuracy of any representation or warranty based on any matter, fact or circumstance known by FS Development as of the date of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Merger Agreement will (i) limit the parties’ rights to seek injunctive relief or other equitable remedies, (ii) prevent FS Development from bringing an action for fraud (with scienter) against the Person who committed such fraud (with scienter) or (iii) limit the right of any person or entity to pursue remedies under any other agreement entered into in connection with the transactions contemplated by the Merger Agreement against the parties thereto.</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indemnification to which FS Development is entitled from the Escrow Participants pursuant to Section 11.1 of the Merger Agreement for losses shall be effective so long as it is asserted prior to the expiration of the twelve (12) month anniversary of the Closing date (the “</w:t>
      </w:r>
      <w:r>
        <w:rPr>
          <w:rFonts w:ascii="Times New Roman" w:cs="Times New Roman" w:eastAsia="Times New Roman" w:hAnsi="Times New Roman"/>
          <w:sz w:val="18"/>
          <w:szCs w:val="18"/>
          <w:b w:val="1"/>
          <w:bCs w:val="1"/>
          <w:color w:val="auto"/>
        </w:rPr>
        <w:t>Survival Period</w:t>
      </w:r>
      <w:r>
        <w:rPr>
          <w:rFonts w:ascii="Times New Roman" w:cs="Times New Roman" w:eastAsia="Times New Roman" w:hAnsi="Times New Roman"/>
          <w:sz w:val="18"/>
          <w:szCs w:val="18"/>
          <w:color w:val="auto"/>
        </w:rPr>
        <w:t>”); provided, that in the event that any indemnification notice shall have been given by FS Development in accordance with the provisions of the Merger Agreement (each, an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 prior to the expiration of the Survival Period and such claim has not been finally resolved by the expiration of the Survival Period, the representations, warranties, covenants, agreements or obligations that are the subject of such Indemnification Notice shall survive solely for purposes of resolving such claim until such matters are finally resolved.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by:</w:t>
      </w:r>
    </w:p>
    <w:p>
      <w:pPr>
        <w:spacing w:after="0" w:line="158" w:lineRule="exact"/>
        <w:rPr>
          <w:sz w:val="20"/>
          <w:szCs w:val="20"/>
          <w:color w:val="auto"/>
        </w:rPr>
      </w:pPr>
    </w:p>
    <w:p>
      <w:pPr>
        <w:jc w:val="both"/>
        <w:ind w:left="1320" w:right="459" w:hanging="434"/>
        <w:spacing w:after="0" w:line="261" w:lineRule="auto"/>
        <w:tabs>
          <w:tab w:leader="none" w:pos="141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in the event (i) a governmental authority shall have issued an order, having the effect of permanently restraining, enjoining or otherwise prohibiting the Merger, which order is final and non-appealable or (ii) any applicable law is in effect making the consummation of the Merger illegal.</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if the Closing has not occurred on or prior to April 15, 2021 (the “</w:t>
      </w:r>
      <w:r>
        <w:rPr>
          <w:rFonts w:ascii="Times New Roman" w:cs="Times New Roman" w:eastAsia="Times New Roman" w:hAnsi="Times New Roman"/>
          <w:sz w:val="18"/>
          <w:szCs w:val="18"/>
          <w:b w:val="1"/>
          <w:bCs w:val="1"/>
          <w:color w:val="auto"/>
        </w:rPr>
        <w:t>Outside Closing Date</w:t>
      </w:r>
      <w:r>
        <w:rPr>
          <w:rFonts w:ascii="Times New Roman" w:cs="Times New Roman" w:eastAsia="Times New Roman" w:hAnsi="Times New Roman"/>
          <w:sz w:val="18"/>
          <w:szCs w:val="18"/>
          <w:color w:val="auto"/>
        </w:rPr>
        <w:t>”); provided, that if the SEC has not declared FS Development’s proxy statement effective on or prior to January 15, 2021, the Outside Closing Date shall be automatically extended to May 15, 2021; provided, further, that FS Development or Gemini, as applicable, is not in material breach of any of its obligations under the Merger Agreement;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(i) Gemini shall have breached any representation, warranty, agreement or covenant contained in the Merger Agreement to be performed on or prior to the Closing Date, which has rendered or would render the satisfaction of any of the conditions set forth in Section 10.2 of the Merger Agreement impossible; and (ii) such breach cannot be cured or is not cured by the earlier of the Outside Closing Date and thirty (30) days following receipt by the breaching party of a written notice from the non-breaching party describing in reasonable detail the nature of such breach.</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Gemini has not delivered evidence of the Gemini stockholders’ approval by written consent of the Merger Agreement and the transactions contemplated thereby to FS Development by no later than two business days following the effective date of this proxy statement (the “</w:t>
      </w:r>
      <w:r>
        <w:rPr>
          <w:rFonts w:ascii="Times New Roman" w:cs="Times New Roman" w:eastAsia="Times New Roman" w:hAnsi="Times New Roman"/>
          <w:sz w:val="18"/>
          <w:szCs w:val="18"/>
          <w:b w:val="1"/>
          <w:bCs w:val="1"/>
          <w:color w:val="auto"/>
        </w:rPr>
        <w:t>Gemini Stockholder Approval Termination Right</w:t>
      </w:r>
      <w:r>
        <w:rPr>
          <w:rFonts w:ascii="Times New Roman" w:cs="Times New Roman" w:eastAsia="Times New Roman" w:hAnsi="Times New Roman"/>
          <w:sz w:val="18"/>
          <w:szCs w:val="18"/>
          <w:color w:val="auto"/>
        </w:rPr>
        <w:t>”); provided, that FS Development shall not be permitted to terminate the Merger Agreement pursuant to the Gemini Stockholder Approval Right at any time (A) prior to two business days following the effective date of this proxy statement or (B) after such evidence has been delivered to FS Development.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if: (i) FS Development shall have breached any representation, warranty, agreement or covenant contained in the Merger Agreement to be performed on or prior to the Closing Date, which has rendered or would render the satisfaction of any of the conditions set forth in Section 10.3 of the Merger Agreement impossible; and (ii) such breach cannot be cured or is not cured by the earlier of the Outside Closing Date and thirty (30) days following receipt by FS Development of a written notice from Gemini describing in reasonable detail the nature of such breach.</w:t>
      </w:r>
    </w:p>
    <w:p>
      <w:pPr>
        <w:sectPr>
          <w:pgSz w:w="11900" w:h="16838" w:orient="portrait"/>
          <w:cols w:equalWidth="0" w:num="1">
            <w:col w:w="9019"/>
          </w:cols>
          <w:pgMar w:left="1440" w:top="270"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Ancillary Agreements Related to the Business Combination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entered into the Subscription Agreements with certain investors, including an affiliate of our Sponsor, pursuant to which, among other things, such investors have agreed to purchase immediately prior to the Closing, an aggregate of 9,506,000 shares of Class A Common Stock at a purchase price of $10.00 per share, for aggregate gross proceeds of $95,060,000. The affiliate of our Sponsor has assigned to the Sponsor its obligation to purchase its shares under the subscription agreement so that our Sponsor will purchase 1,500,000 of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obligations to consummate the subscriptions are conditioned upon, among other things,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FS Development entered into non-redemption letter agreements with FS Development,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 Support Agreements</w:t>
      </w:r>
    </w:p>
    <w:p>
      <w:pPr>
        <w:spacing w:after="0" w:line="15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Gemini stockholders (the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Supporting Stockholders</w:t>
      </w:r>
      <w:r>
        <w:rPr>
          <w:rFonts w:ascii="Times New Roman" w:cs="Times New Roman" w:eastAsia="Times New Roman" w:hAnsi="Times New Roman"/>
          <w:sz w:val="18"/>
          <w:szCs w:val="18"/>
          <w:color w:val="auto"/>
        </w:rPr>
        <w:t>”) entered into support agreements with FS Development (the “</w:t>
      </w:r>
      <w:r>
        <w:rPr>
          <w:rFonts w:ascii="Times New Roman" w:cs="Times New Roman" w:eastAsia="Times New Roman" w:hAnsi="Times New Roman"/>
          <w:sz w:val="18"/>
          <w:szCs w:val="18"/>
          <w:b w:val="1"/>
          <w:bCs w:val="1"/>
          <w:color w:val="auto"/>
        </w:rPr>
        <w:t>Gemini Support Agreements</w:t>
      </w:r>
      <w:r>
        <w:rPr>
          <w:rFonts w:ascii="Times New Roman" w:cs="Times New Roman" w:eastAsia="Times New Roman" w:hAnsi="Times New Roman"/>
          <w:sz w:val="18"/>
          <w:szCs w:val="18"/>
          <w:color w:val="auto"/>
        </w:rPr>
        <w:t>”). Under the Gemini Support Agreements, each Gemini Supporting Stockholder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as reasonably practicable (and in any event within two (2) business days) following the SEC declaring this proxy statement/prospectus effective, to execute and deliver a written consent with respect to the outstanding shares of the Gemini Stock held by such Gemini Supporting Stockholder (the “</w:t>
      </w:r>
      <w:r>
        <w:rPr>
          <w:rFonts w:ascii="Times New Roman" w:cs="Times New Roman" w:eastAsia="Times New Roman" w:hAnsi="Times New Roman"/>
          <w:sz w:val="18"/>
          <w:szCs w:val="18"/>
          <w:b w:val="1"/>
          <w:bCs w:val="1"/>
          <w:color w:val="auto"/>
        </w:rPr>
        <w:t>Subject 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approving the Merger Agreement and the transactions contemplated thereby. In addition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Business Combination (ii) against any alternative transaction; and</w:t>
      </w:r>
    </w:p>
    <w:p>
      <w:pPr>
        <w:spacing w:after="0" w:line="8" w:lineRule="exact"/>
        <w:rPr>
          <w:sz w:val="20"/>
          <w:szCs w:val="20"/>
          <w:color w:val="auto"/>
        </w:rPr>
      </w:pPr>
    </w:p>
    <w:p>
      <w:pPr>
        <w:jc w:val="both"/>
        <w:ind w:left="460" w:right="459" w:hanging="6"/>
        <w:spacing w:after="0" w:line="251" w:lineRule="auto"/>
        <w:tabs>
          <w:tab w:leader="none" w:pos="80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(including any provisions of any such agreement that, by its terms, survive such termination), effective as of, and subject to and condition upon the occurrence of, the Closing. The Subject Gemini Shares owned by the Gemini Supporting Stockholders and subject to the Gemini Support Agreements represent over 90.5% of the outstanding voting power of Gemini Stock. In addition, the Gemini Support Agreements prohibit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foregoing.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 Support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FS Development including the Initial Stockholders (the “</w:t>
      </w:r>
      <w:r>
        <w:rPr>
          <w:rFonts w:ascii="Times New Roman" w:cs="Times New Roman" w:eastAsia="Times New Roman" w:hAnsi="Times New Roman"/>
          <w:sz w:val="18"/>
          <w:szCs w:val="18"/>
          <w:b w:val="1"/>
          <w:bCs w:val="1"/>
          <w:color w:val="auto"/>
        </w:rPr>
        <w:t>FS Development Supporting Stockholders</w:t>
      </w:r>
      <w:r>
        <w:rPr>
          <w:rFonts w:ascii="Times New Roman" w:cs="Times New Roman" w:eastAsia="Times New Roman" w:hAnsi="Times New Roman"/>
          <w:sz w:val="18"/>
          <w:szCs w:val="18"/>
          <w:color w:val="auto"/>
        </w:rPr>
        <w:t>”) entered into support agreements with FS Development, Gemini and the Sponsor (the “</w:t>
      </w:r>
      <w:r>
        <w:rPr>
          <w:rFonts w:ascii="Times New Roman" w:cs="Times New Roman" w:eastAsia="Times New Roman" w:hAnsi="Times New Roman"/>
          <w:sz w:val="18"/>
          <w:szCs w:val="18"/>
          <w:b w:val="1"/>
          <w:bCs w:val="1"/>
          <w:color w:val="auto"/>
        </w:rPr>
        <w:t>FS Development Support Agreements</w:t>
      </w:r>
      <w:r>
        <w:rPr>
          <w:rFonts w:ascii="Times New Roman" w:cs="Times New Roman" w:eastAsia="Times New Roman" w:hAnsi="Times New Roman"/>
          <w:sz w:val="18"/>
          <w:szCs w:val="18"/>
          <w:color w:val="auto"/>
        </w:rPr>
        <w:t>”). Under FS Development Support Agreements, each FS Development Supporting Stockholder agreed to vote, at any meeting of the stockholders of FS Development, and in any action by written consent of the stockholders of FS Development, all of such FS Development Supporting Stockholder’s FS Development Common Stock (i) in favor of the Merger Agreement, certain proposals requiring approval by the stockholders of FS Development in connection with Business Combination and the transactions contemplated by the Merger Agreement and FS Development Support Agreement, and (ii) in favor of any other matter reasonably necessary to the consummation of the transactions contemplated by the Merger Agreement and the approval of the Parent Proposals (as defined in the Merger Agreement). The shares of FS Development Common Stock owned by the FS Development Supporting Stockholders and subject to the FS Development Support</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Agreements represent over 22.3% of the outstanding voting power of FS Development Common Stock. In addition, FS Development Support Agreements prohibit FS Development Supporting Stockholders from, among other things, selling, assigning or transferring any FS Development Common Stock of FS Development held by FS Development Supporting Stockholders or taking any action that would prevent or disable FS Development Support Stockholders from performing its obligations thereunder.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Initial Stockholders and certain other stockholders will enter into a registration rights agreement with FS Development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 The presence of these additional shares of common stock trading in the public market may have an adverse effect on the market price of the Combined Entity’s securities.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FS Development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the voting agreement, subject to certain terms and holding requirements set forth therein.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320" w:right="479" w:hanging="434"/>
        <w:spacing w:after="0" w:line="282" w:lineRule="auto"/>
        <w:tabs>
          <w:tab w:leader="none" w:pos="133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Board concluded that the Business Combination met all of the requirements disclosed in the prospectus for the FS Development IPO with respect to FS Development’s initial business combination, including that the Business Combination had a fair market value of at least 80% of the balance of the funds in the Trust Account (excluding the deferred underwriting commissions and taxes payable on the income earned on the Trust Account) at the time of execution of the Merger Agreement.</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the date of the execution of the Merger Agreement, the balance of funds in the Trust Account was approximately $120,751,489, 80% thereof represents approximately $96,601,191. In reaching its conclusion that the business combination meets the 80% test, the Board used as a fair market value the enterprise value of approximately $215 million, which was implied based on the terms of the transactions agreed to by the parties in negotiating the Merger Agreement. In determining whether the purchase price represents the fair market value of Gemini, the Board considered all of the factors described in the section entitled “The Business Combination Proposal — Board’s Reasons for Approval of the Business Combination,” and the fact that the purchase price for Gemini was the result of an arm’s length negotiation. As a result, the Board concluded that the fair market value of the businesses acquired was significantly in excess of 80% of the assets held in the Trust Account. In light of the financial background and experience of the members of our management team and the Board in valuing companies in the biotechnology industry, the Board believes that the members of our management team and the Board are qualified to determine whether the business combination meets the 80% test. The Board did not seek or obtain an opinion of an outside fairness or valuation advisor as to whether the 80% test has been met.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FS Development’s Directors and Officers and Others in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Business Combination Proposal and the other proposals, you should keep in mind that the Sponsor and FS Development’s directors and officers, have interests in such proposals that are different from, or in addition to, your interests as a stockholder. These interests include, among other things:</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the Board, liquidate and dissolve, subject in each case to our obligations under Delaware law to provide for claims of creditors and the requirements of other applicable law.</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 Upon the Closing, such Founders Shares will convert into 2,928,750 shares of Class A Common Stock.</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our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5" w:lineRule="auto"/>
        <w:tabs>
          <w:tab w:leader="none" w:pos="155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5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9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Business Combination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the Company’s public stockholders (other than investors in the PIPE Investment) will retain an ownership interest of approximately 26% in the Combined Entity, the PIPE Investment investors will own approximately 21% of the outstanding common stock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This ownership interest assumes that no shares are elected to be redeemed.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for the Business Combination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sources and uses for funding the Business Combination based on (i) the assumption that there will be no redemptions and (ii) the assumption that there will be maximum redemptions.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No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120,751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430,811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Maximum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315,061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Certificate of Incorporation; By-laws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upon the closing of the Business Combination, FS Development’s Current Charter and Current By-laws will be amended and restated as set forth in the Proposed Charter and Amended By-laws. See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 for more information regarding the proposed amendments to the Current Charter.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Headquarters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name of the Combined Entity will be Gemini Therapeutics, Inc. and its headquarters will be located at One Kendall Square, Cambridge, Massachusetts.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Redemption</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for holders of our Common Stock that elect to have their Common Stock redeemed pursuant to the Current Charter, which is referred to as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our Common Stock as part of a “straddle,” “hedge,” “conversion transaction,” “synthetic security,” “constructive ownership transaction,” “constructive sale,” or other integrated transaction for U.S. federal income tax purposes, U.S. Holders (as defined below) that have a functional currency other than the U.S. dollar, certain former U.S. citizens or long-term residents, investors that directly, indirectly, or constructively own 5 percent or more (by vote or value) of our Common Stock, “specified foreign corporations” (including “controlled foreign corporations”), “passive foreign investment companies” and corporations that accumulate earnings to avoid U.S. federal income tax, governments or agencies or instrumentalities thereof, persons who received their shares of our Common Stock pursuant to an exercise of employee share options, in connection with employee share incentive plans or otherwise as compensation, and Non-U.S.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investors that hold our Common Stock as “capital assets” under the Code (generally, property held for investment).</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U.S. federal income tax treatment of a partner in such partnership will generally depend upon the status of the partner, the activities of the partnership and certain determinations made at the partner level. If you are a partnership or a partner of a partnership holding our Common Stock, you are urged to consult your tax advisor regarding the tax consequences of a Redemption.</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WE URGE HOLDERS OF OUR COMMON STOCK CONTEMPLATING EXERCISE OF THEIR REDEMPTION RIGHTS TO CONSULT THEIR OWN TAX ADVISORS CONCERNING THE U.S. FEDERAL, STATE, LOCAL AND NON-U.S. INCOME AND OTHER TAX CONSEQUENCES THEREOF.</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U.S. Holders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section is addressed to U.S. Holders of our Common Stock that elect to have their Common Stock redeemed pursuant to the Redemption. For purposes of this discussion, a “U.S. Holder” is a beneficial owner of our Common Stock who or that is, for U.S. federal income tax purposes:</w:t>
      </w:r>
    </w:p>
    <w:p>
      <w:pPr>
        <w:spacing w:after="0" w:line="108" w:lineRule="exact"/>
        <w:rPr>
          <w:sz w:val="20"/>
          <w:szCs w:val="20"/>
          <w:color w:val="auto"/>
        </w:rPr>
      </w:pPr>
    </w:p>
    <w:p>
      <w:pPr>
        <w:ind w:left="1300" w:hanging="41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Common Stock</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event that a U.S. Holder’s Common Stock is redeemed pursuant to the Redemption,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both before and after the Redemption (including any stock constructively owned by the U.S. Holder as a result of owning warrants and stock ownership attributed to such U.S. Holder under applicable attribution rules)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warrants. Moreover, any of our stock that a U.S. Holder directly or constructively acquires pursuant to the Business Combination or the PIPE Investment generally should be included in determining the U.S. federal income tax treatment of the Redemption.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U.S. Holder immediately following the Redemption must, among other requirements, be less than 80% of the percentage of our outstanding voting stock actually and constructively owned by the U.S. Holder immediately before the Redemption (taking into account both redemptions by other holders of Common Stock and the Common Stock to be issued pursuant to the Business Combination or the PIPE Investment).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holder as a result of owning warrants). The Redemption will be not essentially equivalent to a dividend if a U.S. Holder’s Redemption results in a “meaningful reduction” of the U.S. Holder’s proportionate interest in us. Whether the Redemption will result in a meaningful reduction in a U.S. Holder’s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proportionate interest in us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distribution and the tax effects will be as described below under “</w:t>
      </w:r>
      <w:r>
        <w:rPr>
          <w:rFonts w:ascii="Times New Roman" w:cs="Times New Roman" w:eastAsia="Times New Roman" w:hAnsi="Times New Roman"/>
          <w:sz w:val="18"/>
          <w:szCs w:val="18"/>
          <w:i w:val="1"/>
          <w:iCs w:val="1"/>
          <w:color w:val="auto"/>
        </w:rPr>
        <w:t>U.S. Federal Income Tax Considerations to U.S. Holders —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 U.S. Holders of our Common Stock considering exercising their redemption rights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 their own tax advisors as to whether the Redemption will be treated as a sale or as a distribution under the Code.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Redemption qualifies as a sale of Common Stock, generally, a U.S. Holder will recognize gain or loss in an amount equal to the difference between (i) the sum of cash and the fair market value of any property received in such disposition and (ii) the U.S. Holder’s adjusted tax basis in its Common Stock so disposed of.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statement/prospectus may suspend the running of the applicable holding period for this purpose. A U.S. Holder’s adjusted tax basis in its Common Stock generally will equal the U.S. Holder’s acquisition cost less any prior distributions treated as a return of capital. Long-term capital gain recognized by a non-corporate U.S. Holder generally will be taxable at a reduced rate. The deduction of capital losses is subject to limitations.</w:t>
      </w:r>
    </w:p>
    <w:p>
      <w:pPr>
        <w:spacing w:after="0" w:line="11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FS Development U.S. Holders — Gain or Loss on Sale, Taxable Exchange or Other Taxable Disposition of Common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taxable at a reduced rate. It is unclear whether the redemption rights with respect to the Common Stock described in this proxy statement/prospectus may prevent a U.S. Holder from satisfying the applicable holding period requirements with respect to the dividends received deduction or the preferential tax rate on qualified dividend income, as the case may be.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Non-U.S. Holders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section is addressed to Non-U.S. Holders of our Common Stock that elect to have their Common Stock redeemed pursuant to the Redemption. For purposes of this discussion, a “Non-U.S. Holder” is a beneficial owner of our Common Stock (other than a partnership) that is not a U.S. Holder. The characterization for U.S. federal income tax purposes of the Redemption generally will correspond to the U.S. federal income tax characterization of the Redemption as described under “</w:t>
      </w:r>
      <w:r>
        <w:rPr>
          <w:rFonts w:ascii="Times New Roman" w:cs="Times New Roman" w:eastAsia="Times New Roman" w:hAnsi="Times New Roman"/>
          <w:sz w:val="18"/>
          <w:szCs w:val="18"/>
          <w:i w:val="1"/>
          <w:iCs w:val="1"/>
          <w:color w:val="auto"/>
        </w:rPr>
        <w:t>U.S. Federal Income Tax Considerations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Common Stock</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redemption qualifies as a sale of Common Stock, subject to the discussions of FATCA (as defined below) and backup withholding below, a Non-U.S. Holder generally will not be subject to U.S. federal income or withholding tax in respect of gain recognized on a sale of its Common Stock, unless:</w:t>
      </w:r>
    </w:p>
    <w:p>
      <w:pPr>
        <w:spacing w:after="0" w:line="108" w:lineRule="exact"/>
        <w:rPr>
          <w:sz w:val="20"/>
          <w:szCs w:val="20"/>
          <w:color w:val="auto"/>
        </w:rPr>
      </w:pPr>
    </w:p>
    <w:p>
      <w:pPr>
        <w:jc w:val="both"/>
        <w:ind w:left="1320" w:right="459" w:hanging="434"/>
        <w:spacing w:after="0" w:line="255" w:lineRule="auto"/>
        <w:tabs>
          <w:tab w:leader="none" w:pos="14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unless an applicable income tax treaty provides otherwise, the Non-U.S. Holder will generally be subject to the same treatment as a U.S. Holder with respect to the Redemption, and a corporate Non-U.S. Holder may be subject to an additional branch profits tax at a 30% rate (or lower rate as may be specified by an applicable income tax treaty);</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(including any gain realized in connection with the Redemption) for the year (which gain may be offset by certain U.S.-source capital losses), even though the Non-U.S. Holder is not considered a resident of the United States; or</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in which case, gain recognized by such holder in connection with the Redemption will be subject to tax at generally applicable U.S. federal income tax rates. In addition, we may be required to withhold U.S. federal income tax at a rate of 15% of the amount realized upon such Redemption. There can be no assurance that our Common Stock is or has been treated as regularly traded on an established securities market for this purpose.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Any distribution not constituting a dividend will be treated first as reducing (but not below zero) the Non-U.S. Holder’s adjusted tax basis in its shares of our Common Stock redeemed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Non-U.S. Holders — Gain on Sale, Taxable Exchange or Other Taxable Disposition of Common Stock</w:t>
      </w:r>
      <w:r>
        <w:rPr>
          <w:rFonts w:ascii="Times New Roman" w:cs="Times New Roman" w:eastAsia="Times New Roman" w:hAnsi="Times New Roman"/>
          <w:sz w:val="18"/>
          <w:szCs w:val="18"/>
          <w:color w:val="auto"/>
        </w:rPr>
        <w:t>.” If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determined at the time a distribution 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timely provides proper certification of its eligibility for such reduced rate (usually on an IRS Form W-8BEN or W-8BEN-E).</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Because (i) it may not be certain at the time a Non-U.S. Holder is redeemed whether such Non-U.S. Holder’s Redemption will be treated as a sale of shares or a distribution constituting a dividend, (ii) such determination will depend in part on a Non-U.S. Holder’s particular circumstances, and (iii) we generally cannot determine at the time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make a distribution whether or not the distribution will exceed our current and accumulated earnings and profits, we or the applicable withholding agent generally will withhold tax on the entire amount of any distribution at the 30% rate (subject to reduction by an applicable income tax treaty). However, if we or an applicable withholding agent withhold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Backup withholding is not an additional tax. The amount of any backup withholding from a payment to a holder may be allowed as a credit against such holder’s U.S. federal income tax liability and may entitle such holder to a refund, provided that an appropriate claim for refund is timely filed with the IRS and the required information is timely furnished to the IRS.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a 30% withholding tax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and complies with,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Thirty percent (30%) withholding under FATCA was scheduled to apply to the gross proceeds of a disposition of any stock, debt instrument, or other property that can produce U.S.-source dividends or interest beginning on January 1, 2019, but on December 13, 2018, the IRS released proposed regulations that, if finalized in their proposed form, would eliminate the obligation to withhold on gross proceeds. Although these proposed Treasury Regulations are not final, taxpayers generally may rely on them until final Treasury Regulations are issued.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Business Combination to Gemini Equityholders</w:t>
      </w:r>
    </w:p>
    <w:p>
      <w:pPr>
        <w:spacing w:after="0" w:line="9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of the Business Combination for U.S. Gemini Holders (as defined below) and Non-U.S. Gemini Holders (as defined below, and together, the “Gemini Holders”) who exchange their Gemini Stock for the Merger Consideration in the Business Combination. This summary is based upon the Code, the regulations promulgated by the U.S. Treasury Department,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w:t>
      </w:r>
    </w:p>
    <w:p>
      <w:pPr>
        <w:spacing w:after="0" w:line="11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Gemini Stock as part of a “straddle,” “hedge,” “conversion transaction,” “synthetic security,” “constructive ownership transaction,” “constructive sale,” or other integrated transaction for U.S. federal income tax purposes, U.S. Gemini Holders (as defined below) that have a functional currency other than the U.S. dollar, certain former U.S. citizens or long-term residents, investors that directly, indirectly or constructively own 5 percent or more (by vote or value) of the Gemini Stock, “specified foreign corporations” (including “controlled foreign corporations”), “passive foreign investment companies” and corporations that accumulate earnings to avoid U.S. federal income tax, governments or agencies or instrumentalities thereof, persons who received their Gemini Stock pursuant to an exercise of employee share options, in connection with employee share incentive plans or otherwise as compensation, and Non-U.S. Gemini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Gemini Holders that hold Gemini Stock as “capital assets” under the Code (generally, property held for investment).</w:t>
      </w:r>
    </w:p>
    <w:p>
      <w:pPr>
        <w:spacing w:after="0" w:line="13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Gemini Holder” is a beneficial owner of Gemini Stock who or that is, for U.S. federal income tax purposes:</w:t>
      </w:r>
    </w:p>
    <w:p>
      <w:pPr>
        <w:spacing w:after="0" w:line="81" w:lineRule="exact"/>
        <w:rPr>
          <w:sz w:val="20"/>
          <w:szCs w:val="20"/>
          <w:color w:val="auto"/>
        </w:rPr>
      </w:pPr>
    </w:p>
    <w:p>
      <w:pPr>
        <w:ind w:left="1300" w:hanging="414"/>
        <w:spacing w:after="0"/>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Gemini Holder” is a beneficial owner of Gemini Stock (other than a partnership) that is not a U.S. Gemini Holder.</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Gemini Stock, the U.S. federal income tax treatment of a partner in such partnership will generally depend upon the status of the partner, the activities of the partnership and certain determinations made at the partner level. If you are a partnership or a partner of a partnership holding Gemini Stock, you are urged to consult your tax advisor regarding the tax consequences of the Business Combination.</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URGE GEMINI HOLDERS TO CONSULT THEIR OWN TAX ADVISORS CONCERNING THE U.S. FEDERAL, STATE, LOCAL AND NON-U.S. INCOME AND OTHER TAX CONSEQUENCES OF THE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Qualifies as a Reorganization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Subject to the qualifications and assumptions described in this proxy statement/prospectus, FS Development and Gemini intend for the Business Combination to be treated for U.S. federal income tax purposes as a reorganization within the meaning of Section 368(a) of the Code. Nevertheless, the parties’ intentions and this proxy statement/prospectus are not binding on the IRS, and the IRS or a U.S. court could disagree with one or more of the positions discussed in this proxy statement/prospectus. Indeed, the IRS has announced that it will not issue favorable reorganization rulings with respect to escrow stock arrangements unless such arrangements comply with certain requirements. Neither FS Development nor Gemini has requested an opinion from U.S. tax counsel or a ruling from the IRS regarding the U.S. federal income tax consequences arising from and relating to the Business Combination. For a discussion of the U.S. federal income tax consequences if the Business Combination fails to qualify as a reorganization within the meaning of Section 368(a) of the Code, see “—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if the Business Combination Fails to Qualify as a Reorganization</w:t>
      </w:r>
      <w:r>
        <w:rPr>
          <w:rFonts w:ascii="Times New Roman" w:cs="Times New Roman" w:eastAsia="Times New Roman" w:hAnsi="Times New Roman"/>
          <w:sz w:val="18"/>
          <w:szCs w:val="18"/>
          <w:color w:val="auto"/>
        </w:rPr>
        <w:t>” below. The remainder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discussion “— </w:t>
      </w:r>
      <w:r>
        <w:rPr>
          <w:rFonts w:ascii="Times New Roman" w:cs="Times New Roman" w:eastAsia="Times New Roman" w:hAnsi="Times New Roman"/>
          <w:sz w:val="18"/>
          <w:szCs w:val="18"/>
          <w:i w:val="1"/>
          <w:iCs w:val="1"/>
          <w:color w:val="auto"/>
        </w:rPr>
        <w:t>Tax Consequences if the Business Combination Qualifies as a Reorganization</w:t>
      </w:r>
      <w:r>
        <w:rPr>
          <w:rFonts w:ascii="Times New Roman" w:cs="Times New Roman" w:eastAsia="Times New Roman" w:hAnsi="Times New Roman"/>
          <w:sz w:val="18"/>
          <w:szCs w:val="18"/>
          <w:color w:val="auto"/>
        </w:rPr>
        <w:t>” summarizes certain material U.S. federal income tax consequences of the Business Combination to Gemini Holders assuming that the Business Combination qualifies as a reorganization within the meaning of Section 368(a) of the Code. In addition, the discussion below assumes that the Escrow Shares in the Escrow Fund will be treated as having been received by the Gemini Holders at the time of the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Exchange for FS Development Common Stock</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Provided that the Business Combination qualifies as a reorganization within the meaning of Section 368(a) of the Code, in general, the following U.S. federal income tax consequences would result to Gemini Holders who exchange shares of Gemini Stock for FS Development Common Stock:</w:t>
      </w:r>
    </w:p>
    <w:p>
      <w:pPr>
        <w:spacing w:after="0" w:line="108" w:lineRule="exact"/>
        <w:rPr>
          <w:sz w:val="20"/>
          <w:szCs w:val="20"/>
          <w:color w:val="auto"/>
        </w:rPr>
      </w:pPr>
    </w:p>
    <w:p>
      <w:pPr>
        <w:jc w:val="both"/>
        <w:ind w:left="1320" w:right="479" w:hanging="434"/>
        <w:spacing w:after="0" w:line="266" w:lineRule="auto"/>
        <w:tabs>
          <w:tab w:leader="none" w:pos="137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Holders will not recognize gain or loss on the exchange of Gemini Stock for shares of FS Development Common Stock (including FS Development Common Stock held in the Escrow Fund) in the Business Combination.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in shares of FS Development Common Stock received (including FS Development Common Stock held in the Escrow Fund) in the Business Combination will be equal to the aggregate tax basis of the Gemini Stock exchanged in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FS Development Common Stock received (including FS Development Common Stock held in the Escrow Fund) in the Business Combination by a Gemini Holder will include the holding period of the Gemini Stock that it surrendered in exchange therefor.</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Until the Escrow Shares are released to the Gemini Holders, the interim basis of the FS Development Stock received by Gemini Holders pursuant to the Business Combination will be determined by treating the Escrow Shares as having been received by the Gemini Holders. No gain or loss will be recognized and no amount will be included in the income of the Gemini Holders by reason of the release of Escrow Shares to the Gemini Holders (although, for the avoidance of doubt, the amount of any dividends or other taxable distributions made in respect of the Escrow Shares will be includable in the income of the Gemini Holders prior to the release of such amounts to the Gemini Holders). In the event that any Escrow Shares are not released to Gemini Holders, the interim basis allocated to such Escrow Shares will be reallocated to the Gemini Holders’ remaining FS Development Common Stock received pursuant to the Business Combination, if any, or may result in recognition of capital loss in the event the Gemini Holder no longer holds any FS Development Common Stock. Gemini Holders should consult their tax advisors regarding the manner in which the above rules apply in light of the contingent right to receive Escrow Shares and the tax consequences of the release of Escrow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Fails to Qualify as a Reorganization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under Section 368(a) of the Code, the Business Combination will be a fully taxable transaction to each Gemini Holder. In such case, each U.S. Gemini Holder will recognize gain or loss measured by the difference between the fair market value of the Merger Consideration received in the Business Combination and the U.S. Gemini Holder’s tax basis in the shares of Gemini Stock surrendered in the Business Combination. The aggregate tax basis in the FS Development Common Stock (including the Escrow Shares) received pursuant to the Business Combination will be equal to the fair market value of such FS Development Common Stock (including the Escrow Shares) as of date received (including in the Escrow Fund). The holding period of such</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FS Development Common Stock (including the Escrow Shares) will begin on the date immediately following the date received. Gain or loss recognized will generally be capital gain or loss and will be a long-term capital gain or loss if the U.S. Gemini Holder will have held the Gemini Stock for more than one year at the Effective Time. Long-term capital gains of U.S. Gemini Holders that are non-corporate taxpayers are currently taxed at preferential U.S. federal income tax rates. Short-term capital gains are taxed at ordinary income tax rates. The deductibility of capital losses is generally subject to limitations. Gain or loss must be calculated separately for each block of Gemini Stock acquired at the same time in a single transaction. U.S. Gemini Holders are urged to consult with their tax advisors regarding the manner in which gain or loss should be calculated among different blocks of Gemini Stock surrendered in the Business Combination.</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tax consequences to a Non-U.S. Gemini Holder if the Business Combination is treated as a taxable transaction generally will be the same as described above under the section titled “</w:t>
      </w:r>
      <w:r>
        <w:rPr>
          <w:rFonts w:ascii="Times New Roman" w:cs="Times New Roman" w:eastAsia="Times New Roman" w:hAnsi="Times New Roman"/>
          <w:sz w:val="18"/>
          <w:szCs w:val="18"/>
          <w:i w:val="1"/>
          <w:iCs w:val="1"/>
          <w:color w:val="auto"/>
        </w:rPr>
        <w:t>Certain 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Redemption — U.S. Federal Income Tax Considerations to Non-U.S. Holders — Gain on Sale, Taxable Exchange or Other Taxable Disposition of Common Stock</w:t>
      </w:r>
      <w:r>
        <w:rPr>
          <w:rFonts w:ascii="Times New Roman" w:cs="Times New Roman" w:eastAsia="Times New Roman" w:hAnsi="Times New Roman"/>
          <w:sz w:val="18"/>
          <w:szCs w:val="18"/>
          <w:color w:val="auto"/>
        </w:rPr>
        <w:t>” as if the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Holder exchanging its Gemini Stock for FS Development Common Stock were a Non-U.S. Holder (as defined therein) selling its Common Stock for property. The Merger Agreement obligates Gemini to deliver a certificate to FS Development on or prior to the Closing Date that as of the date of the certificate, Gemini is not a United States real property holding corporation.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U.S. Gemini Holder may be subject to information reporting and backup withholding unless the U.S Gemini Holder is an exempt recipient. Backup withholding may apply to such payments if the U.S. Gemini Holder fails to furnish a correct taxpayer identification number, a certification of exempt status or has been notified by the IRS that it is subject to backup withholding (and such notification has not been withdrawn). Each U.S. Gemini Holder should properly complete and sign, and deliver, an IRS Form W-9 in order to provide the information and certification necessary to avoid backup withholding, or otherwise establish an applicable exemption in a manner acceptable to the paying agent. U.S. Gemini Holders should consult their tax advisors regarding their qualification for an exemption from backup withholding and the procedures for obtaining such an exemption.</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Gemini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will be allowed as a credit against a Gemini Holder’s federal income tax liability and may entitle such holder to a refund, provided the required information is timely furnished to the IRS. Gemini Holders should consult their tax advisors regarding their qualification for an exemption from backup withholding and the procedures for obtaining such an exemption.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Gemini Holder that receives FS Development Common Stock as a result of the Business Combination should retain records pertaining to the Business Combination, including records relating to the number of shares and the tax basis of such holder’s Gemini Stock. Each Gemini Holder that is required to file a U.S. federal income tax return and that is a “significant holder” that receives FS Development Common Stock in the Business Combination will be required to file a statement with such U.S. federal income tax return in accordance with Treasury regulations Section 1.368-3 setting forth such holder’s tax basis in the Gemini Stock surrendered, the fair market value of the FS Development Common Stock received in the Business Combination, and certain other information.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stockholders comprising a relative majority of the voting power of the Combined Entity, Gemini’s operations prior to the acquisition comprising the only ongoing operations of Combined Entity, and Gemini’s senior management comprising the senior management of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Business Combination Proposal (and consequently, the Merger Agreement and the transactions contemplated thereby, including the Business Combination) will be approved and adopted only with the affirmative vote of at least a majority of the votes cast by FS Development stockholders present in person (which would include presence at a virtual meeting) or represented by proxy at the Special Meeting and entitled to vote thereon, voting together as a single class. The Business Combination is conditioned upon the approval of the Business Combination Proposal, subject to the terms of the Merger Agreement. If the Business Combination Proposal is not approved, the other Proposals (except the Adjournment Proposal, as described below) will not be presented to the stockholders for a vote. Abstentions and broker non-votes will have no effect on the outcome of the vote on the Business Combination Proposal.</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Record Date, FS Development’s Sponsor, directors and officers have agreed to vote any shares of Common Stock owned by them in favor of the Business Combination. As of the date hereof, the Sponsor, directors and officers have not purchased any Public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BUSINESS COMBINATION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ISSUANCE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and 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Assuming the Business Combination Proposal is approved, FS Development’s stockholders are also being asked to approve (a) the issuance of up to 21,500,000 newly issued shares of FS Development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(b) the issuance of 9,506,000 newly issued shares of FS Development Common Stock in the PIPE Investment for the purposes of complying with the applicable provisions of the Nasdaq Stock Exchange Listing Rules (each, a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5635(a), (b) and (d), to the extent such issuance would require a stockholder vote under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5635(a), (b), or (d).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Approval for Purposes of Nasdaq Listing Rule 5635</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 If the Business Combination is completed pursuant to the Merger Agreement, FS Development currently expects to issue an estimated 31,006,000 shares of FS Development Class A Common Stock (assuming that none of FS Development’s outstanding Public Shares are redeemed) in connection with the Business Combination and the PIPE Investment.</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Additionally, pursuant to Nasdaq Listing Rule 5635(a)(2), when a Nasdaq-listed company proposes to issue securities in connection with the acquisition of the stock or assets of another company, stockholder approval is required if any director, officer or substantial stockholder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FS Development’s Common Stock, Sponsor is considered a substantial stockholder of FS Development under Nasdaq Listing Rule 5635(e)(3). In connection with the PIPE Investment, Sponsor is expected to be issued 1,500,000 shares of FS Development Class A Common Stock.</w:t>
      </w:r>
    </w:p>
    <w:p>
      <w:pPr>
        <w:spacing w:after="0" w:line="10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event that this proposal is not approved by FS Development stockholders, the Business Combination cannot be consummated. In the event that this proposal is approved by FS Development stockholders, but the Merger Agreement is terminated (without the Business Combination being consummated) prior to the issuance of shares of FS Development Class A Common Stock pursuant to the Merger Agreement, FS Development will not issue such shares of FS Development Class A Common Stock.</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currently have 15,535,250 shares of FS Development Common Stock outstanding. Pursuant to the Business Combination and the Subscription Agreements, we will issue 31,006,000 shares of FS Development Class A Common Stock, representing 200% of our outstanding shares of FS Development Common Stock prior to such issuance, at a price less than the greater of the book value or market of the shares. The FS Development Class A Common Stock had a book value of $0.32 and market value of $11.20 on September 30, 2020. Accordingly, we need stockholder approval of the issuance of more than 20% of our issued and outstanding FS Development Common Stock at a price that may be less than the greater of book or market value of FS Development’s Class A Common Stock as of September 30, 2020.</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If the Nasdaq Stock Issuance Proposal is adopted, up to an aggregate of 31,006,000 shares of FS Development Class A Common Stock may be issued in connection with the Business Combination and the PIPE Investment, representing up to 200% of the shares of FS Development Class A Common Stock outstanding on the date hereof. The issuance of such shares would result in significant dilution to our stockholders, and result in our stockholders having a smaller percentage interest in the voting power, liquidation value and aggregate book value of FS Development.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Nasdaq Stock Issuance Proposal requires the affirmative vote of a majority of the votes cast by the stockholders represented in person or by proxy and entitled to vote thereon at the Special Meeting, voting together as a single class, assuming that a quorum is present. Failure to vote by proxy or to vote online at the special meeting or an abstention from voting will have no effect on the outcome of the vote on the Nasdaq Stock Issuance Proposal.</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left="1400" w:right="1059" w:hanging="396"/>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THE NASDAQ STOCK ISSUANCE PROPOSAL.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PROPOSAL</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All stockholders are encouraged to read the Proposed Charter in its entirety for a more complete description of its terms.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Current Charter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Proposed Charter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Board</w:t>
            </w:r>
          </w:p>
        </w:tc>
        <w:tc>
          <w:tcPr>
            <w:tcW w:w="2900" w:type="dxa"/>
            <w:vAlign w:val="bottom"/>
            <w:tcBorders>
              <w:bottom w:val="single" w:sz="8" w:color="auto"/>
            </w:tcBorders>
            <w:gridSpan w:val="4"/>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0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29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Current Charter divides the board</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30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Proposed Charter divides the board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directors  into  three  classes  with</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of the Combined Entity into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staggered three-year terms.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classes with staggered three-year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terms.</w:t>
            </w: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 Amendment</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is silent on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 of minimum voting requirements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affirmative vote of the majority of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amending  the  Current  Charter,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provided that provisions in the Current</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on  such  amendment,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Charter  related  to  (i)  the  rights,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provided that provisions in the Proposed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preferences  and</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privileges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Charter   in   Article   V   (covering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B Common Stock may only be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stockholder</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Article</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VI,</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Section 3 (covering classified board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at least a majority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directors), Article VI, Section 5 (removal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then-outstanding  shares  of  Class  B</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Article  VII,  Section  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and (ii) the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set  forth  in  Article  IX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Article VIII (amendment of by-laws) will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related to a blank check company) may</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require approval of the holders of at least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only be amended with the approval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66⅔% 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holders of at least 65% of the then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issued  and  outstanding  shares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voting together as a</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class.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does not provide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provides that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opt out of Section 203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7"/>
              </w:rPr>
              <w:t>DGCL.</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the DGCL.</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 Disputes</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provides the U.S.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is silent as to the</w:t>
            </w:r>
          </w:p>
        </w:tc>
        <w:tc>
          <w:tcPr>
            <w:tcW w:w="0" w:type="dxa"/>
            <w:vAlign w:val="bottom"/>
          </w:tcPr>
          <w:p>
            <w:pPr>
              <w:spacing w:after="0"/>
              <w:rPr>
                <w:sz w:val="1"/>
                <w:szCs w:val="1"/>
                <w:color w:val="auto"/>
              </w:rPr>
            </w:pPr>
          </w:p>
        </w:tc>
      </w:tr>
      <w:tr>
        <w:trPr>
          <w:trHeight w:val="220"/>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Forum</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federal district courts have exclusive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forum for causes of actions arising under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jurisdiction over causes of action arising</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Securities Act.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Securities Act.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Removal</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has a provision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a director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providing for the removal of a director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can only be removed for clause by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cause only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approval of the holders of at least 66⅔%</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 majority of the capital stock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then issued and outstanding.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Change</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FS Development’s current name is FS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Entity’s name will be Gemini</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Therapeutics, Inc.</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110,000,000 shares of Common Stock,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250,000,000 shares of Common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including  (i)  100,000,000  shares  of</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and  (ii)</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Class B Common</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“blank  check”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issuance of 10,000,000 shares of “blank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stock,  that  the  board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check” preferred stock that the Combined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could issue to discourage a</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could issue 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attempt.</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increase  the  number  of  outstanding</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to discourage a takeover attempt.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109"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type w:val="continuous"/>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jc w:val="right"/>
        <w:ind w:right="1339"/>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Current Charter</w:t>
      </w:r>
      <w:r>
        <w:rPr>
          <w:sz w:val="20"/>
          <w:szCs w:val="20"/>
          <w:color w:val="auto"/>
        </w:rPr>
        <w:tab/>
      </w:r>
      <w:r>
        <w:rPr>
          <w:rFonts w:ascii="Times New Roman" w:cs="Times New Roman" w:eastAsia="Times New Roman" w:hAnsi="Times New Roman"/>
          <w:sz w:val="16"/>
          <w:szCs w:val="16"/>
          <w:b w:val="1"/>
          <w:bCs w:val="1"/>
          <w:color w:val="auto"/>
        </w:rPr>
        <w:t>Proposed Charter</w:t>
      </w:r>
    </w:p>
    <w:p>
      <w:pPr>
        <w:sectPr>
          <w:pgSz w:w="11900" w:h="16838" w:orient="portrait"/>
          <w:cols w:equalWidth="0" w:num="1">
            <w:col w:w="9019"/>
          </w:cols>
          <w:pgMar w:left="1440" w:top="270" w:right="1440" w:bottom="1440" w:gutter="0" w:footer="0" w:header="0"/>
        </w:sectPr>
      </w:pPr>
    </w:p>
    <w:p>
      <w:pPr>
        <w:spacing w:after="0" w:line="53"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Provisions Specific to a Blank Check Company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91"/>
        </w:trPr>
        <w:tc>
          <w:tcPr>
            <w:tcW w:w="30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Under  the  Current  Charter,  Article</w:t>
            </w: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p Proposed Charter does not include</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NINTH sets forth various provisions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these blank check company provisions</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related to its operations as a blank check</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because, upon Closing, FS Development</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prior to the consummation of</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will cease to be a blank check company.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an   initial</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addition, the provisions requiring that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Furthermore,</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Development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proceeds  from  its  initial  public</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is required to be dissolved</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offering be held in a trust account until a</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liquidated 24 months following the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or liquidation of</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closing of its initial public offering.</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FS Development and the terms governing</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Development’s consummation of a</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proposed business combination will not</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  applicable  following  Closing.  The</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Combined   Company   will   have   a</w:t>
            </w:r>
          </w:p>
        </w:tc>
      </w:tr>
      <w:tr>
        <w:trPr>
          <w:trHeight w:val="234"/>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perpetual existence.</w:t>
            </w:r>
          </w:p>
        </w:tc>
      </w:tr>
    </w:tbl>
    <w:p>
      <w:pPr>
        <w:spacing w:after="0" w:line="200" w:lineRule="exact"/>
        <w:rPr>
          <w:sz w:val="20"/>
          <w:szCs w:val="20"/>
          <w:color w:val="auto"/>
        </w:rPr>
      </w:pPr>
    </w:p>
    <w:p>
      <w:pPr>
        <w:sectPr>
          <w:pgSz w:w="11900" w:h="16838" w:orient="portrait"/>
          <w:cols w:equalWidth="0" w:num="2">
            <w:col w:w="2420" w:space="120"/>
            <w:col w:w="6479"/>
          </w:cols>
          <w:pgMar w:left="1440" w:top="270" w:right="1440"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66⅔%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DGCL allows the Combined Entity to establish its own rules governing business combinations with interested parties.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ectPr>
          <w:pgSz w:w="11900" w:h="16838" w:orient="portrait"/>
          <w:cols w:equalWidth="0" w:num="1">
            <w:col w:w="9019"/>
          </w:cols>
          <w:pgMar w:left="1440" w:top="270" w:right="1440"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Charter Amendment Proposal will be approved and adopted in its entirety only if the holders of at least a majority of the outstanding shares of FS Development Common Stock, voting together as a single class vote “FOR” Charter Amendment Proposal. Failure to vote by proxy or to vote online at the Special Meeting or an abstention from voting will have the same effect as a vote “AGAINST” the Charter Amendment Proposal.</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Charter Amendment Proposal, the Nasdaq Stock Issuance Proposal, and the Incentive Plan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 “FOR” THE APPROVAL OF THE CHARTER AMENDMENT PROPOSAL AND THE PROPOSED CHARTER.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ADVISORY PROPOSALS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FS Development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FS Development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320" w:right="479" w:hanging="434"/>
        <w:spacing w:after="0" w:line="286" w:lineRule="auto"/>
        <w:tabs>
          <w:tab w:leader="none" w:pos="136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Class A Common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250,000,000 shares;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7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Combined Entity’s board of directors could issue to discourage a takeover attempt to 10,000,000 shares;</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will require the approval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the Combined Entity’s then-outstanding shares of capital stock entitled to vote on such amendment;</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59" w:lineRule="auto"/>
        <w:tabs>
          <w:tab w:leader="none" w:pos="130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approval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Delaware General Corporation Law allows the Proposed Charter to establish its own rules governing business combinations with interested parties.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the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Approval of each of the Advisory Charter Proposals, each of which is a non-binding vote, requires the affirmative vote of a majority of the votes cast by FS Development stockholders present in person (which would include presence at a virtual meeting) or represented by proxy at the Special Meeting and entitled to vote thereon, voting together as a single class. Abstentions and broker non-votes have no effect on the outcome of the Advisory Charter Proposals.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ind w:left="1160" w:right="1059" w:hanging="163"/>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EACH OF THE ADVISORY CHARTER PROPOSALS.</w:t>
      </w:r>
    </w:p>
    <w:p>
      <w:pPr>
        <w:sectPr>
          <w:pgSz w:w="11900" w:h="16838" w:orient="portrait"/>
          <w:cols w:equalWidth="0" w:num="1">
            <w:col w:w="9019"/>
          </w:cols>
          <w:pgMar w:left="1440" w:top="270" w:right="1440" w:bottom="144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summary description of the Equity Incentive Plan as proposed to be adopted by FS Development in connection with the Business Combination. This summary is not a complete statement of the Equity Incentive Plan and is qualified in its entirety by reference to the complete text of the Equity Incentive Plan, a copy of which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xml:space="preserve">. FS Development stockholders should refer to the Equity Incentive Plan for more complete and detailed information about the terms and conditions of the Equity Incentive Plan. </w:t>
      </w:r>
      <w:r>
        <w:rPr>
          <w:rFonts w:ascii="Times New Roman" w:cs="Times New Roman" w:eastAsia="Times New Roman" w:hAnsi="Times New Roman"/>
          <w:sz w:val="18"/>
          <w:szCs w:val="18"/>
          <w:i w:val="1"/>
          <w:iCs w:val="1"/>
          <w:color w:val="auto"/>
        </w:rPr>
        <w:t>Unless the context otherwise requires, references in this summary description to “we”, “us”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generally refer to FS Development in the present tense or the Combined Entity from and after the Business Combination.</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purpose of the Equity Incentive Plan is to provide a means whereby the Combined Entity can align the long-term financial interests of its employees, consultants, and directors with the financial interests of its stockholders. In addition, the Board believes that the ability to grant options and other equity-based awards will help the Combined Entity to attract, retain, and motivate employees, consultants, and directors and encourages them to devote their best efforts to the Combined Entity’s business and financial success.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Approval of the Equity Incentive Plan by FS Development stockholders is required, among other things, in order to: (i) comply with Nasdaq Listing Rules requiring stockholder approval of equity compensation plans and (ii) allow the grant of incentive stock options to participants in the Equity Incentive Plan.</w:t>
      </w:r>
    </w:p>
    <w:p>
      <w:pPr>
        <w:spacing w:after="0" w:line="9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this Incentive Plan Proposal is approved by FS Development stockholders, the Equity Incentive Plan will become effective as of the date immediately preceding the date of the Closing. While the Combined Entity may assume outstanding equity awards under the Gemini Therapeutics, Inc., 2017 Stock Option and Grant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and the Gemini Therapeutics, Inc. 2015 Employee, Director and Consultant Stock Option Plan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Gemini Plans</w:t>
      </w:r>
      <w:r>
        <w:rPr>
          <w:rFonts w:ascii="Times New Roman" w:cs="Times New Roman" w:eastAsia="Times New Roman" w:hAnsi="Times New Roman"/>
          <w:sz w:val="18"/>
          <w:szCs w:val="18"/>
          <w:color w:val="auto"/>
        </w:rPr>
        <w:t>”), following the Closing (and such assumed awards will not count against the share reserve under the Equity Incentive Plan), no further grants will be made under the Gemini Plans. Approval of the Equity Incentive Plan by FS Development stockholders will allow the Combined Entity to grant stock options, restricted stock unit awards and other awards at levels determined appropriate by its board of directors or compensation committee following the closing of the Business Combination. The Equity Incentive Plan will also allow the Combined Entity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30"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Combined Entity’s employee equity compensation program, as implemented under the Equity Incentive Plan, will allow the Combined Entity to remain competitive with comparable companies in its industry by giving it the resources to attract and retain talented individuals to achieve its business objectives and build stockholder value. Approval of the Equity Incentive Plan will provide the Combined Entity with the flexibility it needs to use equity compensation and other incentive awards to attract, retain and motivate talented employees, directors and consultants who are important to the Combined Entity’s long-term growth and success.</w:t>
      </w:r>
    </w:p>
    <w:p>
      <w:pPr>
        <w:spacing w:after="0" w:line="101" w:lineRule="exact"/>
        <w:rPr>
          <w:sz w:val="20"/>
          <w:szCs w:val="20"/>
          <w:color w:val="auto"/>
        </w:rPr>
      </w:pPr>
    </w:p>
    <w:p>
      <w:pPr>
        <w:ind w:left="460" w:right="3999"/>
        <w:spacing w:after="0" w:line="441" w:lineRule="auto"/>
        <w:rPr>
          <w:sz w:val="20"/>
          <w:szCs w:val="20"/>
          <w:color w:val="auto"/>
        </w:rPr>
      </w:pPr>
      <w:r>
        <w:rPr>
          <w:rFonts w:ascii="Times New Roman" w:cs="Times New Roman" w:eastAsia="Times New Roman" w:hAnsi="Times New Roman"/>
          <w:sz w:val="17"/>
          <w:szCs w:val="17"/>
          <w:b w:val="1"/>
          <w:bCs w:val="1"/>
          <w:color w:val="auto"/>
        </w:rPr>
        <w:t xml:space="preserve">Summary of Material Features of the Equity Incentive Plan </w:t>
      </w:r>
      <w:r>
        <w:rPr>
          <w:rFonts w:ascii="Times New Roman" w:cs="Times New Roman" w:eastAsia="Times New Roman" w:hAnsi="Times New Roman"/>
          <w:sz w:val="17"/>
          <w:szCs w:val="17"/>
          <w:color w:val="auto"/>
        </w:rPr>
        <w:t>The material features of the Equity Incentive Plan include:</w:t>
      </w:r>
    </w:p>
    <w:p>
      <w:pPr>
        <w:spacing w:after="0" w:line="1" w:lineRule="exact"/>
        <w:rPr>
          <w:sz w:val="20"/>
          <w:szCs w:val="20"/>
          <w:color w:val="auto"/>
        </w:rPr>
      </w:pPr>
    </w:p>
    <w:p>
      <w:pPr>
        <w:jc w:val="both"/>
        <w:ind w:left="1320" w:right="479" w:hanging="434"/>
        <w:spacing w:after="0" w:line="256" w:lineRule="auto"/>
        <w:tabs>
          <w:tab w:leader="none" w:pos="141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maximum number of shares of Common Stock that may be issued under the Equity Incentive Plan is 4,264,341 shares.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7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will not be repriced in any manner without stockholder approval;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1320" w:right="479" w:hanging="434"/>
        <w:spacing w:after="0" w:line="261" w:lineRule="auto"/>
        <w:tabs>
          <w:tab w:leader="none" w:pos="13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awarded under the Equity Incentive Plan and all other cash compensation paid by us to any non-employee director in any calendar year may not exceed $750,000 or $1,000,000 for the year in which a non-employee director is first appointed or elected to the Combined Entity’s board of directors;</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Equity Incentive Plan are subject to approval by our stockholders;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Equity Incentive Plan will expire on the tenth anniversary of the effective date of the Equity Incentive Plan is approved by the board of directors of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Regarding Equity Incentive Program</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 is critical to the Combined Entity’s long-term success that the interests of its employees, directors and consultants are tied to its success as “owners” of the business. Approval of the Equity Incentive Plan will allow the Combined Entity to grant stock options and other equity awards at levels it determines to be appropriate in order to attract new employees and directors, retain existing employees and directors and to provide incentives for such persons to exert maximum efforts for the Combined Entity’s success and ultimately increase stockholder value. The Equity Incentive Plan allows the Combined Entity to utilize a broad array of equity incentives with flexibility in designing equity incentives, including stock option grants, stock appreciation rights, restricted stock awards, restricted stock unit awards, unrestricted stock awards and dividend equivalent rights to offer competitive equity compensation packages in order to retain and motivate the talent necessary for the Combined Entity.</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FS Development’s request to approve the Equity Incentive Plan is approved by FS Development stockholders, the Combined Entity will initially have 49,566,431 shares, subject to adjustment for specified changes in the Combined Entity’s capitalization, available for grant under the Equity Incentive Plan as of the effective time of the closing of the Business Combination. In addition, as further described below under section titled “</w:t>
      </w:r>
      <w:r>
        <w:rPr>
          <w:rFonts w:ascii="Times New Roman" w:cs="Times New Roman" w:eastAsia="Times New Roman" w:hAnsi="Times New Roman"/>
          <w:sz w:val="18"/>
          <w:szCs w:val="18"/>
          <w:i w:val="1"/>
          <w:iCs w:val="1"/>
          <w:color w:val="auto"/>
        </w:rPr>
        <w:t>— Description of the Equity Incentive Plan — Shares Available for Awards</w:t>
      </w:r>
      <w:r>
        <w:rPr>
          <w:rFonts w:ascii="Times New Roman" w:cs="Times New Roman" w:eastAsia="Times New Roman" w:hAnsi="Times New Roman"/>
          <w:sz w:val="18"/>
          <w:szCs w:val="18"/>
          <w:color w:val="auto"/>
        </w:rPr>
        <w:t>,” the share reserve is subject to annual increases each January 1 beginning on January 1, 2022 of 4% of the number of shares of the Combined Entity’s Common Stock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Equity Incentive Plan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Equity Incentive Plan was adopted by the Board on October 15, 2020 and will become effective, subject to stockholder approval, on the date immediately preceding the Closing. The Equity Incentive Plan will replace the 2017 Plan as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the Combined Entity will assure a closer alignment of the interests of such individuals with those of the Combined Entity and its stockholders, thereby stimulating their efforts on the Combined Entity’s behalf and strengthening their desire to remain with the Combined Entity.</w:t>
      </w:r>
    </w:p>
    <w:p>
      <w:pPr>
        <w:spacing w:after="0" w:line="12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We have initially reserved shares of Common Stock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10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 issued under the Equity Incentive Plan as of the Closing is $42,643,410.</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21" w:lineRule="exact"/>
        <w:rPr>
          <w:sz w:val="20"/>
          <w:szCs w:val="20"/>
          <w:color w:val="auto"/>
        </w:rPr>
      </w:pPr>
    </w:p>
    <w:p>
      <w:pPr>
        <w:jc w:val="both"/>
        <w:ind w:left="460" w:right="459"/>
        <w:spacing w:after="0" w:line="277" w:lineRule="auto"/>
        <w:rPr>
          <w:sz w:val="20"/>
          <w:szCs w:val="20"/>
          <w:color w:val="auto"/>
        </w:rPr>
      </w:pPr>
      <w:r>
        <w:rPr>
          <w:rFonts w:ascii="Times New Roman" w:cs="Times New Roman" w:eastAsia="Times New Roman" w:hAnsi="Times New Roman"/>
          <w:sz w:val="17"/>
          <w:szCs w:val="17"/>
          <w:color w:val="auto"/>
        </w:rPr>
        <w:t>Persons eligible to participate in our Equity Incentive Plan will be those full or part-time officers, employees, non-employee directors, and consultants of the Combined Entity as selected from time to time by our compensation committee in its discretion. As of the date of this proxy statement/prospectus, following the Closing, approximately 42 individuals will be eligible to participate in the Equity Incentive Plan, which includes approximately 5 officers, 26 employees who are not officers, 6 non-employee directors, and consultants.</w:t>
      </w:r>
    </w:p>
    <w:p>
      <w:pPr>
        <w:spacing w:after="0" w:line="8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0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cash bonuses under our Equity Incentive Plan to participants, subject to the achievement of certain performance goals.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the Combined Entity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The Combined Entity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2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 taxable income is generally realized by the optionee upon the grant or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generally realized by the optionee at the time a non-qualified option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Combined Entity generally will be entitled to a tax deduction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Parachute Payments</w:t>
      </w:r>
      <w:r>
        <w:rPr>
          <w:rFonts w:ascii="Times New Roman" w:cs="Times New Roman" w:eastAsia="Times New Roman" w:hAnsi="Times New Roman"/>
          <w:sz w:val="18"/>
          <w:szCs w:val="18"/>
          <w:color w:val="auto"/>
        </w:rPr>
        <w:t>. The vesting of any portion of an award that is accelerated due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(such as a sale event) may cause all or a portion of the payments with respect to such accelerated awards to be treated as “parachute payments” as defined in the Code. Any such parachute payments may be non-deductible to the Combined Entity, in whole or in part, and may subject the recipient to a non-deductible 20% federal excise tax on all or a portion of such payment (in addition to other taxes ordinarily payable).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approval of the Incentive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Incentive Plan Proposal. Broker non-votes will have no effect with respect to the approval of this proposal.</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Incentive Plan Proposal, the Nasdaq Stock Issuance Proposal, and the Charter Amendment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INCENTIVE PLAN PROPOSAL.</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allow the Board to adjourn the Special Meeting to a later date or dates to permit further solicitation of proxies. The Adjournment Proposal will only be presented to FS Development’s stockholders in the event that based upon the tabulated vote at the time of the Special Meeting there are insufficient votes for, or otherwise in connection with, the approval of the Business Combination Proposal, the Nasdaq Stock Issuance Proposal, the Charter Amendment Proposal, or the Incentive Plan Proposal, or we determine that one or more of the closing conditions under the Business Combination is not satisfied or waived. In no event will the Board adjourn the Special Meeting or consummate the Business Combination beyond the date by which it may properly do so under its Current Charter and Delaware law.</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FS Development’s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a majority of the shares of FS Development Common Stock represented in person or by proxy and entitled to vote thereon at the Special Meeting, voting together as a single class. Broker non-votes and abstentions will have no effect with respect to the approval of this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ADJOURNMENT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FS DEVELOPMENT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as a Delaware corporation on June 25, 2020. We were formed for the purpose of entering into a merger, share exchange, asset acquisition, stock purchase, recapitalization, reorganization or other similar business combination, which we refer to as a business combination, with one or more businesses or entities.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Activities Since Inception</w:t>
      </w:r>
    </w:p>
    <w:p>
      <w:pPr>
        <w:spacing w:after="0" w:line="16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On August 14, 2020, FS Development consummated the FS Development IPO of 12,075,000 shares of its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the Company of $120,750,000.</w:t>
      </w:r>
    </w:p>
    <w:p>
      <w:pPr>
        <w:spacing w:after="0" w:line="33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FS Development completed the private sale of 441,500 Private Placement Shares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FS Development’s initial business combination, or (ii) a stockholder vote to approve an amendment to the Company’s amended and restated certificate of incorporation to modify the substance or timing of FS Development’s obligation to redeem 100% of the shares of FS Development Class A Common Stock sold in the FS Development IPO if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FS Development IPO will not be released from the trust account until the earliest to occur of: (i) the completion of the FS Development’s initial business combination, (ii) the redemption of the Public Shares if FS Development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 Development does not complete its initial business combination by August 14, 2022 or with respect to any other provisions relating to stockholders’ rights or pre-initial business combination activity.</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15, 2020, FS Development announced that it had entered into the Merger Agreement and certain related agreements. See the section titled “</w:t>
      </w:r>
      <w:r>
        <w:rPr>
          <w:rFonts w:ascii="Times New Roman" w:cs="Times New Roman" w:eastAsia="Times New Roman" w:hAnsi="Times New Roman"/>
          <w:sz w:val="18"/>
          <w:szCs w:val="18"/>
          <w:i w:val="1"/>
          <w:iCs w:val="1"/>
          <w:color w:val="auto"/>
        </w:rPr>
        <w:t>The Business Combination Proposal — The Merger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is not presently engaged in, and will not engage in, any operations until after a business combination. FS Development intends to effect a business combination using cash held in the Trust Account and, if needed, funds from any additional private equity financings.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Selection of a Target Business and Structuring of the Initial Business Combination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Rules, an initial business combination must occur with one or more target businesses that together have a fair market value of at least 80% of FS Development’s assets held in the Trust Account (excluding the deferred underwriting commissions and taxes payable on the income earned on the Trust Account) at the time of the agreement to enter into the initial business combination. The fair market value of the target or targets will be determined by the Board based upon one or more standards generally accepted by the financial community, such as discounted cash flow valuation or value of comparable businesses. Subject to this requirement, FS Development’s management has had virtually unrestricted flexibility in identifying and selecting one or more prospective target businesses, although FS Development was not permitted to effectuate an initial business combination with another blank check company or a similar company with nominal operations. In any case, FS Development determined that it would only complete an initial business combination in which it acquired 50% or more of the outstanding voting securities of the target or were otherwise not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Our Board has determined that the Business Combination meets the 80% test.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 for Holders of Public Shares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FS Development is providing its public stockholders with the opportunity to redeem their Public Shares for cash equal to a pro rata share of the aggregate amount then on deposit in the Trust Account, including interest earned on the funds held in the Trust Account and not previously released to it to pay FS Development’s franchise and income taxes, divided by the number of then outstanding Public Shares, upon the Closing, subject to the limitations described herein. For illustrative purposes, based on the balance of the Trust Account of $120,751,489 as of September 30, 2020, the estimated per share redemption price would have been approximately $10.73. </w:t>
      </w:r>
      <w:r>
        <w:rPr>
          <w:rFonts w:ascii="Times New Roman" w:cs="Times New Roman" w:eastAsia="Times New Roman" w:hAnsi="Times New Roman"/>
          <w:sz w:val="18"/>
          <w:szCs w:val="18"/>
          <w:b w:val="1"/>
          <w:bCs w:val="1"/>
          <w:color w:val="auto"/>
        </w:rPr>
        <w:t>Public stockholders may elect to redeem their shares even if they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Any request to redeem Public Shares, once made, may be withdrawn at any time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deadline for 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$170 million. The Sponsor and FS Development’s officers and directors have agreed to waive their redemption rights with respect to the Founders Shares and any Public Shares they may hold in connection with the Closing. The Founders Shares will be excluded from the pro rata calculation used to determine the per-share redemption price.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ubmission of Our Initial Business Combination to a Stockholder Vote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redemption rights upon Closing. Public stockholders electing to exercise their redemption rights will be entitled to receive the cash amount specified above, provided that such stockholders follow the specific procedures for redemption set forth in this proxy statement/prospectus relating to the stockholder vote on the Business Combination. FS Development’s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holders of the Founders Shares have agreed to vote such FS Development Common Stock owned by them in favor of the Business Combination. In addition, the Sponsor and FS Development’s officers and directors have agreed to waive their redemption rights with respect to any capital stock they may hold in connection with the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Redemption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Current Charter provides that a public stockholder, together with any affiliate of such stockholder or any other person with whom such stockholder is acting in concert or as a “group” (as defined under Section 13 of the Exchange Act), will be restricted from seeking redemptions with respect to more than 20% of the shares issued in the FS Development IPO.</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currently has three executive officers. These individuals are not obligated to devote any specific number of hours to our matters but they intend to devote as much of their time as they deem necessary to FS Development’s affairs until FS Development has completed its initial business combination. The amount of time they devote in any time period varies based on the stage of the business combination process FS Development is in. FS Development does not intend to have any full time employees prior to the consummation of an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maintains its principal executive offices at 600 Montgomery Street, Suite 4500, San Francisco, CA 94111. FS Development pays the Sponsor $10,000 per month for office space, secretarial and administrative services provided to members of its management team pursuant to the terms of an administrative services agreement between FS Development and the Sponsor. Upon completion of our initial business combination or FS Development’s liquidation, FS Development will cease paying these monthly fees. FS Development considers its current office space adequate for its current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the knowledge of FS Development’s management, there are no legal proceedings pending against FS Development.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FS DEVELOPMENT</w:t>
      </w:r>
    </w:p>
    <w:p>
      <w:pPr>
        <w:spacing w:after="0" w:line="146"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“our,” “us” and other similar terms refer to FS Development before the Business Combination</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FS Development are as follows as of the date of this proxy statement/prospectus: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200" w:type="dxa"/>
            <w:vAlign w:val="bottom"/>
          </w:tcPr>
          <w:p>
            <w:pPr>
              <w:ind w:left="23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3"/>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3"/>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4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Jim Tananbaum </w:t>
      </w:r>
      <w:r>
        <w:rPr>
          <w:rFonts w:ascii="Times New Roman" w:cs="Times New Roman" w:eastAsia="Times New Roman" w:hAnsi="Times New Roman"/>
          <w:sz w:val="18"/>
          <w:szCs w:val="18"/>
          <w:color w:val="auto"/>
        </w:rPr>
        <w:t>has been our President, Chief Executive Officer and a director since June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2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Dennis Ryan </w:t>
      </w:r>
      <w:r>
        <w:rPr>
          <w:rFonts w:ascii="Times New Roman" w:cs="Times New Roman" w:eastAsia="Times New Roman" w:hAnsi="Times New Roman"/>
          <w:sz w:val="18"/>
          <w:szCs w:val="18"/>
          <w:color w:val="auto"/>
        </w:rPr>
        <w:t>has been our Chief Financial Officer since June 2020. Since 2011, Mr. Ryan has also 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Rome </w:t>
      </w:r>
      <w:r>
        <w:rPr>
          <w:rFonts w:ascii="Times New Roman" w:cs="Times New Roman" w:eastAsia="Times New Roman" w:hAnsi="Times New Roman"/>
          <w:sz w:val="18"/>
          <w:szCs w:val="18"/>
          <w:color w:val="auto"/>
        </w:rPr>
        <w:t>has been our Vice President and Director since June 2020. Dr. Rome also serves as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Vikram Bajaj </w:t>
      </w:r>
      <w:r>
        <w:rPr>
          <w:rFonts w:ascii="Times New Roman" w:cs="Times New Roman" w:eastAsia="Times New Roman" w:hAnsi="Times New Roman"/>
          <w:sz w:val="18"/>
          <w:szCs w:val="18"/>
          <w:color w:val="auto"/>
        </w:rPr>
        <w:t>has been a director on our board of directors since June 2020. Dr. Bajaj currently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Carey </w:t>
      </w:r>
      <w:r>
        <w:rPr>
          <w:rFonts w:ascii="Times New Roman" w:cs="Times New Roman" w:eastAsia="Times New Roman" w:hAnsi="Times New Roman"/>
          <w:sz w:val="18"/>
          <w:szCs w:val="18"/>
          <w:color w:val="auto"/>
        </w:rPr>
        <w:t>has been a member of our board of directors since August 2020. Mr. Carey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Dubin </w:t>
      </w:r>
      <w:r>
        <w:rPr>
          <w:rFonts w:ascii="Times New Roman" w:cs="Times New Roman" w:eastAsia="Times New Roman" w:hAnsi="Times New Roman"/>
          <w:sz w:val="18"/>
          <w:szCs w:val="18"/>
          <w:color w:val="auto"/>
        </w:rPr>
        <w:t>has been a member of our board of directors since August 2020. Dr. Dubin is also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Deepa Pakianathan </w:t>
      </w:r>
      <w:r>
        <w:rPr>
          <w:rFonts w:ascii="Times New Roman" w:cs="Times New Roman" w:eastAsia="Times New Roman" w:hAnsi="Times New Roman"/>
          <w:sz w:val="18"/>
          <w:szCs w:val="18"/>
          <w:color w:val="auto"/>
        </w:rPr>
        <w:t>has been a member of our board of directors since August 2020. Since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July 2020, the Sponsor transferred 30,000 Founders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the Sponsor $10,000 per month for office space, secretarial and administrative services provided to members of our management team.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the Sponsor, executive officers and directors, or any of their respective affiliates, prior to completion of our initial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within one year of our initial public offering. The Board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94" w:lineRule="exact"/>
        <w:rPr>
          <w:sz w:val="20"/>
          <w:szCs w:val="20"/>
          <w:color w:val="auto"/>
        </w:rPr>
      </w:pPr>
    </w:p>
    <w:p>
      <w:pPr>
        <w:ind w:left="1300" w:hanging="41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The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80" w:type="dxa"/>
            <w:vAlign w:val="bottom"/>
          </w:tcPr>
          <w:p>
            <w:pPr>
              <w:spacing w:after="0"/>
              <w:rPr>
                <w:sz w:val="20"/>
                <w:szCs w:val="20"/>
                <w:color w:val="auto"/>
              </w:rPr>
            </w:pPr>
          </w:p>
        </w:tc>
        <w:tc>
          <w:tcPr>
            <w:tcW w:w="212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21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80" w:type="dxa"/>
            <w:vAlign w:val="bottom"/>
          </w:tcPr>
          <w:p>
            <w:pPr>
              <w:spacing w:after="0"/>
              <w:rPr>
                <w:sz w:val="20"/>
                <w:szCs w:val="20"/>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Tananbaum</w:t>
            </w:r>
          </w:p>
        </w:tc>
        <w:tc>
          <w:tcPr>
            <w:tcW w:w="80" w:type="dxa"/>
            <w:vAlign w:val="bottom"/>
            <w:vMerge w:val="continue"/>
          </w:tcPr>
          <w:p>
            <w:pPr>
              <w:spacing w:after="0"/>
              <w:rPr>
                <w:sz w:val="16"/>
                <w:szCs w:val="16"/>
                <w:color w:val="auto"/>
              </w:rPr>
            </w:pPr>
          </w:p>
        </w:tc>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Foresite Capital</w:t>
            </w:r>
          </w:p>
        </w:tc>
        <w:tc>
          <w:tcPr>
            <w:tcW w:w="80" w:type="dxa"/>
            <w:vAlign w:val="bottom"/>
            <w:vMerge w:val="continue"/>
          </w:tcPr>
          <w:p>
            <w:pPr>
              <w:spacing w:after="0"/>
              <w:rPr>
                <w:sz w:val="16"/>
                <w:szCs w:val="16"/>
                <w:color w:val="auto"/>
              </w:rPr>
            </w:pPr>
          </w:p>
        </w:tc>
        <w:tc>
          <w:tcPr>
            <w:tcW w:w="2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Venture capital/private</w:t>
            </w:r>
          </w:p>
        </w:tc>
        <w:tc>
          <w:tcPr>
            <w:tcW w:w="80" w:type="dxa"/>
            <w:vAlign w:val="bottom"/>
            <w:vMerge w:val="continue"/>
          </w:tcPr>
          <w:p>
            <w:pPr>
              <w:spacing w:after="0"/>
              <w:rPr>
                <w:sz w:val="16"/>
                <w:szCs w:val="16"/>
                <w:color w:val="auto"/>
              </w:rPr>
            </w:pPr>
          </w:p>
        </w:tc>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Management V,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DNA Nexus,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Data science cloud platform</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Eikon Therapeutics,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Element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Evonetix, Ltd.</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F-Metabolic,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Fabric Genomics,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Genomics PLC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Healthverity,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data 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Homodeus,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Mindstrong,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Neuropsychiatric healthcare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Sestina,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incubator</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52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Pharvaris BV</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Labs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data science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incubator</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Stanford University School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Medical school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Associate Professor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Medicine</w:t>
            </w: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Lawrence Berkeley</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Scientific research</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Affiliate Scientist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National Laboratory</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Sangamo Therapeutics, Inc. 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Beyond Air,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SVB Leerink</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Chairman and Head of</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Biopharma Investment Banking</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Olivo Laboratories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Deepa Pakianathan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Delphi Ventures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Redd Pharmaceuticals,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Calithera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Karyopharm Therapeutics,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Mereo Biopharma Group</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Theravance Biopharma,</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717"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58" w:lineRule="exact"/>
        <w:rPr>
          <w:sz w:val="20"/>
          <w:szCs w:val="20"/>
          <w:color w:val="auto"/>
        </w:rPr>
      </w:pPr>
    </w:p>
    <w:p>
      <w:pPr>
        <w:jc w:val="both"/>
        <w:ind w:left="1320" w:right="459" w:hanging="434"/>
        <w:spacing w:after="0" w:line="255" w:lineRule="auto"/>
        <w:tabs>
          <w:tab w:leader="none" w:pos="136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9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purchased Founders Shares prior to the date of the FS Development IPO and purchased Private Placement Shares in a transaction that closed simultaneously with the FS Development IPO. Our Initial Stockholders have entered into agreements with us, pursuant to which they have agreed to waive their redemption rights with respect to their Founders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connection with the Business Combination. Additionally, our Initial Stockholders have agreed to waive their rights to liquidating distributions from the trust account with respect to their Founders Shares and Private Placement Shares if we fail to complete our initial business combination within the prescribed time frame or during any extension period. Furthermore, our Initial Stockholders have agreed not to transfer, assign or sell any of their Founders Shares or Private Placement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Founders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2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the Sponsor, officers or directors or completing the business combination through a joint venture or other form of shared ownership with the Sponsor, officers or directors. In the event we seek to complete our initial business combination with an business combination target that is affiliated with the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the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the Sponsor $10,000 per month for office space, secretarial and administrative services provided to members of our management team.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Initial Stockholders have agreed to vote their Founders Shares in favor of the Business Combination.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Current Charter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amended and restated certificate of incorporation. The Current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the FS Development IPO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2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FS DEVELOPMENT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 FS Development’s unaudited interim condensed financial statements were prepared on a basis consistent with its audited financial statements and include, in management’s opinion, all adjustments, consisting only of normal recurring adjustments, that FS Development considers necessary for a fair presentation of the financial information set forth in those statements included elsewhere in this proxy statement/prospectus. FS Development’s historical results are not necessarily indicative of the results that may be expected in any future period, and interim financial results are not necessarily indicative of the results that may be expected for the full year.</w:t>
      </w:r>
    </w:p>
    <w:p>
      <w:pPr>
        <w:spacing w:after="0" w:line="12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This information is only a summary and should be read in conjunction with FS Development’s financial statements and related notes included elsewhere in this proxy statement/prospectus and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 of FS Development</w:t>
      </w:r>
      <w:r>
        <w:rPr>
          <w:rFonts w:ascii="Times New Roman" w:cs="Times New Roman" w:eastAsia="Times New Roman" w:hAnsi="Times New Roman"/>
          <w:sz w:val="17"/>
          <w:szCs w:val="17"/>
          <w:color w:val="auto"/>
        </w:rPr>
        <w:t>.”</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June 25, 2020</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452,486</w:t>
            </w:r>
          </w:p>
        </w:tc>
      </w:tr>
      <w:tr>
        <w:trPr>
          <w:trHeight w:val="41"/>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49,914</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12,516,500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3,018,750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416"/>
        </w:trPr>
        <w:tc>
          <w:tcPr>
            <w:tcW w:w="6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r>
      <w:tr>
        <w:trPr>
          <w:trHeight w:val="392"/>
        </w:trPr>
        <w:tc>
          <w:tcPr>
            <w:tcW w:w="634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color w:val="auto"/>
              </w:rPr>
              <w:t>146</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RESULTS OF FINANCIAL CONDITION AND RESULTS OF OPERATIONS OF FS DEVELOPMENT</w:t>
      </w:r>
    </w:p>
    <w:p>
      <w:pPr>
        <w:spacing w:after="0" w:line="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FS Development’s financial condition and results of operations should be read in conjunction with FS Development’s financial statements and notes to those statements included in this proxy statement/prospectus. This discussion contains forward-looking statements that involve risks and uncertainties. Please see “Cautionary Note Regarding Forward-Looking Statements” and “Risk Factors” in this proxy statement/prospectus. Unless otherwise indicated or the context otherwise requires, references in this section to “we,” “our,” “us” and other similar terms refer to FS Development before the Business Combination.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w:t>
      </w:r>
    </w:p>
    <w:p>
      <w:pPr>
        <w:spacing w:after="0" w:line="10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FS Development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FS Development of $120,750,000.</w:t>
      </w:r>
    </w:p>
    <w:p>
      <w:pPr>
        <w:spacing w:after="0" w:line="3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we completed the private sale of the 441,500 Private Placement Shares at a purchase price of $10.00 per Private Placement Share, to the Sponsor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the FS Development’s initial business combination, or (ii) a stockholder vote to approve an amendment to Current Charter to modify the substance or timing of the FS Development’s obligation to redeem 100% of the shares of FS Development Class A Common Stock issued in the FS Development IPO if the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FS Development IPO and the Private Placement, approximately $120.8 million ($10.00 per share) of the net proceeds of the sale of the Public Shares in the FS Development IPO and of the Private Placement Shares in the Private Placement were placed in the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24 months from the closing of the FS Development IPO, or August 14, 2022 (the “</w:t>
      </w:r>
      <w:r>
        <w:rPr>
          <w:rFonts w:ascii="Times New Roman" w:cs="Times New Roman" w:eastAsia="Times New Roman" w:hAnsi="Times New Roman"/>
          <w:sz w:val="18"/>
          <w:szCs w:val="18"/>
          <w:b w:val="1"/>
          <w:bCs w:val="1"/>
          <w:color w:val="auto"/>
        </w:rPr>
        <w:t>Combination Period</w:t>
      </w:r>
      <w:r>
        <w:rPr>
          <w:rFonts w:ascii="Times New Roman" w:cs="Times New Roman" w:eastAsia="Times New Roman" w:hAnsi="Times New Roman"/>
          <w:sz w:val="18"/>
          <w:szCs w:val="18"/>
          <w:color w:val="auto"/>
        </w:rPr>
        <w: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On October 15, 2020, we entered into a Merger Agreement by and among FS Development, Merger Sub, Gemini and Shareholders Representative. A copy of the Merger Agreement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The Merger Agreement calls for additional agreements, including, among others, Subscription Agreements, Non-Redemption Letter Agreements, and Gemini Support Agreements. Parent Support Agreements, Registration Rights Agreement, Lock-Up Agreement and Voting Agreement. See the section titled “</w:t>
      </w:r>
      <w:r>
        <w:rPr>
          <w:rFonts w:ascii="Times New Roman" w:cs="Times New Roman" w:eastAsia="Times New Roman" w:hAnsi="Times New Roman"/>
          <w:sz w:val="18"/>
          <w:szCs w:val="18"/>
          <w:i w:val="1"/>
          <w:iCs w:val="1"/>
          <w:color w:val="auto"/>
        </w:rPr>
        <w:t>The Business Combination Proposal — Ancillary Agreements Related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the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Upon the Closing,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Under the Merger Agreement, FS Development has agreed to acquire all of the outstanding equity interests of Gemini in exchange for up to 21,500,000 shares of FS Development Class A Common Stock, subject to adjustments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to be paid at the Effective Time.</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shares of FS Development Class A Common Stock to be placed into escrow for indemnification purposes, as further described in the Merger Agreement.</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entire activity since inception through September 30, 2020 related to our formation, the preparation for the FS Development IPO, and since the closing of the FS Development IPO, the search for a prospective initial business combination and activities in connection with the proposed Business Combination with Gemini.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had net loss of approximately $499,000, which consisted of approximately $451,000 in general and administrative costs and $50,000 of franchise tax expense, which was partially offset by approximately $1,000 gain on the investments held in the Trust Account.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period from June 25, 2020 (inception) through September 30, 2020, we had net loss of approximately $501,000, which consisted of approximately $452,000 in general and administrative costs and $50,000 of franchise tax expense, which was partially offset by approximately $1,000 gain on the investments held in the Trust Account.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we had $1.4 million in our operating bank account, working capital of approximately $1.1 million and cash equivalents held in the Trust Account of approximately $120.8 million. Interest income on the balance in the Trust Account may be used by us to pay franchise and income tax obligations. Through September 30, 2020, we have not withdrawn any interest earned on the Trust Account to pay franchise and income tax obligations. We intend to use substantially all of the funds held in the Trust Account to complete the initial business combination and to pay our expenses relating thereto. To the extent that our capital stock or debt is used, in whole or in part, as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liquidity needs to date have been satisfied through the $25,000 capital contribution to purchase Founders Shares by our Sponsor, the loan proceeds under the promissory note of $200,000 from our Sponsor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to cover our offering costs in connection with the FS Development IPO, and the net proceeds from the consummation of the Private Placement not held in the Trust Account. The Note was fully repaid on August 14, 2020. In addition, in order to finance transaction costs in connection with a business combination, our Sponsor or an affiliate of our Sponsor, or certain of our officers and directors may, but are not obligated to, provide working capital loans.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the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do not have any long-term debt obligations, capital lease obligations, operating lease obligations, purchase obligations or long-term liabilities, other than an agreement to pay administrative services agreement fees to our Sponsor that total $10,000 per month for office space, secretarial and administrative services provided to members of our management team. As of September 30, 2020, we paid $20,000 to our Sponsor as part of the administrative services agreement and recognized $20,000 in the statement of operations for the three months ended September 30, 2020 and for the period from June 25, 2020 (inception) through September 30,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Class A Common Stock subject to mandatory redemption (if any) is classified as a liability instrument and is measured at fair value. Conditionally redeemable Class A Common Stock (including Class A Common Stock that features redemption rights that are either within the control of the holder or subject to redemption upon the occurrence of uncertain events not solely within FS Development’s control) is classified as temporary equity. At all other times, Class A Common Stock is classified as stockholders’ equity. Our Class A Common Stock features certain redemption rights that are considered to be outside of our control and subject to the occurrence of uncertain future events. Accordingly, at September 30, 2020, 11,258,033 shares of Class A Common Stock subject to possible redemption are presented as temporary equity, outside of the stockholders’ equity section of our unaudited condensed balance sheet.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Our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impact on our business, revenues or operating results during the period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FS Development IPO or until we are no longer an “emerging growth company,” whichever is earlier.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GEMINI</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 and its subsidiaries prior to the Closing, which will be the business of the Combined Entity and its subsidiaries following the Closing.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2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2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Since our inception, Gemini Therapeutics has raised a total of $78 million in funding, led by leading biotechnology investors including Atlas Venture, Lightstone Ventures, OrbiMed Advisors and Wu Capital.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summary of our product candidate pipeline as of 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102870</wp:posOffset>
            </wp:positionV>
            <wp:extent cx="4954905" cy="13627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5490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U.S. Food and Drug Administration (FDA), to evaluate the impact on VEGF-inhibition-related macular atrophy. We plan to update our IND to include a Phase 1/2a clinical trial in this population for alignment with the FDA by the end of 2020 and expect to have topline safety and tolerability data from this trial in the second half of 2021.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54" w:lineRule="exact"/>
        <w:rPr>
          <w:sz w:val="20"/>
          <w:szCs w:val="20"/>
          <w:color w:val="auto"/>
        </w:rPr>
      </w:pPr>
    </w:p>
    <w:p>
      <w:pPr>
        <w:jc w:val="both"/>
        <w:ind w:left="1320" w:right="459" w:hanging="434"/>
        <w:spacing w:after="0" w:line="254" w:lineRule="auto"/>
        <w:tabs>
          <w:tab w:leader="none" w:pos="13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differentiated approach focused on complement regulation through the administration of GEM103 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 philosophy is that the best way to identify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7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ultimately leads to blindness and for which there are no currently 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 our differentiated approach holds the potential to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 to AMD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0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CLARITY Natural History Studies</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experiments to aid in identification of therapeutic candidates for indications within AMD and linked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CLARITY was the largest study, to date, that screened dry AMD patients for high-risk genotypes to gain longitudinal clinical information.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CFH, Complement and the Ocular Compartment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Clinical Development Program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GEM103</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Actions of endogenous CFH include inhibition of the complement activation cascade while permitting clearance of foreign material, cellular debris and pathogens in the eye.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08" w:lineRule="exact"/>
        <w:rPr>
          <w:sz w:val="20"/>
          <w:szCs w:val="20"/>
          <w:color w:val="auto"/>
        </w:rPr>
      </w:pPr>
    </w:p>
    <w:p>
      <w:pPr>
        <w:jc w:val="both"/>
        <w:ind w:left="1320" w:right="459" w:hanging="434"/>
        <w:spacing w:after="0" w:line="257" w:lineRule="auto"/>
        <w:tabs>
          <w:tab w:leader="none" w:pos="131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Pharmacokinetics: </w:t>
      </w:r>
      <w:r>
        <w:rPr>
          <w:rFonts w:ascii="Times New Roman" w:cs="Times New Roman" w:eastAsia="Times New Roman" w:hAnsi="Times New Roman"/>
          <w:sz w:val="18"/>
          <w:szCs w:val="18"/>
          <w:color w:val="auto"/>
        </w:rPr>
        <w:t>Aqueous humor sampling showed sustained supraphysiological levels of CFH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doses tested at one week post 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Pharmacodynamics: </w:t>
      </w:r>
      <w:r>
        <w:rPr>
          <w:rFonts w:ascii="Times New Roman" w:cs="Times New Roman" w:eastAsia="Times New Roman" w:hAnsi="Times New Roman"/>
          <w:sz w:val="18"/>
          <w:szCs w:val="18"/>
          <w:color w:val="auto"/>
        </w:rPr>
        <w:t>Aqueous humor samples were tested for specific biomarkers including Ba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marker of the amplification loop) and C3a (a 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32"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Clinical effect: </w:t>
      </w:r>
      <w:r>
        <w:rPr>
          <w:rFonts w:ascii="Times New Roman" w:cs="Times New Roman" w:eastAsia="Times New Roman" w:hAnsi="Times New Roman"/>
          <w:sz w:val="18"/>
          <w:szCs w:val="18"/>
          <w:color w:val="auto"/>
        </w:rPr>
        <w:t>Observation of subjects in Phase 1 clinical trial was of short duration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powered for efficacy. In line with tolerability, visual 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Programs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Factor H Potentiating Antibody</w:t>
      </w:r>
    </w:p>
    <w:p>
      <w:pPr>
        <w:spacing w:after="0" w:line="13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8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6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hold worldwide commercialization rights to each of our product candidates.</w:t>
      </w:r>
    </w:p>
    <w:p>
      <w:pPr>
        <w:spacing w:after="0" w:line="13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1, 2017, we entered into a Research Collaboration and License Agreement with Sanquin Blood Supply Foundation (“</w:t>
      </w:r>
      <w:r>
        <w:rPr>
          <w:rFonts w:ascii="Times New Roman" w:cs="Times New Roman" w:eastAsia="Times New Roman" w:hAnsi="Times New Roman"/>
          <w:sz w:val="18"/>
          <w:szCs w:val="18"/>
          <w:b w:val="1"/>
          <w:bCs w:val="1"/>
          <w:color w:val="auto"/>
        </w:rPr>
        <w:t>Sanquin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2017 License Agreement</w:t>
      </w:r>
      <w:r>
        <w:rPr>
          <w:rFonts w:ascii="Times New Roman" w:cs="Times New Roman" w:eastAsia="Times New Roman" w:hAnsi="Times New Roman"/>
          <w:sz w:val="18"/>
          <w:szCs w:val="18"/>
          <w:color w:val="auto"/>
        </w:rPr>
        <w:t>”) to develop antibodies that bind and enhance the activity of CFH. From the effective date of the 2017 License Agreement until the end of April 2019, the parties engaged in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6" w:name="page167"/>
    <w:bookmarkEnd w:id="1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2017 License Agreement shall terminate on a country-by-country and licensed product-by-licensed product basis upon the latest of (i) expiration of the last valid claim of a Saquin patent that covers such licensed product,</w:t>
      </w:r>
    </w:p>
    <w:p>
      <w:pPr>
        <w:jc w:val="both"/>
        <w:ind w:left="460" w:right="459" w:hanging="6"/>
        <w:spacing w:after="0" w:line="251" w:lineRule="auto"/>
        <w:tabs>
          <w:tab w:leader="none" w:pos="74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own or exclusively license approximately 43 patents and pending patent applications in the U.S. and foreign jurisdictions, including two granted U.S. and foreign patents, and 39 pending U.S. and foreign patent applications and two pending U.S. provisional patent applications.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 issuing from this family is 2041. The other provisional patent application is directed to the GEM103 composition and methods of manufacturing it. The statutory expiration for any U.S. and foreign patents issuing from this family is 2041.</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and pending patent applications in Australia, Brazil, Canada, China, Israel, Japan, the Republic of Korea and Mexico. The European patent covers our current product candidate and is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Times New Roman" w:cs="Times New Roman" w:eastAsia="Times New Roman" w:hAnsi="Times New Roman"/>
          <w:sz w:val="18"/>
          <w:szCs w:val="18"/>
          <w:i w:val="1"/>
          <w:iCs w:val="1"/>
          <w:color w:val="auto"/>
        </w:rPr>
        <w:t>Risk factors — Risks related to our intellectual property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for therapeutic indications and may be marketed in the United States generally involves the following:</w:t>
      </w:r>
    </w:p>
    <w:p>
      <w:pPr>
        <w:spacing w:after="0" w:line="94" w:lineRule="exact"/>
        <w:rPr>
          <w:sz w:val="20"/>
          <w:szCs w:val="20"/>
          <w:color w:val="auto"/>
        </w:rPr>
      </w:pPr>
    </w:p>
    <w:p>
      <w:pPr>
        <w:ind w:left="1320" w:right="459" w:hanging="434"/>
        <w:spacing w:after="0" w:line="282" w:lineRule="auto"/>
        <w:tabs>
          <w:tab w:leader="none" w:pos="147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after completion of all pivotal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5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BLA;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consideration of the views of any FDA advisory committee, prior to any commercial marketing or sale of the biologic in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 for biologics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Times New Roman" w:cs="Times New Roman" w:eastAsia="Times New Roman" w:hAnsi="Times New Roman"/>
          <w:sz w:val="18"/>
          <w:szCs w:val="18"/>
          <w:i w:val="1"/>
          <w:iCs w:val="1"/>
          <w:color w:val="auto"/>
        </w:rPr>
        <w:t xml:space="preserve">www.clinicaltrials.gov </w:t>
      </w:r>
      <w:r>
        <w:rPr>
          <w:rFonts w:ascii="Times New Roman" w:cs="Times New Roman" w:eastAsia="Times New Roman" w:hAnsi="Times New Roman"/>
          <w:sz w:val="18"/>
          <w:szCs w:val="18"/>
          <w:color w:val="auto"/>
        </w:rPr>
        <w:t>website.</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BLAs for marketing approval are typically conducted in three sequential phases, which may overlap.</w:t>
      </w:r>
    </w:p>
    <w:p>
      <w:pPr>
        <w:spacing w:after="0" w:line="79" w:lineRule="exact"/>
        <w:rPr>
          <w:sz w:val="20"/>
          <w:szCs w:val="20"/>
          <w:color w:val="auto"/>
        </w:rPr>
      </w:pPr>
    </w:p>
    <w:p>
      <w:pPr>
        <w:jc w:val="both"/>
        <w:ind w:left="1320" w:right="459" w:hanging="434"/>
        <w:spacing w:after="0" w:line="258" w:lineRule="auto"/>
        <w:tabs>
          <w:tab w:leader="none" w:pos="145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0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participants exposed to the biologic and any clinically important increase in the rate of a serious suspected adverse reaction over</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2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biologics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biologics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08" w:lineRule="exact"/>
        <w:rPr>
          <w:sz w:val="20"/>
          <w:szCs w:val="20"/>
          <w:color w:val="auto"/>
        </w:rPr>
      </w:pPr>
    </w:p>
    <w:p>
      <w:pPr>
        <w:ind w:left="1320" w:right="479" w:hanging="434"/>
        <w:spacing w:after="0" w:line="282" w:lineRule="auto"/>
        <w:tabs>
          <w:tab w:leader="none" w:pos="13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0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16"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had 29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facilities consist of office space of approximately 11,894 square feet in Cambridge, Massachusetts under a lease that expires in lease that expires in May 2023, subject to the right to extend the term for one additional three (3) year term. We believe that our current facilities are sufficient for our current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directors and executive officers are as follows as of the date of this proxy statement/prospectus: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Age</w:t>
            </w:r>
          </w:p>
        </w:tc>
        <w:tc>
          <w:tcPr>
            <w:tcW w:w="438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3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r>
        <w:trPr>
          <w:trHeight w:val="24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Hannah Han-Chun Chang, Ph.D.,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 M.D., MRCOphth</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R. Reilly, J.D.,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Squinto,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bl>
    <w:p>
      <w:pPr>
        <w:spacing w:after="0" w:line="20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Jason Meyenburg </w:t>
      </w:r>
      <w:r>
        <w:rPr>
          <w:rFonts w:ascii="Times New Roman" w:cs="Times New Roman" w:eastAsia="Times New Roman" w:hAnsi="Times New Roman"/>
          <w:sz w:val="18"/>
          <w:szCs w:val="18"/>
          <w:color w:val="auto"/>
        </w:rPr>
        <w:t>has served as our Chief Executive Officer since September 2019.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2018 to September 2019, Mr. Meyenburg 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Gregg D. Beloff </w:t>
      </w:r>
      <w:r>
        <w:rPr>
          <w:rFonts w:ascii="Times New Roman" w:cs="Times New Roman" w:eastAsia="Times New Roman" w:hAnsi="Times New Roman"/>
          <w:sz w:val="18"/>
          <w:szCs w:val="18"/>
          <w:color w:val="auto"/>
        </w:rPr>
        <w:t>has served as our Interim Chief Financial Officer since 2020. Mr. Beloff is the co-founder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Danforth Advisors, a 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Lauder, Ph.D. </w:t>
      </w:r>
      <w:r>
        <w:rPr>
          <w:rFonts w:ascii="Times New Roman" w:cs="Times New Roman" w:eastAsia="Times New Roman" w:hAnsi="Times New Roman"/>
          <w:sz w:val="18"/>
          <w:szCs w:val="18"/>
          <w:color w:val="auto"/>
        </w:rPr>
        <w:t>has served as our Chief Technology Officer since November 2017.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2016 to October 2017, Dr. Lauder 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Marc Uknis, M.D. </w:t>
      </w:r>
      <w:r>
        <w:rPr>
          <w:rFonts w:ascii="Times New Roman" w:cs="Times New Roman" w:eastAsia="Times New Roman" w:hAnsi="Times New Roman"/>
          <w:sz w:val="18"/>
          <w:szCs w:val="18"/>
          <w:color w:val="auto"/>
        </w:rPr>
        <w:t>has served as our Chief Medical Officer since March 2020. Previously, in 2020, Dr. Uknis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and Head of Clinical 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Hannah Han-Chun Chang, Ph.D., M.D. </w:t>
      </w:r>
      <w:r>
        <w:rPr>
          <w:rFonts w:ascii="Times New Roman" w:cs="Times New Roman" w:eastAsia="Times New Roman" w:hAnsi="Times New Roman"/>
          <w:sz w:val="18"/>
          <w:szCs w:val="18"/>
          <w:color w:val="auto"/>
        </w:rPr>
        <w:t>has served as a member of our Board since September 2019.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2020, Dr. Chang has been a Managing Director at Wu Capital, a global single family office. Previously, Dr. Chang served as an Investment Director at Wu Capital from July 2017 to July 2020. Prior to that, from June 2014 to June 2017, Dr. Chang served as an associate at 5AM Ventures, a life sciences venture capital fund. Dr. Chang holds an M.D. from Harvard Medical School, a Ph.D. in biophysics from the Harvard University and a B.A. in chemistry from Princeton University. We believe that Dr. Chang is qualified to serve on our board of directors due to her scientific expertise and experience in venture capital and the life science industry.</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Jean George </w:t>
      </w:r>
      <w:r>
        <w:rPr>
          <w:rFonts w:ascii="Times New Roman" w:cs="Times New Roman" w:eastAsia="Times New Roman" w:hAnsi="Times New Roman"/>
          <w:sz w:val="18"/>
          <w:szCs w:val="18"/>
          <w:color w:val="auto"/>
        </w:rPr>
        <w:t>has served as a member of our Board since April 2016. Since February 2002, she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at Advanced Technology 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Carl L. Gordon, Ph.D., CFA </w:t>
      </w:r>
      <w:r>
        <w:rPr>
          <w:rFonts w:ascii="Times New Roman" w:cs="Times New Roman" w:eastAsia="Times New Roman" w:hAnsi="Times New Roman"/>
          <w:sz w:val="18"/>
          <w:szCs w:val="18"/>
          <w:color w:val="auto"/>
        </w:rPr>
        <w:t>has served as a member of our board of directors since April 2016. Dr. Gordon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member, Managing Partner, 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0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C. Lubner </w:t>
      </w:r>
      <w:r>
        <w:rPr>
          <w:rFonts w:ascii="Times New Roman" w:cs="Times New Roman" w:eastAsia="Times New Roman" w:hAnsi="Times New Roman"/>
          <w:sz w:val="18"/>
          <w:szCs w:val="18"/>
          <w:color w:val="auto"/>
        </w:rPr>
        <w:t>has been a member of our Board since April 2020. From January 2016, until its acquisition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UCB S.A. in April 2020, Mr. Lubner 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Tuyen Ong, M.D., MRCOphth</w:t>
      </w:r>
      <w:r>
        <w:rPr>
          <w:rFonts w:ascii="Times New Roman" w:cs="Times New Roman" w:eastAsia="Times New Roman" w:hAnsi="Times New Roman"/>
          <w:sz w:val="18"/>
          <w:szCs w:val="18"/>
          <w:color w:val="auto"/>
        </w:rPr>
        <w:t>., has served as a member of our Board since August 2020. Dr. Ong is a board-certified ophthalmologist and 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(acquired by Valeant Pharmaceuticals International, Inc.), and Pfizer. Dr. Ong holds an M.D. from the University College London and an M.B.A. from New York University Stern School of Business. He is a member of the Royal College of Ophthalmologists and a Churchill Fellow.</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Philip R. Reilly, M.D. </w:t>
      </w:r>
      <w:r>
        <w:rPr>
          <w:rFonts w:ascii="Times New Roman" w:cs="Times New Roman" w:eastAsia="Times New Roman" w:hAnsi="Times New Roman"/>
          <w:sz w:val="18"/>
          <w:szCs w:val="18"/>
          <w:color w:val="auto"/>
        </w:rPr>
        <w:t>has served as a member of our board of directors since June 2016. Since 2008, Dr. Reilly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Venture Partner at Third Rock Ventures LLC, an investment firm. Dr. Reilly holds a B.A. in Government from Cornell University, an M.D. from Yale University, and a J.D. from Columbia University. We believe that Dr. Reilly is qualified to serve on our board of directors due to his scientific expertise, extensive business experience, and experience in venture capital and the life science industry.</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Rhodes </w:t>
      </w:r>
      <w:r>
        <w:rPr>
          <w:rFonts w:ascii="Times New Roman" w:cs="Times New Roman" w:eastAsia="Times New Roman" w:hAnsi="Times New Roman"/>
          <w:sz w:val="18"/>
          <w:szCs w:val="18"/>
          <w:color w:val="auto"/>
        </w:rPr>
        <w:t>has been a member of our Board since April 2016 and a partner at Atlas Ventures since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Rhodes also served as the founding 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Stephen Squinto, Ph.D.</w:t>
      </w:r>
      <w:r>
        <w:rPr>
          <w:rFonts w:ascii="Times New Roman" w:cs="Times New Roman" w:eastAsia="Times New Roman" w:hAnsi="Times New Roman"/>
          <w:sz w:val="18"/>
          <w:szCs w:val="18"/>
          <w:color w:val="auto"/>
        </w:rPr>
        <w:t>, has served as a member of our Board since April 2016. Dr. Squinto has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Partner at OrbiMed Advisors LLC since January 2015. Previously, Dr. Squinto co-founded Alexion Pharmaceuticals, Inc. and served as its Executive Vice President and Chief Global Operations Officer from 2012 to January 2015 and as its Global Head of Research and Development from 2007 to 2012. Dr. Squinto has served as Acting Head of Research and Development of Passage Bio, Inc. since January 2020, and prior to that served as interim Chief Executive Officer of Passage Bio from September 2018 to January 2020. Dr. Squinto also has served as a member of Passage’s board of directors since September 2018. Dr. Squinto also previously served as a member of the board of directors of Arvinas, Inc. from October 2015 to September 2018 and Audentes Therapeutics, Inc. from April 2015 to January 2018. Dr. Squinto holds a Ph.D. in biochemistry and biophysics and a B.A. in chemistry from Loyola University of Chicago. We believe that Dr. Squinto is qualified to serve on our board of directors based on his experience in the biopharmaceutical industry, including his operational experience in drug discovery and development.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93"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Gemini’s named executive officers are Jason Meyenburg, its President and Chief Executive Officer, Dr. Scott Lauder, its Chief Technology Officer, and Dr. Marc Uknis, its Chief Medical Officer, each of whom will become an executive officer of the Combined Entity. The following table presents information regarding the total compensation awarded to, earned by, and paid to our named executive officers for services rendered to us in all capacities for 2020.</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8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5"/>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00" w:type="dxa"/>
            <w:vAlign w:val="bottom"/>
          </w:tcPr>
          <w:p>
            <w:pPr>
              <w:spacing w:after="0"/>
              <w:rPr>
                <w:sz w:val="22"/>
                <w:szCs w:val="22"/>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8"/>
        </w:trPr>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437,800</w:t>
            </w:r>
          </w:p>
        </w:tc>
        <w:tc>
          <w:tcPr>
            <w:tcW w:w="12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1,539,362</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49,992</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2,069,654</w:t>
            </w:r>
          </w:p>
        </w:tc>
      </w:tr>
      <w:tr>
        <w:trPr>
          <w:trHeight w:val="198"/>
        </w:trPr>
        <w:tc>
          <w:tcPr>
            <w:tcW w:w="1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5"/>
        </w:trPr>
        <w:tc>
          <w:tcPr>
            <w:tcW w:w="1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President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9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Dr. Marc Uknis</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328,542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1,223,507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1,555,193</w:t>
            </w:r>
          </w:p>
        </w:tc>
      </w:tr>
      <w:tr>
        <w:trPr>
          <w:trHeight w:val="236"/>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
        </w:trPr>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Scott Lauder</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355,000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136,382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616,682</w:t>
            </w:r>
          </w:p>
        </w:tc>
      </w:tr>
      <w:tr>
        <w:trPr>
          <w:trHeight w:val="198"/>
        </w:trPr>
        <w:tc>
          <w:tcPr>
            <w:tcW w:w="1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Technology</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40"/>
        </w:trPr>
        <w:tc>
          <w:tcPr>
            <w:tcW w:w="1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972"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annual payments made to our named executive officers in cash in March 2020 for performance in 2019.</w:t>
      </w:r>
    </w:p>
    <w:p>
      <w:pPr>
        <w:jc w:val="both"/>
        <w:ind w:left="880" w:right="459" w:hanging="426"/>
        <w:spacing w:after="0" w:line="264" w:lineRule="auto"/>
        <w:tabs>
          <w:tab w:leader="none" w:pos="972"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grant date fair value of stock options awarded during 2020 computed in accordance with the provisions of Financial Accounting Standards Board Accounting Standards Codification Topic 718. See Note 10 to Gemini’s financial statements appearing elsewhere in this proxy statement/prospectus regarding assumptions underlying the valuation of equity awards.</w:t>
      </w:r>
    </w:p>
    <w:p>
      <w:pPr>
        <w:ind w:left="880" w:right="479" w:hanging="426"/>
        <w:spacing w:after="0" w:line="264" w:lineRule="auto"/>
        <w:tabs>
          <w:tab w:leader="none" w:pos="1098"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payment for a living expense allowance to facilitate Mr. Meyenburg’s relocation to Cambridge, Massachusetts pursuant to the term of his offer letter agreement with Gemini.</w:t>
      </w:r>
    </w:p>
    <w:p>
      <w:pPr>
        <w:ind w:left="880" w:hanging="426"/>
        <w:spacing w:after="0"/>
        <w:tabs>
          <w:tab w:leader="none" w:pos="88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Gemini’s portion of the executive’s 401k plan contribution.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the year ended December 31, 2020, the annual base salaries for each of Mr. Meyenburg, Dr. Uknis and Dr. Lauder were $437,800 $415,000 and $355,000, respectively.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0" w:name="page181"/>
    <w:bookmarkEnd w:id="1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goals established by our board of directors. For 2020, the target bonus for Mr. Meyenburg was equal to 40% percent of his base salary. The target bonus for Dr. Lauder for 2020 was 35% percent of his base salary. The target bonus for Dr. Uknis for 2020 was 35% percent of his base salary, prorated from his start date with Gemini.</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2020, we granted options to purchase shares of our common stock to Mr. Meyenburg, Dr. Uknis and Dr. Lauder, as described in more detail in the “Outstanding equity awards at 2020 fiscal year-end” table.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arrangements and severance agreements with our named executive officers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entered into offer letter agreements with each of our named executive officers in connection with the commencement of their employment with us, the material terms of which summarized below.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Meyenburg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entered into an offer letter agreement with Mr. Meyenburg, dated August 27, 2019, pursuant to which we employ Mr. Meyenburg as our President and Chief Executive Officer. The offer letter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Mr. Meyenburg’s current annual base salary is $437,800, which is subject to periodic review and adjustment. Pursuant to the offer letter agreement, Mr. Meyenburg is eligible to receive to an annual bonus targeted at 40% of his annual base salary, which amount may be adjusted by Gemini at its sole discretion. The actual amount of the bonus is determined by the board of directors based on its assessment of the performance of Mr. Meyenburg and that of the Company against pre-established goals determined by our board of directors. Under the offer letter agreement, we also paid Mr. Meyenburg a signing bonus of $25,000, which was subject to repayment in full in the event that Mr. Meyenburg resigned without “good reason” (as such term is defined in his offer letter agreement) or we terminated Mr. Meyenburg’s employment for “cause” (as such term is defined in his offer letter agreement) in either case within one year of his start date. Mr. Meyenburg was required relocate his primary residence to Cambridge, Massachusetts within one year of his start date. To facilitate such relocation and transition, we provided Mr. Meyenburg with a living expense allowance equal to $4,166 per month until he was able to relocate to Cambridge Massachusetts for up to a maximum of twelve months following his start date. The board of directors extended the time period during which Mr. Meyenburg may be required to relocate to the Boston area until following the easing of the COVID-19 pandemic and upon the request of either the compensation committee or the board of directors. The $4,166 per month living allowance was also extended for the same period of time.</w:t>
      </w:r>
    </w:p>
    <w:p>
      <w:pPr>
        <w:spacing w:after="0" w:line="127"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7"/>
          <w:szCs w:val="17"/>
          <w:color w:val="auto"/>
        </w:rPr>
        <w:t>In the event Mr. Meyenburg’s employment is terminated without cause or he resigns for good reason, in either event within the twelve month period immediate following a “sale event” (as such term is defined in the 2017 Plan), any then outstanding time-based equity awards shall accelerate and become fully vested as of the date of termination. 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(i) the end of the Salary Continuation Period; 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hanging="6"/>
        <w:spacing w:after="0" w:line="261" w:lineRule="auto"/>
        <w:tabs>
          <w:tab w:leader="none" w:pos="76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Mr. Meyenburg becomes eligible for health insurance through another employer or otherwise becomes ineligible for COBRA. Payment of the severance payments under the offer letter agreement shall cease in the event that Mr. Meyenburg breaches his obligations under the Employee Confidentiality, Assignment and Noncompetition Agreement entered into with us.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Uknis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entered into an offer letter agreement with Dr. Uknis dated February 20, 2020. The employment of Dr. Uknis is “at will” and the agreement endures until terminated by either party. Dr. Uknis’s current annual base salary is $415,000, which is subject to periodic review and adjustment. Under the terms of the offer letter agreement, Dr. Uknis is eligible to participate in any annual bonus programs as may be established from time to time by our board of directors. Under such bonus programs, Dr. Uknis is eligible to receive an annual bonus targeted at 35% of his annual base salary. Dr. Uknis is required to relocate his primary residence to Cambridge, Massachusetts within one year of his start date. The board of directors extended the time period during which Dr. Uknis may be required to relocate to the Boston area until following the easing of the COVID-19 pandemic and upon the request of either the compensation committee or the board of directors. Once Dr. Uknis is required to relocate to the Boston area, the board of directors or the compensation committee may agree to an interim living allowance.</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Dr. Uknis’s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Uknis is entitled to the following: (a) continuation of base salary for nine months, which we refer to as the Salary Continuation Period; and (b) monthly COBRA premiums paid by us until the earlier of: (i) the end of the Salary Continuation Period; or (ii) the date Dr. Uknis becomes eligible for health insurance through another employer.</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Dr. Uknis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Lauder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entered into an offer letter agreement with Dr. Lauder dated September 12, 2016. The employment of Dr. Lauder is “at will” and the agreement endures until terminated by either party. Dr. Lauder’s current annual base salary is $355,000, which is subject to periodic review and adjustment. Under the terms of the offer letter agreement, Dr. Lauder is eligible to participate in any annual bonus programs as may be established from time to time by our board of directors. Under such bonus programs, Dr. Lauder is eligible to receive an annual bonus targeted at 35% of his annual base salary.</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Lauder is entitled to the following: (a) continuation of base salary for twelve months, which we refer to as the Salary Continuation Period; and (b) monthly COBRA premiums paid by us until the earlier of: (i) the end of the Salary Continuation Period; or (ii) the date Dr. Lauder becomes eligible for health insurance through another employer.</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2020 fiscal year-end</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2020. Unless otherwise noted, all equity awards set forth in the table below were granted under our 2017 Plan.</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8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7"/>
                <w:szCs w:val="17"/>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commencement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0" w:type="dxa"/>
            <w:vAlign w:val="bottom"/>
          </w:tcPr>
          <w:p>
            <w:pPr>
              <w:spacing w:after="0"/>
              <w:rPr>
                <w:sz w:val="1"/>
                <w:szCs w:val="1"/>
                <w:color w:val="auto"/>
              </w:rPr>
            </w:pPr>
          </w:p>
        </w:tc>
      </w:tr>
      <w:tr>
        <w:trPr>
          <w:trHeight w:val="255"/>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2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9/23/2019</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840,698</w:t>
            </w:r>
          </w:p>
        </w:tc>
        <w:tc>
          <w:tcPr>
            <w:tcW w:w="8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1,849,541</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11/12/2029</w:t>
            </w: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3/11/2020</w:t>
            </w:r>
            <w:r>
              <w:rPr>
                <w:rFonts w:ascii="Times New Roman" w:cs="Times New Roman" w:eastAsia="Times New Roman" w:hAnsi="Times New Roman"/>
                <w:sz w:val="20"/>
                <w:szCs w:val="20"/>
                <w:color w:val="auto"/>
                <w:vertAlign w:val="superscript"/>
              </w:rPr>
              <w:t>(2)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575,700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3/11/2030</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10/16/2020</w:t>
            </w:r>
            <w:r>
              <w:rPr>
                <w:rFonts w:ascii="Times New Roman" w:cs="Times New Roman" w:eastAsia="Times New Roman" w:hAnsi="Times New Roman"/>
                <w:sz w:val="20"/>
                <w:szCs w:val="20"/>
                <w:color w:val="auto"/>
                <w:vertAlign w:val="superscript"/>
              </w:rPr>
              <w:t>(2)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1,178,043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10/16/2030</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Marc Uknis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10/16/2020</w:t>
            </w:r>
            <w:r>
              <w:rPr>
                <w:rFonts w:ascii="Times New Roman" w:cs="Times New Roman" w:eastAsia="Times New Roman" w:hAnsi="Times New Roman"/>
                <w:sz w:val="20"/>
                <w:szCs w:val="20"/>
                <w:color w:val="auto"/>
                <w:vertAlign w:val="superscript"/>
              </w:rPr>
              <w:t>(2)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1,093,980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10/16/2030</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Lauder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11/5/2017</w:t>
            </w:r>
            <w:r>
              <w:rPr>
                <w:rFonts w:ascii="Times New Roman" w:cs="Times New Roman" w:eastAsia="Times New Roman" w:hAnsi="Times New Roman"/>
                <w:sz w:val="20"/>
                <w:szCs w:val="20"/>
                <w:color w:val="auto"/>
                <w:vertAlign w:val="superscript"/>
              </w:rPr>
              <w:t>(3)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235,206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8/28/2028</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3/11/2020</w:t>
            </w:r>
            <w:r>
              <w:rPr>
                <w:rFonts w:ascii="Times New Roman" w:cs="Times New Roman" w:eastAsia="Times New Roman" w:hAnsi="Times New Roman"/>
                <w:sz w:val="20"/>
                <w:szCs w:val="20"/>
                <w:color w:val="auto"/>
                <w:vertAlign w:val="superscript"/>
              </w:rPr>
              <w:t>(2)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3/11/2030</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10/16/2020</w:t>
            </w:r>
            <w:r>
              <w:rPr>
                <w:rFonts w:ascii="Times New Roman" w:cs="Times New Roman" w:eastAsia="Times New Roman" w:hAnsi="Times New Roman"/>
                <w:sz w:val="20"/>
                <w:szCs w:val="20"/>
                <w:color w:val="auto"/>
                <w:vertAlign w:val="superscript"/>
              </w:rPr>
              <w:t>(2)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96,971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w:t>
            </w:r>
            <w:r>
              <w:rPr>
                <w:rFonts w:ascii="Times New Roman" w:cs="Times New Roman" w:eastAsia="Times New Roman" w:hAnsi="Times New Roman"/>
                <w:sz w:val="20"/>
                <w:szCs w:val="20"/>
                <w:color w:val="auto"/>
                <w:vertAlign w:val="superscript"/>
              </w:rPr>
              <w:t>(4)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76,775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901"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fair market value of our common stock as of December 31, 2020 of $1.66 as determined by the Gemini board of directors, after consideration of relevant factors, including third-party valuation report.</w:t>
      </w:r>
    </w:p>
    <w:p>
      <w:pPr>
        <w:jc w:val="both"/>
        <w:ind w:left="880" w:right="479" w:hanging="426"/>
        <w:spacing w:after="0" w:line="264" w:lineRule="auto"/>
        <w:tabs>
          <w:tab w:leader="none" w:pos="88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 In the event that the executive’s employment is terminated without cause or he resigns for good reason within 12 months following a “sale event” (as such term is defined in the 2017 Plan), the vesting of this stock option will fully accelerate.</w:t>
      </w:r>
    </w:p>
    <w:p>
      <w:pPr>
        <w:ind w:left="880" w:right="479" w:hanging="426"/>
        <w:spacing w:after="0" w:line="264" w:lineRule="auto"/>
        <w:tabs>
          <w:tab w:leader="none" w:pos="91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in 16 equal quarterly installments over the four years following vesting commencement date, subject to Dr. Lauder’s continued service, subject to full acceleration on a change of control.</w:t>
      </w:r>
    </w:p>
    <w:p>
      <w:pPr>
        <w:jc w:val="both"/>
        <w:ind w:left="880" w:right="479" w:hanging="426"/>
        <w:spacing w:after="0" w:line="276" w:lineRule="auto"/>
        <w:tabs>
          <w:tab w:leader="none" w:pos="93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granted on October 26, 2016 for a total of 480,000 shares under our 2015 Plan. The remaining unvested shares vest in two quarterly installments of 23,125 through May 16, 2021, subject to full acceleration on a change of control.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2017 Plan, which as noted in this summary, will terminate at or prior to the Effective Time and contingent on the Closing and no further awards will be granted under our 2017 Plan.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2017 Plan was initially approved by our board of directors and our stockholders on May 24, 2017 and most recently amended in September 2019 to increase the number of shares available for issuance under the 2017 Plan. Under our 2017 Plan, we have reserved for issuance an aggregate of 11,834,347 shares of our common stock, which number is subject to adjustment in the event of a reorganization, recapitalization, stock dividend, stock split or other similar change in our capital stock.</w:t>
      </w:r>
    </w:p>
    <w:p>
      <w:pPr>
        <w:spacing w:after="0" w:line="11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shares we issue under our 2017 Plan are authorized but unissued shares or shares we reacquire. The shares of common stock underlying any awards under the 2017 Plan and the 2015 Plan that are forfeited, cancelled, reacquired by us prior to vesting, satisfied without the issuance of common stock or otherwise terminated (other than by exercise) and shares of common stock withheld upon exercise or settlement of an award to cover the exercise price or tax withholding under our 2017 Plan and our 2015 Plan are added back to the shares of common stock available for issuance under our 2017 Plan.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of directors has acted as administrator of our 2017 Plan. The administrator has full power to select, from among the individuals eligible for awards, the individuals to whom awards will be granted, and to determine the specific terms and conditions of each award, subject to the provisions of our 2017 Plan. Persons eligible to participate in our 2017 Plan are our full or part time officers, employees, directors, consultants and other key persons as selected from time to time by the administrator in its discretion.</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2017 Plan permits the granting of (1) options to purchase common stock intended to qualify as incentive stock options under Section 422 of the Code and (2) options that do not so qualify. The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2017 Plan permits the granting of restricted shares of common stock, restricted stock units and unrestricted stock.</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2017 Plan provides that upon the occurrence of a “sale event,” as defined in our 2017 Plan, all outstanding stock options will terminate at the effective time of such sale event, unless the parties to the sale event agree that such awards will be assumed or continued by the successor entity. In the event of a termination of our 2017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 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1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discontinue the 2017 Plan at any time, subject to stockholder approval where such approval is required by applicable law. The administrator of the 2017 Plan may also amend or cancel any outstanding award, provided that no such amendment or cancellation of an award may adversely affect a participant’s rights without his or her consent. The administrator of the 2017 Plan is specifically authorized to exercise its discretion to reduce the exercise price of outstanding stock options or effect the repricing of such awards through cancellation and re-grants.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 awards may be granted under our 2017 Plan after the date that is ten years from the date our 2017 Plan was adopted by the board of directors. As of September 30, 2020, options to purchase shares of common stock were outstanding under the 2017 Plan. Our 2017 Plan will terminate at or prior to the Effective Time and contingent on the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Director and Consultant Stock Option Plan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2015 Plan, which as noted in this summary, will terminate at or prior to the Effective Time and contingent on the Closing and no further awards will be granted under our 2015 Plan.</w:t>
      </w:r>
    </w:p>
    <w:p>
      <w:pPr>
        <w:spacing w:after="0" w:line="8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Our 2015 Plan was approved and adopted by our board of directors and stockholders in August 2015. Under the 2015 Plan, we have reserved for issuance an aggregate of 1,350,000 shares of our common stock for the issuance. This number of shares of common stock reserved for issuance is subject to adjustment in the event of a stock split, stock dividend or other change in our capitalization. As of September 30, 2020, options to purchase 905,000 shares of common stock were outstanding under the 2015 Plan. Following the adoption of the 2017 Stock Plan no further awards were made under the 2015 Plan. All outstanding awards under the 2015 Plan continue to be governed by the 2015 Plan.</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2015 Plan are added back to the shares of common stock available for issuance under the 2017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2015 Plan. The administrator had full power to select, from among the individuals eligible for awards, the individuals to whom awards will be granted, to make any combination of awards to participants, and to determine the specific terms and conditions of each award, subject to the provisions of our 2015 Plan. Persons eligible to participate in our 2015 Plan were those full or part-time officers, employees, non-employee directors, and consultants as selected from time to time by the administrator in its discretion.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2015 Plan permitted the granting of both options to purchase common stock intended to qualify as incentive stock options under Section 422 of the Code and options that do not so qualify. The option exercise price of each option was determined by our board of directors but could not be less than 100% of the fair market value of our common stock on the date of grant. The term of each option was fixed by our board of directors and could not exceed ten years from the date of grant. Our board of directors determined at what time or times each option could be exercised. In addition, our 2015 Plan permitted awards of common stock and stock rights, in each case subject to such conditions and restrictions as determined by our board of directors in its discretion. These conditions and restrictions could have included the achievement of certain performance goals and/or continued employment with us through a specified vesting period.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2015 Plan provides that upon the effectiveness of a “corporate transaction” (as defined in our 2015 Plan), the board of directors shall: (i) make appropriate provision for the continuation of stock options by substituting on an equitable basis for the shares then subject to such options either the consideration payable with respect to the outstanding shares of common stock in connection with the corporate transaction or securities of any successor or acquiring entity; (ii) upon written notice to the participants, provide that stock options must be exercised (either (A) to the extent then exercisable or, (B) at the discretion of the board of directors, in full or in part), within a specified number of days of the date of such notice, at the end of which period such options that have not been exercised shall terminate; or (iii) terminate options in exchange for payment of an amount equal to the consideration payable upon consummation of such corporate transaction to a holder of the number of shares of common stock for which such option was exercisable (either (A) to the extent then exercisable or, (B) at the discretion of the Administrator, in full or in part) less the aggregate exercise price thereof.</w:t>
      </w:r>
    </w:p>
    <w:p>
      <w:pPr>
        <w:spacing w:after="0" w:line="11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of directors or stockholders may amend our 2015 Plan and, our board of directors may discontinue the 2015 Plan. Our board of directors may amend outstanding award agreements under the 2015 Plan, but no such action may adversely affect a participant’s rights under an award without his or her consent. Our board of directors is specifically authorized to exercise its discretion to reduce the exercise price of outstanding stock options under the 2015 Plan. Certain amendments to our 2015 Plan require the approval of our stockholders.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2015 Plan provides that no awards may be granted under our 2015 Plan after the date that is ten years from the date the board approved our 2015 Plan. However, following adoption of the 2017 Stock Plan, our board of directors determined not to make any further awards under our 2015 Plan.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2015 Plan will terminate at or prior to the Effective Time and contingent on the Closing and no further awards will be granted under our 2015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maintain a tax-qualified retirement plan, or the 401(k) Plan, that provides eligible U.S. employees with an opportunity to save for retirement on a tax advantaged basis.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(i) who served as a non-employee member of our board of directors during 2020, (ii) who will serve as a director of the Combined Entity following the Closing, and (iii) received compensation for such service during the fiscal year ended December 31, 2020. Other than as set forth in the table and described more fully below, we did not pay any compensation, make any equity awards to, or pay any other compensation to any of the non-employee members of our board of directors who will serve as a director of the Combined Entity following the Closing. Jason Meyenburg, our President and Chief Executive Officer, did not receive any compensation for his service as a member of our board of directors during 2020. Mr. Meyenburg’s compensation for service as an employee for fiscal year 2020 is presented in “Executive compensation — 2020 Summary compensation table.”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 table — 2020</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2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60" w:type="dxa"/>
            <w:vAlign w:val="bottom"/>
          </w:tcPr>
          <w:p>
            <w:pPr>
              <w:spacing w:after="0"/>
              <w:rPr>
                <w:sz w:val="17"/>
                <w:szCs w:val="17"/>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5"/>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2"/>
                <w:szCs w:val="22"/>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8"/>
        </w:trPr>
        <w:tc>
          <w:tcPr>
            <w:tcW w:w="4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282,671</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Tuyen Ong</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11,358</w:t>
            </w:r>
          </w:p>
        </w:tc>
        <w:tc>
          <w:tcPr>
            <w:tcW w:w="2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258,296</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269,654</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jc w:val="both"/>
        <w:ind w:left="880" w:right="459" w:hanging="426"/>
        <w:spacing w:after="0" w:line="272" w:lineRule="auto"/>
        <w:tabs>
          <w:tab w:leader="none" w:pos="98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grant date fair value of share- based compensation awarded during the year computed in accordance with the provisions of Financial Accounting Standards Board Accounting Standards Codification, or ASC, Topic 718. See Note 10 to Gemini’s consolidated financial statements appearing at the end of this prospectus regarding assumptions underlying the valuation of equity awards.</w:t>
      </w: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Prior to the Closing, our board of directors plans to adopt a non-employee director compensation policy, that is designed to enable us to attract and retain, on a long-term basis, highly qualified non-employee directors. Under the policy, each director who is not an employee will be paid cash compensation following the Closing, as set forth below:</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Annual</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Retainer</w:t>
            </w:r>
          </w:p>
        </w:tc>
      </w:tr>
      <w:tr>
        <w:trPr>
          <w:trHeight w:val="47"/>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each non-employee elected or appointed to our board of directors following the closing of the Business Combination will be granted a one-time stock option award to purchase a number of shares of Common Stock equal to 0.8% of the total shares outstanding on the date of such director’s election or appointment to the board of directors,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0.4% of the total shares outstanding, which will vest in full of the earlier to occur of the first anniversary of the date of grant or the next annual meeting, subject to continued service as a director through such vesting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AFTER THE BUSINESS COMBINATION</w:t>
      </w:r>
    </w:p>
    <w:p>
      <w:pPr>
        <w:spacing w:after="0" w:line="227"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“us” and “our” generally refer to FS Development in the present tense or the Combined Entity from and after the Business Combination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persons are expected to serve as executive officers and directors following the Business Combination. For biographical information concerning the Gemini executive officers and Gemini designees to the board of directors, see “</w:t>
      </w:r>
      <w:r>
        <w:rPr>
          <w:rFonts w:ascii="Times New Roman" w:cs="Times New Roman" w:eastAsia="Times New Roman" w:hAnsi="Times New Roman"/>
          <w:sz w:val="18"/>
          <w:szCs w:val="18"/>
          <w:i w:val="1"/>
          <w:iCs w:val="1"/>
          <w:color w:val="auto"/>
        </w:rPr>
        <w:t>Executive Officers and Directors of Gemini</w:t>
      </w:r>
      <w:r>
        <w:rPr>
          <w:rFonts w:ascii="Times New Roman" w:cs="Times New Roman" w:eastAsia="Times New Roman" w:hAnsi="Times New Roman"/>
          <w:sz w:val="18"/>
          <w:szCs w:val="18"/>
          <w:color w:val="auto"/>
        </w:rPr>
        <w:t>.” For biographical information concerning the FS Development designee to the board of directors see “</w:t>
      </w:r>
      <w:r>
        <w:rPr>
          <w:rFonts w:ascii="Times New Roman" w:cs="Times New Roman" w:eastAsia="Times New Roman" w:hAnsi="Times New Roman"/>
          <w:sz w:val="18"/>
          <w:szCs w:val="18"/>
          <w:i w:val="1"/>
          <w:iCs w:val="1"/>
          <w:color w:val="auto"/>
        </w:rPr>
        <w:t>Executive Officers and Directors of 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20"/>
                <w:szCs w:val="20"/>
                <w:color w:val="auto"/>
              </w:rPr>
            </w:pPr>
          </w:p>
        </w:tc>
        <w:tc>
          <w:tcPr>
            <w:tcW w:w="44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George</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Ong, M.D., MRCOphth</w:t>
            </w:r>
            <w:r>
              <w:rPr>
                <w:rFonts w:ascii="Times New Roman" w:cs="Times New Roman" w:eastAsia="Times New Roman" w:hAnsi="Times New Roman"/>
                <w:sz w:val="20"/>
                <w:szCs w:val="20"/>
                <w:color w:val="auto"/>
                <w:vertAlign w:val="superscript"/>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Rhodes</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9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Designee</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Designee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of the Business Combination.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89" w:lineRule="exact"/>
        <w:rPr>
          <w:sz w:val="20"/>
          <w:szCs w:val="20"/>
          <w:color w:val="auto"/>
        </w:rPr>
      </w:pPr>
    </w:p>
    <w:p>
      <w:pPr>
        <w:ind w:left="1320" w:right="479" w:hanging="434"/>
        <w:spacing w:after="0" w:line="282" w:lineRule="auto"/>
        <w:tabs>
          <w:tab w:leader="none" w:pos="136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Entity’s board of directors will have the authority to appoint committees to perform certain management and administration functions. FS Development’s current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Gemini’s website is not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statement/prospectus, and the inclusion of such website address in this proxy statement/prospectus is an inactive textual reference only.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7" w:name="page188"/>
    <w:bookmarkEnd w:id="1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Combined Entity’s audit committee is expected to consist of Dr. Carl Gordon, David Lubner and Jason Rhodes. The Board has determined each proposed member of the audit committee is independent under the listing standards of the Nasdaq Stock Market, or the Listing Standards, and Rule 10A-3(b)(1) of the Exchange Act. The chairperson of the audit committee is expected to be David Lubner. The Board has determined that David Lubner is an “audit committee financial expert” within the meaning of SEC regulations. The Board has also determined that each member of the proposed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08" w:lineRule="exact"/>
        <w:rPr>
          <w:sz w:val="20"/>
          <w:szCs w:val="20"/>
          <w:color w:val="auto"/>
        </w:rPr>
      </w:pPr>
    </w:p>
    <w:p>
      <w:pPr>
        <w:ind w:left="1320" w:right="479" w:hanging="434"/>
        <w:spacing w:after="0" w:line="282" w:lineRule="auto"/>
        <w:tabs>
          <w:tab w:leader="none" w:pos="13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the Combined Entity’s financial statements;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 Combined Entity’s internal quality-control procedures, any material issues with such procedures, and any steps taken to deal with such issues when required by applicable law;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compensation committee is expected to consist of Jean George, Dr. Tuyen Ong, and Dr. Jim Tananbaum. The Board has determined each proposed member is a “non-employee director” as defined in Rule 16b-3 promulgated under the Exchange Act and an “outside director” as that term is defined in Section 162(m) of the Internal Revenue Code of 1986, as amended, or the Code. The Board has determined each proposed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expected to be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will include:</w:t>
      </w:r>
    </w:p>
    <w:p>
      <w:pPr>
        <w:spacing w:after="0" w:line="144" w:lineRule="exact"/>
        <w:rPr>
          <w:sz w:val="20"/>
          <w:szCs w:val="20"/>
          <w:color w:val="auto"/>
        </w:rPr>
      </w:pPr>
    </w:p>
    <w:p>
      <w:pPr>
        <w:ind w:left="1320" w:right="479" w:hanging="434"/>
        <w:spacing w:after="0" w:line="282" w:lineRule="auto"/>
        <w:tabs>
          <w:tab w:leader="none" w:pos="137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8" w:name="page189"/>
    <w:bookmarkEnd w:id="1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2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terms of compensatory arrangements with our executive officers;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5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3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 Jean George, Jason Rhodes and Dr. Jim Tananbaum. The Board has determined each proposed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 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expected to be Jean George.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44" w:lineRule="exact"/>
        <w:rPr>
          <w:sz w:val="20"/>
          <w:szCs w:val="20"/>
          <w:color w:val="auto"/>
        </w:rPr>
      </w:pPr>
    </w:p>
    <w:p>
      <w:pPr>
        <w:ind w:left="1320" w:right="479" w:hanging="434"/>
        <w:spacing w:after="0" w:line="282" w:lineRule="auto"/>
        <w:tabs>
          <w:tab w:leader="none" w:pos="158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such website is not a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the inclusion of the website address in this proxy statement/prospectus is an inactive textual reference only. The Combined Entity intends to disclose any amendments to the Code of Business Conduct and Ethics, or any waivers of its requirements, on its website to the extent required by the applicable rules and exchange requirements.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member of the Combined Entity’s compensation committee has ever been an officer or employee of either company. None of the Combined Entity’s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GEMINI</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selected statements of operations data for the years ended December 31, 2018 and 2019 and the selected balance sheet data as of December 31, 2019 from its audited financial statements included elsewhere in this proxy statement/prospectus. The selected statements of operations data for the six months ended September 30, 2019 and 2020 and the selected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 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of Gemini</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6"/>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8"/>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8"/>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8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14,651</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38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vMerge w:val="continue"/>
          </w:tcPr>
          <w:p>
            <w:pPr>
              <w:spacing w:after="0"/>
              <w:rPr>
                <w:sz w:val="24"/>
                <w:szCs w:val="24"/>
                <w:color w:val="auto"/>
              </w:rPr>
            </w:pPr>
          </w:p>
        </w:tc>
        <w:tc>
          <w:tcPr>
            <w:tcW w:w="140" w:type="dxa"/>
            <w:vAlign w:val="bottom"/>
            <w:gridSpan w:val="2"/>
          </w:tcPr>
          <w:p>
            <w:pPr>
              <w:spacing w:after="0"/>
              <w:rPr>
                <w:sz w:val="24"/>
                <w:szCs w:val="2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2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w w:val="96"/>
              </w:rPr>
              <w:t>(8.01)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4,811,641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8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4"/>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3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0" w:name="page191"/>
    <w:bookmarkEnd w:id="1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GEMINI</w:t>
      </w:r>
    </w:p>
    <w:p>
      <w:pPr>
        <w:spacing w:after="0" w:line="7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Gemini’s financial condition and results of operations should be read in conjunction with its financial statements and related notes that appear elsewhere in this proxy statement/prospectus.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w:t>
      </w:r>
      <w:r>
        <w:rPr>
          <w:rFonts w:ascii="Times New Roman" w:cs="Times New Roman" w:eastAsia="Times New Roman" w:hAnsi="Times New Roman"/>
          <w:sz w:val="18"/>
          <w:szCs w:val="18"/>
          <w:color w:val="auto"/>
        </w:rPr>
        <w:t>Cautionary Note Regarding Forward-Looking Statements</w:t>
      </w:r>
      <w:r>
        <w:rPr>
          <w:rFonts w:ascii="Times New Roman" w:cs="Times New Roman" w:eastAsia="Times New Roman" w:hAnsi="Times New Roman"/>
          <w:sz w:val="18"/>
          <w:szCs w:val="18"/>
          <w:i w:val="1"/>
          <w:iCs w:val="1"/>
          <w:color w:val="auto"/>
        </w:rPr>
        <w:t>” included elsewhere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9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merger with FS Development, which would result in FS Development acquiring 100% of the Company’s issued and outstanding securities. Together with FS Development’s cash resources, additional funding for Gemini’s operations would be provided through a Private Investment in Public Equity (“PIPE”) offering to be completed concurrently with the merger. In the event a merger is not consummated, Gemini may be required to obtain additional funding whether through future collaboration agreements, private or public offerings, debt or a combination thereof and such additional funding may not be available on terms Gemini finds acceptable or favorable. There is inherent uncertainty associated with these fundraising activities and they are not considered probable. If Gemini is unable to obtain sufficient capital to continue to advance its programs, Gemini would be forced to delay, reduce or eliminate its research and development programs and any future commercialization efforts. Accordingly, substantial doubt is deemed to exist about Gemini’s ability to continue as a going concern within 12 months following the date its audited financial statements for December 31, 2019 were issued.</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September 30, 2020, Gemini had received gross proceeds of $76.0 million from the sale of its preferred stock, gross proceeds of $16.9 million from borrowings under convertible promissory notes and $10.0 million from its term loan facility with Silicon Valley Bank, or SVB.</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$31.7 million and $26.5 million for the nine months ended September 30, 2019 and 2020, respectively. As of December 31, 2019 and September 30, 2020, Gemini had an accumulated deficit of $72.0 million and $98.5 million, respectively. Gemini expects that its expenses and capital requirements will increase substantially in connection with its ongoing development activities, particularly if and as it:</w:t>
      </w:r>
    </w:p>
    <w:p>
      <w:pPr>
        <w:spacing w:after="0" w:line="97" w:lineRule="exact"/>
        <w:rPr>
          <w:sz w:val="20"/>
          <w:szCs w:val="20"/>
          <w:color w:val="auto"/>
        </w:rPr>
      </w:pPr>
    </w:p>
    <w:p>
      <w:pPr>
        <w:ind w:left="1320" w:right="479" w:hanging="434"/>
        <w:spacing w:after="0" w:line="282" w:lineRule="auto"/>
        <w:tabs>
          <w:tab w:leader="none" w:pos="133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preclinical studies and continues existing and initiates new clinical trials for GEM103, its lead product candidate being tested in AMD;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9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the development of its product candidate pipeline of other product candidates, including through business development efforts to invest in or in-license other technologies or product candidates;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expands and protects its intellectual property portfolio;</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medical, scientific and other technical personnel to support Gemini’s clinical operations;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any pre-commercialization activities to establish sales, marketing and distribution capabilities for any product candidates for which Gemini may receive regulatory approval;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infrastructure and facilities to accommodate its growing employee base;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Furthermore, upon the Closing, Gemini expects to incur additional costs associated with operating as a public company, including significant legal, accounting, investor relations and other expenses that it did not incur as a private company.</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 has incurred significant operating losses since its inception and as of September 30, 2020, had an accumulated deficit of $98.5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its cash resources will not be sufficient to allow Gemini to fund current planned operations beyond the next twelve months from the date of this proxy statement/prospectus without additional capital. Gemini believes, however, that the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Gemini’s future viability beyond that point is dependent on its ability to raise additional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its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Gemini and FS Development.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 Transaction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FS Development executed a definitive merger agreement among it, Merger Sub, Gemini and the Shareholders Representative. As a result of the proposed Business Combination, FS Development will be renamed to Gemini Therapeutics, Inc., or the Combined Entity, and Gemini will become a wholly-owned subsidiary of the Combined Entity. In connection with the Business Combination, the stockholders of Gemini will exchange their interests in Gemini for shares of FS Development Class A Common Stock. In addition, Gemini’s existing equity incentive plan will be terminated; awards issued under Gemini’s existing equity incentive plan will be exchanged for awards issued under a new equity incentive plan to be adopted by the Combined Entity. Lastly, in connection with the Business Combination, certain investors have agreed to subscribe for and purchase an aggregate of $95,060,000 of FS Development Class A Common Stock. The Combined Entity is expected to receive net proceeds of approximately $191.2 million at the Closing (assuming no redemptions are effected by stockholders of FS Development) and will continue to operate under the Gemini management team, led by chief executive officer Jason Meyenburg. The boards of directors of both FS Development and Gemini have approved the proposed transaction. Completion of the transaction, which is expected by the first quarter of 2021, is subject to approval of FS Development stockholders and the satisfaction or waiver of certain other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Gemini’s Operating Results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development of Gemini’s product candidates. Gemini expenses research and development costs as incurred, which include:</w:t>
      </w:r>
    </w:p>
    <w:p>
      <w:pPr>
        <w:spacing w:after="0" w:line="108" w:lineRule="exact"/>
        <w:rPr>
          <w:sz w:val="20"/>
          <w:szCs w:val="20"/>
          <w:color w:val="auto"/>
        </w:rPr>
      </w:pPr>
    </w:p>
    <w:p>
      <w:pPr>
        <w:ind w:left="1320" w:right="479" w:hanging="434"/>
        <w:spacing w:after="0" w:line="282" w:lineRule="auto"/>
        <w:tabs>
          <w:tab w:leader="none" w:pos="137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facilities-related costs, depreciation and other expenses, which include rent and utilities.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4" w:name="page195"/>
    <w:bookmarkEnd w:id="1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20" w:lineRule="exact"/>
        <w:rPr>
          <w:sz w:val="20"/>
          <w:szCs w:val="20"/>
          <w:color w:val="auto"/>
        </w:rPr>
      </w:pPr>
    </w:p>
    <w:p>
      <w:pPr>
        <w:ind w:left="1320" w:right="479" w:hanging="434"/>
        <w:spacing w:after="0" w:line="282" w:lineRule="auto"/>
        <w:tabs>
          <w:tab w:leader="none" w:pos="139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its preclinical development activities, clinical trials and other research and development activities;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IND enabling studies;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it or its third-party manufacturers are able to make product successfully;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its clinical trials and for commercial launch;</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its product candidates, if and when approved, whether alone or in collaboration with others;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its product candidates following approval, if any, of its product candidates.</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accrued on Gemini’s term loan entered into on February 8, 2019 and its convertible notes entered into on August 21,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income earned on its cash, cash equivalents and restricted cash.</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September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results of operations for the nine months ended September 30, 2019 and 2020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$26.7 million for the nine months ended September 30, 2019, compared to $20.5 million for the nine months ended September 30, 2020. The decrease of $6.2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nine months ended September 30, 2019, compared to $3.8 million for the nine months ended September 30, 2020. The decrease of $1.2 million was primarily because of a reduction in employee headcount period over period and related expenses such as travel and benefits due to the impact of COVID-19.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expense was $0.2 million for the nine months ended September 30, 2019, compared to $2.3 million for the nine months ended September 30, 2020. The increase of $2.1 million is primarily due to the interest expense recognized on the $14.0 million Notes, which includes $1.8 million from the accretion of the beneficial conversion feature discount recognized on the issuance date of the Notes.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Interest income was $0.2 million for the nine months ended September 30, 2019, compared to less than $0.1 million for the nine months ended September 30, 2020. The decrease in interest income primarily relates to lower cash balances during the nine months ended September 30, 2020 compared to the same period in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58"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 xml:space="preserve">The change in fair value of warrant liability reflects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reduction of the fair value of the Series A preferred stock warrant.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results of operations for the years ended December 31, 2018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2019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was zero for the year ended December 31, 2018, compared to $0.4 million for the year ended December 31, 2019. The increase was due to the new term loan entered into in February 2019.</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liability was zero for the year ended December 31, 2018, compared to less than $0.1 million for the year ended December 31, 2019. The warrants were issued in February 2019.</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September 30, 2020, Gemini had received gross cash proceeds of $76.0 million from sales of its preferred stock, gross cash proceeds of $16.9 million from borrowings under convertible promissory notes and $10.0 million of cash proceeds from its term loan with SVB.</w:t>
      </w:r>
    </w:p>
    <w:p>
      <w:pPr>
        <w:spacing w:after="0" w:line="12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September 30, 2020, Gemini had cash and cash equivalents of $13.2 million. Gemini has incurred operating losses and experienced negative operating cash flows since inception, and it anticipates that it will continue to incur losses for at least the foreseeable future. Its net losses totaled $31.7 million and $26.5 million for the nine months ended September 30, 2019 and 2020, respectively. Its net losses totaled $20.2 million and $41.4 million for the years ended December 31, 2018 and 2019, respectively. As of September 30, 2020, Gemini had an accumulated deficit of $98.5 million.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cash flows for each of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(23,855)</w:t>
            </w: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30,497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19,626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178"/>
        </w:trPr>
        <w:tc>
          <w:tcPr>
            <w:tcW w:w="32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5"/>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2"/>
                <w:szCs w:val="22"/>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40" w:type="dxa"/>
            <w:vAlign w:val="bottom"/>
          </w:tcPr>
          <w:p>
            <w:pPr>
              <w:spacing w:after="0"/>
              <w:rPr>
                <w:sz w:val="22"/>
                <w:szCs w:val="22"/>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operating activities of $27.2 million, primarily resulting from its net loss of $31.7 million, partially offset by increases in accounts payable and accrued expenses and other liabilities.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operating activities of $23.9 million, primarily resulting from its net loss of $26.5 million and a decrease in accounts payable, partially offset by a decrease in prepaid expenses and other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Changes in accounts payable and accrued expenses in all periods were generally due to growth in its business, the advancement of its product candidates, and the timing of vendor invoicing and payments.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9" w:name="page200"/>
    <w:bookmarkEnd w:id="1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investing activities of $0.4 million, consisting primarily of purchases of laboratory equipment.</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investing activities of $0.2 million, consisting primarily of purchases of laboratory equipment.</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investing activities of $0.2 million, consisting primarily of purchases of laboratory equipment.</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investing activities of less than $0.1 million, consisting of purchases of laboratory equipment.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cash provided by financing activities was $30.5 million, consisting primarily of proceeds from the issuance of Gemini’s Series A preferred stock.</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$19.6 million, consisting primarily of $12.2 million of proceeds from the issuance of Gemini’s Series B preferred stock and $7.5 million of gross proceeds from its term loan.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$34.1 million, consisting primarily of $20.1 million of proceeds from the issuance of Gemini’s Series B preferred stock and $14.0 million of proceeds from the issuance of its convertible promissory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its expenses to increase substantially in connection with its ongoing activities, particularly as it advances the preclinical activities and clinical trials of its product candidates. In addition, upon the Closing and concurrent PIPE Investment,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116" w:lineRule="exact"/>
        <w:rPr>
          <w:sz w:val="20"/>
          <w:szCs w:val="20"/>
          <w:color w:val="auto"/>
        </w:rPr>
      </w:pPr>
    </w:p>
    <w:p>
      <w:pPr>
        <w:ind w:left="1320" w:right="479" w:hanging="434"/>
        <w:spacing w:after="0" w:line="282" w:lineRule="auto"/>
        <w:tabs>
          <w:tab w:leader="none" w:pos="155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its early-stage programs and clinical trials of its product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its behalf, its preclinical and clinical drug material and develop processes for late stage and commercial manufacturing;</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it may obtain marketing approval and intend to commercialize on its own;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6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its intellectual property portfolio;</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its intellectual property rights, including enforcing and defending intellectual property related claims;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has incurred significant operating losses since its inception and, as of September 30, 2020, had an accumulated deficit of $98.5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 Management believes that its existing cash resources will not be sufficient to allow it to fund current planned operations beyond the next twelve months from the date of this proxy statement/prospectus without additional capital, This evaluation does not take into consideration the effect of potential mitigating plans of management that have not been fully implemented as of the date of this proxy statement/prospectus.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proposed business combination transaction with FS Development and the PIPE Investment, described above and Note 16, Subsequent Events, to its financial statements included elsewhere in this proxy statement/prospectus. The completion of the proposed Business Combination is conditioned on the satisfaction of certain closing conditions. Upon the completion of the proposed Business Combination transaction, the stockholders of Gemini will exchange their equity interests in Gemini, which include the conversion prior to the Closing of the principal and interest of the outstanding Notes into Series B Preferred Stock at a per share conversion price of $1.3513, for shares of FS Development Class A Common Stock. In connection with the Business Combination, certain investors have agreed to subscribe for and purchase an aggregate of $95,060,000 of FS Development Class A Common Stock in the PIPE Investment. The Combined Company is expected to receive net proceeds of approximately $191.2 million at the closing of the transaction (assuming no redemptions are affected by stockholders of FS Development). The Combined Entity may also pursue additional cash resources through public or private equity or debt financings.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additional information on risks associated with Gemini’s substantial capital requirements, please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12" w:lineRule="exact"/>
        <w:rPr>
          <w:sz w:val="20"/>
          <w:szCs w:val="20"/>
          <w:color w:val="auto"/>
        </w:rPr>
      </w:pPr>
    </w:p>
    <w:p>
      <w:pPr>
        <w:ind w:left="1320" w:right="459" w:hanging="434"/>
        <w:spacing w:after="0" w:line="282" w:lineRule="auto"/>
        <w:tabs>
          <w:tab w:leader="none" w:pos="14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its product candidates, and conducting preclinical and clinical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its product candidates;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its product candidates to supply its clinical and preclinical development efforts and its clinical trials;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its product candidates for which it receives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7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 and necessary inventory to support commercial launch;</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its products, should any of its product candidates receive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its intellectual property rights and defending intellectual property-related claims;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establish and maintain collaborations on favorable terms, if at all;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acquires or in-licenses other product candidates and technologies.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contractual obligations as of September 30, 2020 and the effects that such obligations are expected to have on Gemini’s liquidity and cash flows in future periods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Less than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1 to 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4 to 5</w:t>
            </w: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2"/>
        </w:trPr>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47"/>
        </w:trPr>
        <w:tc>
          <w:tcPr>
            <w:tcW w:w="22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6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3"/>
              </w:rPr>
              <w:t>(i)</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obligations</w:t>
            </w:r>
          </w:p>
        </w:tc>
        <w:tc>
          <w:tcPr>
            <w:tcW w:w="8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(iii)</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2"/>
              </w:rPr>
              <w:t>(iv)</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2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6" w:lineRule="auto"/>
        <w:tabs>
          <w:tab w:leader="none" w:pos="871"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borrowed $10.0 million under its term loan facility with SVB. The term loan matures on January 1, 2023 and accrues interest at a floating rate per annum equal to the greater of 3.75% or the prime rate minus 1.5%. In addition, Gemini issued $14.0 million of convertible promissory notes that mature in February 2021. Gemini accrues simple interest at 8% per annum.</w:t>
      </w:r>
    </w:p>
    <w:p>
      <w:pPr>
        <w:spacing w:after="0" w:line="2"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an operating lease agreement for its office and laboratory space.</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902"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is required to make license fee payments to its licensors. See Financial Statements, Note 13, Commitments and Contingencies for additional details regarding its payment obligations to these licensors</w:t>
      </w:r>
    </w:p>
    <w:p>
      <w:pPr>
        <w:ind w:left="880" w:right="459" w:hanging="426"/>
        <w:spacing w:after="0" w:line="288" w:lineRule="auto"/>
        <w:tabs>
          <w:tab w:leader="none" w:pos="85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SVB loan term, Gemini is required to pay a final end of term charge to SVB in the amount of 4.0% of the aggregate original principal amount borrowed.</w:t>
      </w:r>
    </w:p>
    <w:p>
      <w:pPr>
        <w:spacing w:after="0" w:line="8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2" w:name="page203"/>
    <w:bookmarkEnd w:id="2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research and manufacturing organizations</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Gemini recorded accrued expenses of approximately $0.4 million and $1.2 million in its balance sheets for expenditures incurred by CROs and CMOs as of December 31, 2019 and September 30,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Tax-related obligations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date, Gemini has not recognized any reserves related to uncertain tax positions. As of December 31, 2019 and September 30, 2020, Gemini had no accrued interest or penalties related to uncertain tax positions.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11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While Gemini’s significant accounting policies are described in more detail in Note 2 to Gemini’s financial statements appearing elsewhere in this proxy statement/prospectus, it believes that the following accounting policies are those most critical to the judgments and estimates used in the preparation of its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127" w:lineRule="exact"/>
        <w:rPr>
          <w:sz w:val="20"/>
          <w:szCs w:val="20"/>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measures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Gemini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Gemini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 classifies stock-based compensation expense in its statements of operations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estimates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Gemini’s common stock to date of this proxy statement/prospectus,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Privately-Held-Company Equity Securities Issued as Compensation</w:t>
      </w:r>
      <w:r>
        <w:rPr>
          <w:rFonts w:ascii="Times New Roman" w:cs="Times New Roman" w:eastAsia="Times New Roman" w:hAnsi="Times New Roman"/>
          <w:sz w:val="18"/>
          <w:szCs w:val="18"/>
          <w:color w:val="auto"/>
        </w:rPr>
        <w:t>. Gemini’s common stock valuations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$0.55 per share as of January 21, 2020, and $1.66 per share as of September 20, 2020.</w:t>
      </w:r>
    </w:p>
    <w:p>
      <w:pPr>
        <w:spacing w:after="0" w:line="13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108" w:lineRule="exact"/>
        <w:rPr>
          <w:sz w:val="20"/>
          <w:szCs w:val="20"/>
          <w:color w:val="auto"/>
        </w:rPr>
      </w:pPr>
    </w:p>
    <w:p>
      <w:pPr>
        <w:ind w:left="1320" w:right="459" w:hanging="434"/>
        <w:spacing w:after="0" w:line="282" w:lineRule="auto"/>
        <w:tabs>
          <w:tab w:leader="none" w:pos="133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Gemini sold shares of preferred stock and the superior rights and preferences of the preferred stock relative to its common stock at the time of each grant;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its research and development programs, including the status and results of preclinical studies and clinical trials for its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stage of development and commercialization and its business strategy;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 trends within the biopharmaceutical industry;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4" w:name="page205"/>
    <w:bookmarkEnd w:id="2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9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position, including cash on hand, and its historical and forecasted performance and results of operations;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its common stock and its preferred stock;</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sale of Gemini in light of prevailing market conditions;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Once a public trading market for the Combined Entity’s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the Combined Entity’s common stock will be determined based on the quoted market price of its common stock.</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Awards granted</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options and restricted stock granted from January 1, 2018 through the date of this proxy statement/prospectus, the per share purchase prices and exercise prices, the fair value of common stock per share on each grant date, and the per share estimated fair value of the awards: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 share fair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options 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subject</w:t>
            </w: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restricted</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on grant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award</w:t>
            </w:r>
          </w:p>
        </w:tc>
      </w:tr>
      <w:tr>
        <w:trPr>
          <w:trHeight w:val="212"/>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to award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on grant date</w:t>
            </w:r>
          </w:p>
        </w:tc>
      </w:tr>
      <w:tr>
        <w:trPr>
          <w:trHeight w:val="47"/>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Restricted stock</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28, 2018</w:t>
            </w:r>
            <w:r>
              <w:rPr>
                <w:rFonts w:ascii="Times New Roman" w:cs="Times New Roman" w:eastAsia="Times New Roman" w:hAnsi="Times New Roman"/>
                <w:sz w:val="20"/>
                <w:szCs w:val="20"/>
                <w:color w:val="auto"/>
                <w:vertAlign w:val="superscript"/>
              </w:rPr>
              <w:t>(1)</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5,723,737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83"/>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2018</w:t>
            </w:r>
            <w:r>
              <w:rPr>
                <w:rFonts w:ascii="Times New Roman" w:cs="Times New Roman" w:eastAsia="Times New Roman" w:hAnsi="Times New Roman"/>
                <w:sz w:val="20"/>
                <w:szCs w:val="20"/>
                <w:color w:val="auto"/>
                <w:vertAlign w:val="superscript"/>
              </w:rPr>
              <w:t>(1)</w:t>
            </w: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731,695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356,780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492,500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 2019</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411,865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3,748,799</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2019</w:t>
            </w:r>
            <w:r>
              <w:rPr>
                <w:rFonts w:ascii="Times New Roman" w:cs="Times New Roman" w:eastAsia="Times New Roman" w:hAnsi="Times New Roman"/>
                <w:sz w:val="20"/>
                <w:szCs w:val="20"/>
                <w:color w:val="auto"/>
                <w:vertAlign w:val="superscript"/>
              </w:rPr>
              <w:t>(2)</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2020</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1,182,200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0" w:lineRule="auto"/>
        <w:tabs>
          <w:tab w:leader="none" w:pos="958"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73"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 award was fully vested on the date of grant.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does not have during the periods presented, and it does not currently have, any off-balance sheet arrangements, as defined in the rules and regulations of the SEC.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Gemini’s financial position and results of operations is disclosed in Note 2 to Gemini’s financial statements included elsewhere in this proxy statement/prospectus.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5" w:name="page206"/>
    <w:bookmarkEnd w:id="2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is exposed to market risk in the ordinary course of its business. These risks primarily relate to changes in interest rates.</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40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Hypothetical Change in Interest Rates</w:t>
            </w:r>
            <w:r>
              <w:rPr>
                <w:rFonts w:ascii="Times New Roman" w:cs="Times New Roman" w:eastAsia="Times New Roman" w:hAnsi="Times New Roman"/>
                <w:sz w:val="18"/>
                <w:szCs w:val="18"/>
                <w:b w:val="1"/>
                <w:bCs w:val="1"/>
                <w:color w:val="auto"/>
                <w:vertAlign w:val="superscript"/>
              </w:rPr>
              <w:t>(i)</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Impact to Interest Expense</w:t>
            </w:r>
          </w:p>
        </w:tc>
      </w:tr>
      <w:tr>
        <w:trPr>
          <w:trHeight w:val="232"/>
        </w:trPr>
        <w:tc>
          <w:tcPr>
            <w:tcW w:w="39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1-percent increase</w:t>
            </w:r>
          </w:p>
        </w:tc>
        <w:tc>
          <w:tcPr>
            <w:tcW w:w="10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 increase</w:t>
            </w:r>
          </w:p>
        </w:tc>
      </w:tr>
      <w:tr>
        <w:trPr>
          <w:trHeight w:val="279"/>
        </w:trPr>
        <w:tc>
          <w:tcPr>
            <w:tcW w:w="40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1-percent decrease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Impact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928"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pays a floating rate per annum equal to the greater of 3.75% or the prime rate minus 1.5%. See Note 6 to Gemini’s financial statements for further information.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and the post-combination company is expected to be,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Gemini is, and the post-combination company is expected be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w:t>
      </w:r>
    </w:p>
    <w:p>
      <w:pPr>
        <w:spacing w:after="0" w:line="3" w:lineRule="exact"/>
        <w:rPr>
          <w:sz w:val="20"/>
          <w:szCs w:val="20"/>
          <w:color w:val="auto"/>
        </w:rPr>
      </w:pPr>
    </w:p>
    <w:p>
      <w:pPr>
        <w:ind w:left="460" w:right="479" w:hanging="6"/>
        <w:spacing w:after="0" w:line="260" w:lineRule="auto"/>
        <w:tabs>
          <w:tab w:leader="none" w:pos="72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annual revenues exceeded $100 million during such completed fiscal year and the market value of our common stock held by non-affiliates exceeds $700 million as of the prior June 30.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AFTER THE BUSINESS COMBINATION</w:t>
      </w:r>
    </w:p>
    <w:p>
      <w:pPr>
        <w:spacing w:after="0" w:line="2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FS Development stockholders who receive shares of FS Development Class A Common Stock will become the stockholders of the Combined Entity. Your rights as the Combined Entity stockholders will be governed by Delaware law and the Proposed Charter and the Amended By-laws. The following description of the material terms of the Combined Entity’s securities reflects the anticipated state of affairs upon completion of the Business Combination.</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connection with the Business Combination, FS Development will amend and restate the Current Charter and the Current By-Laws. The following summary of the material terms the Combined Entity’s securities following the Business Combination is not intended to be a complete summary of the rights and preferences of such securities. The full text of the Proposed Charter and the Amended By-laws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C</w:t>
      </w:r>
      <w:r>
        <w:rPr>
          <w:rFonts w:ascii="Times New Roman" w:cs="Times New Roman" w:eastAsia="Times New Roman" w:hAnsi="Times New Roman"/>
          <w:sz w:val="18"/>
          <w:szCs w:val="18"/>
          <w:i w:val="1"/>
          <w:iCs w:val="1"/>
          <w:color w:val="auto"/>
        </w:rPr>
        <w:t>, respectively, to this proxy statement/prospectus. You are encouraged to read the applicable provisions of Delaware law, the Proposed Charter and the Amended By-laws in their entirety for a complete description of the rights and preferences of the Combined Entity securities following the 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Proposed Charter authorizes the issuance of 260,000,000 shares, consisting of 250,000,000 shares of Common Stock, $0.0001 par value per share, and 10,000,000 shares of preferred stock, $0.0001 par value. As of the Record Date, there were 12,516,500 shares of FS Development Class A Common Stock and 3,018,750 shares of FS Development Class B Common Stock outstanding. In connection with the Business Combination and subject to the terms of the Current Charter, all shares of outstanding Class B Common Stock shall automatically be converted into shares of Class A Common Stock. No shares of preferred stock are currently outstanding.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Proposed Charter, which FS Development will adopt if the Charter Amendment Proposal is approved,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the Combined Entity’s directors and all other matters requiring stockholder action. Holders of Common Stock are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the Combined Entity’s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of the Combined Entity’s voluntary or involuntary liquidation, dissolution, distribution of assets or winding-up, the holders of the Common Stock will be entitled to receive an equal amount per share of all of the Combined Entity’s assets of whatever kind available for distribution to stockholders, after the rights of the holders of the preferred stock have been satisfied.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holders of the Founders Shares issued and outstanding on the date of this proxy statement/prospectus are entitled to registration rights pursuant to an agreement signed in connection with the FS Development IPO.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certain Gemini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additional rights to provide for registration of registrable securities on Form S-3 and any similar short-form registration statement that may be available at such time. See the section titled “</w:t>
      </w:r>
      <w:r>
        <w:rPr>
          <w:rFonts w:ascii="Times New Roman" w:cs="Times New Roman" w:eastAsia="Times New Roman" w:hAnsi="Times New Roman"/>
          <w:sz w:val="18"/>
          <w:szCs w:val="18"/>
          <w:i w:val="1"/>
          <w:iCs w:val="1"/>
          <w:color w:val="auto"/>
        </w:rPr>
        <w:t>The Business Combination Proposal — Ancillary Agreements.”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Charter and Amended By-laws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the Proposed Charter and Amended By-laws will:</w:t>
      </w:r>
    </w:p>
    <w:p>
      <w:pPr>
        <w:spacing w:after="0" w:line="144" w:lineRule="exact"/>
        <w:rPr>
          <w:sz w:val="20"/>
          <w:szCs w:val="20"/>
          <w:color w:val="auto"/>
        </w:rPr>
      </w:pPr>
    </w:p>
    <w:p>
      <w:pPr>
        <w:jc w:val="both"/>
        <w:ind w:left="1320" w:right="459" w:hanging="434"/>
        <w:spacing w:after="0" w:line="266" w:lineRule="auto"/>
        <w:tabs>
          <w:tab w:leader="none" w:pos="13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Combined Entity’s board of directors to issue up to 10,000,000 shares of preferred stock, with any rights, preferences and privileges as they may designate, including the right to approve an acquisition or other change of control;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Combined Entity’s board of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2" w:lineRule="auto"/>
        <w:tabs>
          <w:tab w:leader="none" w:pos="13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all of our then-outstanding shares of the capital stock entitled to vote generally at an election of directors;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1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Combined Entity’s stockholders may be called the Combined Entity’s board of directors pursuant to a resolution adopted by a majority of the total number of authorized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Combined Entity’s board of directors will be divided into three classes of directors, with the classes to be as nearly equal as possible, and with the directors serving three-year terms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therefore making it more difficult for stockholders to change the composition of our board of directors;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the Combined Entity’s board of directors as well as for another party to obtain control of the Combined Entity by replacing the Combined Entity’s board of directors. Because the Combined Entity’s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Combined Entity’s board of directors to issue preferred stock with voting or other rights or preferences that could impede the success of any attempt to change our control.</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Combined Entity’s board of directors and its policies and to discourage coercive takeover practices and inadequate takeover bids. These provisions are also designed to reduce the Combined Entity’s vulnerability to hostile takeovers and to discourage certain tactics that may be used in proxy fights. However, such provisions could have the effect of discouraging others from making tender offers for the Combined Entity’s shares and may have the effect of delaying changes in our control or management. As a consequence, these provisions may also inhibit fluctuations in the market price of our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will opt out of Section 203 of the Delaware General Corporation Law.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Shares</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will issue up to shares of Class A Common Stock to Gemini Equityholders in connection with the Business Combination. All of the shares of Class A Common Stock issued in connection with the Business Combination will be freely transferable by persons other than by FS Development’s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Provisions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Sponsor and certain existing Gemini stockholders, including all Gemini officers, directors and certain stockholders prior to the Closing, and their affiliates that hold Gemini securities, will be broadly prohibited from selling, pledging, transferring or otherwise disposing of their ownership interest in the Combined Entity’s common stock for a period 180 days after the Closing, subject to certain customary exceptions.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has agreed to give holders of certain restricted securities, including shares of Common Stock and the shares purchased in the PIPE Investment, registration rights to facilitate the resale of such restricted securities. Additional details of these rights can be found under the section titled “</w:t>
      </w:r>
      <w:r>
        <w:rPr>
          <w:rFonts w:ascii="Times New Roman" w:cs="Times New Roman" w:eastAsia="Times New Roman" w:hAnsi="Times New Roman"/>
          <w:sz w:val="18"/>
          <w:szCs w:val="18"/>
          <w:i w:val="1"/>
          <w:iCs w:val="1"/>
          <w:color w:val="auto"/>
        </w:rPr>
        <w:t>Description of Securities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 Registration Rights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00" w:hanging="41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shares of the Combined Entity’s common stock then outstanding; 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Combined Entity’s Common Stock during the four calendar weeks preceding the filing of a notice on Form 144 with respect to the sale.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Sales by affiliates of FS Development under Rule 144 are also subject to certain requirements relating to manner of sale, notice and the availability of current public information about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5" w:lineRule="exact"/>
        <w:rPr>
          <w:sz w:val="20"/>
          <w:szCs w:val="20"/>
          <w:color w:val="auto"/>
        </w:rPr>
      </w:pPr>
    </w:p>
    <w:p>
      <w:pPr>
        <w:ind w:left="1300" w:hanging="414"/>
        <w:spacing w:after="0"/>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40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15,535,250 shares of Common Stock outstanding. Of these shares, the 12,075,000 shares issued in the FS Development IPO are freely tradable without restriction or further registration under the Securities Act, except for any shares purchased by one of our affiliates within the meaning of Rule 144 under the Securities Act. All of the remaining 3,460,250 shares owned collectively by the Sponsor, officers and directors are restricted securities under Rule 144, in that they were issued in private transactions not involving a public offering.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Gemini’s employees, consultants or advisors who purchases equity shares from Gemini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table below summarizes the material differences between the current rights of stockholders of FS Development under the Current Charter and Current By-laws and the rights of FS Development stockholders, post-Business Combination, under the Proposed Charter and Amended By-laws, which will be in effect immediately following the Closing.</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While FS Development believes that the summary tables cover the material differences between the rights of stockholders of FS Development prior to the Business Combination and the rights of FS Development stockholders following the Business Combination, these summary tables may not contain all of the information that is important to you. You should carefully read this entire proxy statement/prospectus and the other documents referred to in this proxy statement/prospectus for a more complete understanding of the differences between being a stockholder of FS Development before and after the Business Combination, Annex B, and Exhibits 3.1, 3.2 and 3.3 to the registration statement of which this proxy statement/prospectus forms a part and will send copies of the documents referred to in this proxy statement/prospectus to you upon your request.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w:t>
      </w:r>
    </w:p>
    <w:p>
      <w:pPr>
        <w:spacing w:after="0" w:line="142" w:lineRule="exact"/>
        <w:rPr>
          <w:sz w:val="20"/>
          <w:szCs w:val="20"/>
          <w:color w:val="auto"/>
        </w:rPr>
      </w:pPr>
    </w:p>
    <w:p>
      <w:pPr>
        <w:ind w:left="840"/>
        <w:spacing w:after="0"/>
        <w:tabs>
          <w:tab w:leader="none" w:pos="4940" w:val="left"/>
        </w:tabs>
        <w:rPr>
          <w:sz w:val="20"/>
          <w:szCs w:val="20"/>
          <w:color w:val="auto"/>
        </w:rPr>
      </w:pPr>
      <w:r>
        <w:rPr>
          <w:rFonts w:ascii="Times New Roman" w:cs="Times New Roman" w:eastAsia="Times New Roman" w:hAnsi="Times New Roman"/>
          <w:sz w:val="16"/>
          <w:szCs w:val="16"/>
          <w:b w:val="1"/>
          <w:bCs w:val="1"/>
          <w:color w:val="auto"/>
        </w:rPr>
        <w:t>FS Development (Pre-Business Combination)</w:t>
      </w:r>
      <w:r>
        <w:rPr>
          <w:sz w:val="20"/>
          <w:szCs w:val="20"/>
          <w:color w:val="auto"/>
        </w:rPr>
        <w:tab/>
      </w:r>
      <w:r>
        <w:rPr>
          <w:rFonts w:ascii="Times New Roman" w:cs="Times New Roman" w:eastAsia="Times New Roman" w:hAnsi="Times New Roman"/>
          <w:sz w:val="14"/>
          <w:szCs w:val="14"/>
          <w:b w:val="1"/>
          <w:bCs w:val="1"/>
          <w:color w:val="auto"/>
        </w:rPr>
        <w:t>The Combined Entity (Post-Business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78740</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is currently authorized to issue The Combined Entity will be authorized to issue shares 111,000,000 shares of capital stock, consisting of of capital stock, consisting of (i) 250,000,000 shares of</w:t>
      </w:r>
    </w:p>
    <w:p>
      <w:pPr>
        <w:ind w:left="460" w:right="459" w:hanging="6"/>
        <w:spacing w:after="0" w:line="250" w:lineRule="auto"/>
        <w:tabs>
          <w:tab w:leader="none" w:pos="74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110,000,000 shares of common stock, including common stock, and (iii) 10,000,000 shares of preferred 100,000,000 shares of Class A Common Stock and stock</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B Common Stock, and</w:t>
      </w:r>
    </w:p>
    <w:p>
      <w:pPr>
        <w:spacing w:after="0" w:line="9"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Preferred Stock</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fix for any series of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fix for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voting powers, if any, designations, powers,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class or series of preferred stock such voting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preferences  and  relative,  participating,  optional,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 full or limited, or no voting powers, and such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special and other rights, if any, as may be stated in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designations,  preferences  and  relative,  participating,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resolutions of the Board’s providing for the issuance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or other special rights and such qualifications,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series.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or restrictions thereof, as may be stated in</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resolutions of the Combined Entity’s board of</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resolutions providing for the issuance of such class or</w:t>
            </w: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w:t>
            </w:r>
          </w:p>
        </w:tc>
      </w:tr>
      <w:tr>
        <w:trPr>
          <w:trHeight w:val="426"/>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2"/>
          </w:tcPr>
          <w:p>
            <w:pPr>
              <w:spacing w:after="0"/>
              <w:rPr>
                <w:sz w:val="7"/>
                <w:szCs w:val="7"/>
                <w:color w:val="auto"/>
              </w:rPr>
            </w:pPr>
          </w:p>
        </w:tc>
      </w:tr>
      <w:tr>
        <w:trPr>
          <w:trHeight w:val="237"/>
        </w:trPr>
        <w:tc>
          <w:tcPr>
            <w:tcW w:w="810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Number and Qualification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directors of FS Development, other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any rights of holders of preferred stock to</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than those who may be elected by the holders of 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under  specified  circumstances  and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more series of preferred stock voting separately by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the Registration Rights Agreement and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or series, will be fixed from time to time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Voting Agreement, the number of directors will be fixed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exclusively by the Board pursuant to a resolution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time to time pursuant to a resolution adopted by</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adopted by a majority of the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w:t>
            </w:r>
          </w:p>
        </w:tc>
      </w:tr>
      <w:tr>
        <w:trPr>
          <w:trHeight w:val="405"/>
        </w:trPr>
        <w:tc>
          <w:tcPr>
            <w:tcW w:w="81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Classification of the Board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of FS Development to elect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of the Combined Entity to elect 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one or more directors, the Board is classified into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 directors, the Combined Entity’s board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three classes of directors with staggered terms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is classified into three classes of directors with</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terms of office.</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Election of Directors; Vacancies on the Board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FS Development’s annual meeting,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the Combined Entity’s annual meeting,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 expires at that annual meeting, each of whom</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expires at that annual meeting, each of whom shall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shall hold office for a term of three years or until his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 office for a term of three years or until his or 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her successor is duly elected and qualified, subject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is duly elected and qualified, subject to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such  director’s  earlier  death,  resignation,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earlier death, resignation, disqualification or</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w:t>
            </w:r>
          </w:p>
        </w:tc>
        <w:tc>
          <w:tcPr>
            <w:tcW w:w="0" w:type="dxa"/>
            <w:vAlign w:val="bottom"/>
          </w:tcPr>
          <w:p>
            <w:pPr>
              <w:spacing w:after="0"/>
              <w:rPr>
                <w:sz w:val="1"/>
                <w:szCs w:val="1"/>
                <w:color w:val="auto"/>
              </w:rPr>
            </w:pPr>
          </w:p>
        </w:tc>
      </w:tr>
      <w:tr>
        <w:trPr>
          <w:trHeight w:val="33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If the number of directors is changed, any increase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majority of the board of directors shall have the right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is apportioned among the classes to maintain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any vacancies on of the Combined Entity’s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 equal number of directors in each class as nearly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whether caused by increase in size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possible,  and  any  additional  director  of  any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or resignation or removal of a director, and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elected to fill a vacancy will hold office for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board of directors shall have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of that class, but in no case will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determine the class that any additional director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the number of directors remove or shorten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fill, and any additional director of any class elected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term of any incumbent director.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 vacancy will hold office for the remaining term</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that class, but in no case will a decrease in the</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number of directors remove or shorten the term of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the election of directors shall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incumbent director.</w:t>
            </w:r>
          </w:p>
        </w:tc>
        <w:tc>
          <w:tcPr>
            <w:tcW w:w="0" w:type="dxa"/>
            <w:vAlign w:val="bottom"/>
          </w:tcPr>
          <w:p>
            <w:pPr>
              <w:spacing w:after="0"/>
              <w:rPr>
                <w:sz w:val="1"/>
                <w:szCs w:val="1"/>
                <w:color w:val="auto"/>
              </w:rPr>
            </w:pPr>
          </w:p>
        </w:tc>
      </w:tr>
      <w:tr>
        <w:trPr>
          <w:trHeight w:val="184"/>
        </w:trPr>
        <w:tc>
          <w:tcPr>
            <w:tcW w:w="4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 determined by a plurality of the votes cast by the</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the election of directors shall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determined by a plurality of the votes cast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0" w:type="dxa"/>
            <w:vAlign w:val="bottom"/>
          </w:tcPr>
          <w:p>
            <w:pPr>
              <w:spacing w:after="0"/>
              <w:rPr>
                <w:sz w:val="1"/>
                <w:szCs w:val="1"/>
                <w:color w:val="auto"/>
              </w:rPr>
            </w:pPr>
          </w:p>
        </w:tc>
      </w:tr>
    </w:tbl>
    <w:p>
      <w:pPr>
        <w:ind w:left="4500"/>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2" w:lineRule="exact"/>
        <w:rPr>
          <w:sz w:val="20"/>
          <w:szCs w:val="20"/>
          <w:color w:val="auto"/>
        </w:rPr>
      </w:pPr>
    </w:p>
    <w:p>
      <w:pPr>
        <w:jc w:val="both"/>
        <w:ind w:left="460" w:right="459"/>
        <w:spacing w:after="0" w:line="249" w:lineRule="auto"/>
        <w:rPr>
          <w:sz w:val="20"/>
          <w:szCs w:val="20"/>
          <w:color w:val="auto"/>
        </w:rPr>
      </w:pPr>
      <w:r>
        <w:rPr>
          <w:rFonts w:ascii="Times New Roman" w:cs="Times New Roman" w:eastAsia="Times New Roman" w:hAnsi="Times New Roman"/>
          <w:sz w:val="18"/>
          <w:szCs w:val="18"/>
          <w:color w:val="auto"/>
        </w:rPr>
        <w:t>Subject to the rights of the holders of any series of Subject to the rights of the holders of any series of preferred stock, any director or the entire board may preferred stock, as well as the Registration Rights be removed from office at any time, but only for cause Agreement and Voting Agreement, any director or the and only by the affirmative vote of holders of a entire board may be removed from office at any time, majority of the voting power of all then outstanding but only for cause and only by the affirmative vote of shares of capital stock of FS Development entitled to holders of at least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xml:space="preserve"> of the voting power of all then vote generally in the election of directors, voting outstanding shares of capital stock of the Combined</w:t>
      </w:r>
    </w:p>
    <w:p>
      <w:pPr>
        <w:spacing w:after="0" w:line="3"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together as a single class.</w:t>
      </w:r>
      <w:r>
        <w:rPr>
          <w:sz w:val="20"/>
          <w:szCs w:val="20"/>
          <w:color w:val="auto"/>
        </w:rPr>
        <w:tab/>
      </w:r>
      <w:r>
        <w:rPr>
          <w:rFonts w:ascii="Times New Roman" w:cs="Times New Roman" w:eastAsia="Times New Roman" w:hAnsi="Times New Roman"/>
          <w:sz w:val="18"/>
          <w:szCs w:val="18"/>
          <w:color w:val="auto"/>
        </w:rPr>
        <w:t>Entity entitled to vote generally in the election of directors, voting together as a single class.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of the common stock will be entitled to cast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holders of the FS Development Class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vote per share.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the FS Development Class B</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Except as otherwise required by applicable law, holders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Common Stock exclusively possess all voting power</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FS Development. Except as otherwise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Combined Entity’s common stock will not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by law or the Current Charter, the holders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on any amendment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shares shall be entitled to one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that relates solely to the terms of one 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each such share on each matter properly submitted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series of the Combined Entity’s preferred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FS  Development’s  stockholders  on  which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if the holders of such affected series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holders of FS Development shares are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preferred  stock  are  exclusively</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10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auto"/>
              </w:rPr>
              <w:t>entitled  to  vote  thereon  pursuant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or applicable law.</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for so long as any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remain  outstanding,  FS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may not, without first obtaining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written consent of the holders of at least a majority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then  outstanding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voting separately as a single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amend, alter or repeal any provision of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Charter, if such amendment, alteration or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repeal would alter or change the powers, preferences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relative, participating, optional or other or special</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rights of the FS Development 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96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type w:val="continuous"/>
        </w:sectPr>
      </w:pPr>
    </w:p>
    <w:bookmarkStart w:id="213" w:name="page214"/>
    <w:bookmarkEnd w:id="2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2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Delaware law allows for cumulative voting only if Delaware law allows for cumulative voting only if provided for in the Current Charter; however, the provided for in the Proposed Charter; however, the Current Charter does not authorize cumulative voting. Proposed Charter does not authorize cumulative voting.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the Board of Directors</w:t>
      </w:r>
    </w:p>
    <w:p>
      <w:pPr>
        <w:spacing w:after="0" w:line="20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Special meetings of the Board may be called by the Special meetings of the Combined Entity’s board of Chairman of the Board or Chief Executive Officer or directors may be called by the affirmative vote of a upon the written request of at least a majority of majority of the directors then in office, or by one</w:t>
      </w:r>
    </w:p>
    <w:p>
      <w:pPr>
        <w:spacing w:after="0" w:line="1"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directors then in office or the sole director.</w:t>
      </w:r>
      <w:r>
        <w:rPr>
          <w:sz w:val="20"/>
          <w:szCs w:val="20"/>
          <w:color w:val="auto"/>
        </w:rPr>
        <w:tab/>
      </w:r>
      <w:r>
        <w:rPr>
          <w:rFonts w:ascii="Times New Roman" w:cs="Times New Roman" w:eastAsia="Times New Roman" w:hAnsi="Times New Roman"/>
          <w:sz w:val="18"/>
          <w:szCs w:val="18"/>
          <w:color w:val="auto"/>
        </w:rPr>
        <w:t>director in the event there is only a single director in office, or by the Chairman or the President.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Current Charter, any action required or Subject to the terms of any series of preferred stock, permitted to be taken by the stockholders of FS any action required or permitted to be taken by the Development must be effected by a duly called annual stockholders of Combined Entity must be effected at an or special meeting of such stockholders and may not annual or special meeting of the stockholders and may be effected by written consent of the stockholders, not be effected by written consent. other than with respect to the FS Development Class B</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with respect to which action may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taken by written consent, and other than what may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provided for pursuant to the Current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relating to the rights of the holders of any</w:t>
      </w:r>
    </w:p>
    <w:p>
      <w:pPr>
        <w:spacing w:after="0" w:line="9" w:lineRule="exact"/>
        <w:rPr>
          <w:sz w:val="20"/>
          <w:szCs w:val="20"/>
          <w:color w:val="auto"/>
        </w:rPr>
      </w:pPr>
    </w:p>
    <w:p>
      <w:pPr>
        <w:ind w:left="460"/>
        <w:spacing w:after="0"/>
        <w:tabs>
          <w:tab w:leader="none" w:pos="1460" w:val="left"/>
          <w:tab w:leader="none" w:pos="2080" w:val="left"/>
          <w:tab w:leader="none" w:pos="2420" w:val="left"/>
          <w:tab w:leader="none" w:pos="3260" w:val="left"/>
          <w:tab w:leader="none" w:pos="3840" w:val="left"/>
          <w:tab w:leader="none" w:pos="4180" w:val="left"/>
        </w:tabs>
        <w:rPr>
          <w:sz w:val="20"/>
          <w:szCs w:val="20"/>
          <w:color w:val="auto"/>
        </w:rPr>
      </w:pPr>
      <w:r>
        <w:rPr>
          <w:rFonts w:ascii="Times New Roman" w:cs="Times New Roman" w:eastAsia="Times New Roman" w:hAnsi="Times New Roman"/>
          <w:sz w:val="18"/>
          <w:szCs w:val="18"/>
          <w:color w:val="auto"/>
        </w:rPr>
        <w:t>outstanding</w:t>
        <w:tab/>
        <w:t>series</w:t>
        <w:tab/>
        <w:t>of</w:t>
        <w:tab/>
        <w:t>preferred</w:t>
        <w:tab/>
        <w:t>stock</w:t>
        <w:tab/>
        <w:t>of</w:t>
      </w:r>
      <w:r>
        <w:rPr>
          <w:sz w:val="20"/>
          <w:szCs w:val="20"/>
          <w:color w:val="auto"/>
        </w:rPr>
        <w:tab/>
      </w:r>
      <w:r>
        <w:rPr>
          <w:rFonts w:ascii="Times New Roman" w:cs="Times New Roman" w:eastAsia="Times New Roman" w:hAnsi="Times New Roman"/>
          <w:sz w:val="17"/>
          <w:szCs w:val="17"/>
          <w:color w:val="auto"/>
        </w:rPr>
        <w:t>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an amendment to a charter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 the affirmative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generally requires the approval of a company’s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 of the majority of the outstanding shares of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and a majority of the combined voting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entitled to vote on such amendment, provided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then-outstanding shares of voting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in  the  Proposed  Charter  in  Article  V</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voting together as a single class.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stockholder actions), Article VI, Section 3</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IX of the Current Charter relating to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classified Board of directors), Article VI,</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Section 5 (removal of directors), Article VII, Section 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combination requirements may not be amended prior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  Article  VIII</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the  consummation  of  the  initial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of by-laws) will require approval of the</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combination unless approved by the affirmative vote</w:t>
            </w:r>
          </w:p>
        </w:tc>
        <w:tc>
          <w:tcPr>
            <w:tcW w:w="4100" w:type="dxa"/>
            <w:vAlign w:val="bottom"/>
            <w:vMerge w:val="restart"/>
          </w:tcPr>
          <w:p>
            <w:pPr>
              <w:ind w:left="40"/>
              <w:spacing w:after="0" w:line="351" w:lineRule="exact"/>
              <w:rPr>
                <w:sz w:val="20"/>
                <w:szCs w:val="20"/>
                <w:color w:val="auto"/>
              </w:rPr>
            </w:pPr>
            <w:r>
              <w:rPr>
                <w:rFonts w:ascii="Times New Roman" w:cs="Times New Roman" w:eastAsia="Times New Roman" w:hAnsi="Times New Roman"/>
                <w:sz w:val="18"/>
                <w:szCs w:val="18"/>
                <w:color w:val="auto"/>
              </w:rPr>
              <w:t>holders of at least 66</w:t>
            </w:r>
            <w:r>
              <w:rPr>
                <w:rFonts w:ascii="Times New Roman" w:cs="Times New Roman" w:eastAsia="Times New Roman" w:hAnsi="Times New Roman"/>
                <w:sz w:val="35"/>
                <w:szCs w:val="35"/>
                <w:color w:val="auto"/>
                <w:vertAlign w:val="superscript"/>
              </w:rPr>
              <w:t>⅔</w:t>
            </w:r>
            <w:r>
              <w:rPr>
                <w:rFonts w:ascii="Times New Roman" w:cs="Times New Roman" w:eastAsia="Times New Roman" w:hAnsi="Times New Roman"/>
                <w:sz w:val="18"/>
                <w:szCs w:val="18"/>
                <w:color w:val="auto"/>
              </w:rPr>
              <w:t>% of the Combined Entity’s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of the holders of at least 65% of all then outstanding</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and the rights, preferences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then-outstanding shares of capital stock entitled to vote</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privileges of the Class B Common Stock may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generally at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only be amended with the approval of the holders of at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least a majority of the then-outstanding shares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By-laws</w:t>
      </w:r>
    </w:p>
    <w:p>
      <w:pPr>
        <w:spacing w:after="0" w:line="202" w:lineRule="exact"/>
        <w:rPr>
          <w:sz w:val="20"/>
          <w:szCs w:val="20"/>
          <w:color w:val="auto"/>
        </w:rPr>
      </w:pPr>
    </w:p>
    <w:p>
      <w:pPr>
        <w:ind w:left="460" w:right="479"/>
        <w:spacing w:after="0"/>
        <w:rPr>
          <w:sz w:val="20"/>
          <w:szCs w:val="20"/>
          <w:color w:val="auto"/>
        </w:rPr>
      </w:pPr>
      <w:r>
        <w:rPr>
          <w:rFonts w:ascii="Times New Roman" w:cs="Times New Roman" w:eastAsia="Times New Roman" w:hAnsi="Times New Roman"/>
          <w:sz w:val="18"/>
          <w:szCs w:val="18"/>
          <w:color w:val="auto"/>
        </w:rPr>
        <w:t>The Board is expressly authorized to make, alter, The Combined Entity’s board of directors is expressly amend or repeal the Current By-laws. The Current By- authorized to make, alter, amend or repeal the Amended laws may also be adopted, amended, altered or By-laws by the affirmative vote of a majority of the repealed by the FS Development stockholders directors. representing a majority of the voting power of all of</w:t>
      </w:r>
    </w:p>
    <w:p>
      <w:pPr>
        <w:spacing w:after="0" w:line="191" w:lineRule="exact"/>
        <w:rPr>
          <w:sz w:val="20"/>
          <w:szCs w:val="20"/>
          <w:color w:val="auto"/>
        </w:rPr>
      </w:pPr>
    </w:p>
    <w:p>
      <w:pPr>
        <w:jc w:val="both"/>
        <w:ind w:left="460" w:right="479"/>
        <w:spacing w:after="0" w:line="228" w:lineRule="auto"/>
        <w:rPr>
          <w:sz w:val="20"/>
          <w:szCs w:val="20"/>
          <w:color w:val="auto"/>
        </w:rPr>
      </w:pPr>
      <w:r>
        <w:rPr>
          <w:rFonts w:ascii="Times New Roman" w:cs="Times New Roman" w:eastAsia="Times New Roman" w:hAnsi="Times New Roman"/>
          <w:sz w:val="15"/>
          <w:szCs w:val="15"/>
          <w:color w:val="auto"/>
        </w:rPr>
        <w:t xml:space="preserve">the then-outstanding shares of capital stock of FS </w:t>
      </w:r>
      <w:r>
        <w:rPr>
          <w:rFonts w:ascii="Times New Roman" w:cs="Times New Roman" w:eastAsia="Times New Roman" w:hAnsi="Times New Roman"/>
          <w:sz w:val="28"/>
          <w:szCs w:val="28"/>
          <w:color w:val="auto"/>
          <w:vertAlign w:val="superscript"/>
        </w:rPr>
        <w:t>Any amendments to the Amended By-Laws will require</w:t>
      </w:r>
      <w:r>
        <w:rPr>
          <w:rFonts w:ascii="Times New Roman" w:cs="Times New Roman" w:eastAsia="Times New Roman" w:hAnsi="Times New Roman"/>
          <w:sz w:val="15"/>
          <w:szCs w:val="15"/>
          <w:color w:val="auto"/>
        </w:rPr>
        <w:t xml:space="preserve"> Development entitled to vote generally in the election approval of the holders of at least 66</w:t>
      </w:r>
      <w:r>
        <w:rPr>
          <w:rFonts w:ascii="Times New Roman" w:cs="Times New Roman" w:eastAsia="Times New Roman" w:hAnsi="Times New Roman"/>
          <w:sz w:val="28"/>
          <w:szCs w:val="28"/>
          <w:color w:val="auto"/>
          <w:vertAlign w:val="superscript"/>
        </w:rPr>
        <w:t>⅔</w:t>
      </w:r>
      <w:r>
        <w:rPr>
          <w:rFonts w:ascii="Times New Roman" w:cs="Times New Roman" w:eastAsia="Times New Roman" w:hAnsi="Times New Roman"/>
          <w:sz w:val="15"/>
          <w:szCs w:val="15"/>
          <w:color w:val="auto"/>
        </w:rPr>
        <w:t xml:space="preserve">% of the of directors, provided that the approval of at least Combined Entity’s then-outstanding shares of capital </w:t>
      </w:r>
      <w:r>
        <w:rPr>
          <w:rFonts w:ascii="Times New Roman" w:cs="Times New Roman" w:eastAsia="Times New Roman" w:hAnsi="Times New Roman"/>
          <w:sz w:val="28"/>
          <w:szCs w:val="28"/>
          <w:color w:val="auto"/>
          <w:vertAlign w:val="subscript"/>
        </w:rPr>
        <w:t>66</w:t>
      </w:r>
      <w:r>
        <w:rPr>
          <w:rFonts w:ascii="Times New Roman" w:cs="Times New Roman" w:eastAsia="Times New Roman" w:hAnsi="Times New Roman"/>
          <w:sz w:val="15"/>
          <w:szCs w:val="15"/>
          <w:color w:val="auto"/>
        </w:rPr>
        <w:t>⅔</w:t>
      </w:r>
      <w:r>
        <w:rPr>
          <w:rFonts w:ascii="Times New Roman" w:cs="Times New Roman" w:eastAsia="Times New Roman" w:hAnsi="Times New Roman"/>
          <w:sz w:val="28"/>
          <w:szCs w:val="28"/>
          <w:color w:val="auto"/>
          <w:vertAlign w:val="subscript"/>
        </w:rPr>
        <w:t>% of the Combined Entity’s then-outstanding</w:t>
      </w:r>
      <w:r>
        <w:rPr>
          <w:rFonts w:ascii="Times New Roman" w:cs="Times New Roman" w:eastAsia="Times New Roman" w:hAnsi="Times New Roman"/>
          <w:sz w:val="15"/>
          <w:szCs w:val="15"/>
          <w:color w:val="auto"/>
        </w:rPr>
        <w:t xml:space="preserve"> stock entitled to vote generally at an election of shares of capital stock entitled to vote generally at an </w:t>
      </w:r>
      <w:r>
        <w:rPr>
          <w:rFonts w:ascii="Times New Roman" w:cs="Times New Roman" w:eastAsia="Times New Roman" w:hAnsi="Times New Roman"/>
          <w:sz w:val="28"/>
          <w:szCs w:val="28"/>
          <w:color w:val="auto"/>
          <w:vertAlign w:val="superscript"/>
        </w:rPr>
        <w:t>directors.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 is required to amend Article VIII,</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relates to indemnification matters.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4" w:name="page215"/>
    <w:bookmarkEnd w:id="2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570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r>
      <w:tr>
        <w:trPr>
          <w:trHeight w:val="250"/>
        </w:trPr>
        <w:tc>
          <w:tcPr>
            <w:tcW w:w="570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2400" w:type="dxa"/>
            <w:vAlign w:val="bottom"/>
          </w:tcPr>
          <w:p>
            <w:pPr>
              <w:spacing w:after="0"/>
              <w:rPr>
                <w:sz w:val="21"/>
                <w:szCs w:val="2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A majority the Board constitutes</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majority of the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quorum at any meeting of the Board.</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constitutes a quorum at any</w:t>
            </w:r>
          </w:p>
        </w:tc>
      </w:tr>
      <w:tr>
        <w:trPr>
          <w:trHeight w:val="349"/>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The presence, in person or by proxy, at</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 of the Combined Entity’s board of directors.</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The presence, in person or by proxy, at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capital stock representing a majority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voting power of all outstanding shares of capital</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capital  stock  of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entitled to vote at such meeting constitutes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 representing a majority of the voting power of all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quorum; expect that when specified business is to be</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shares  of  capital  stock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voted on by a class or series of stock voting together</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 Entity entitled to vote at such meeting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a single class, the holders of shares representing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constitutes a quorum; provided, however, that where a</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voting power of the outstanding shares</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separate vote by a class or classes of capital stock is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class or series will constitute a quorum.</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required, the holders of a majority in voting power of</w:t>
            </w:r>
          </w:p>
        </w:tc>
      </w:tr>
      <w:tr>
        <w:trPr>
          <w:trHeight w:val="234"/>
        </w:trPr>
        <w:tc>
          <w:tcPr>
            <w:tcW w:w="400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shares of such class and entitled to vote on such</w:t>
            </w:r>
          </w:p>
        </w:tc>
      </w:tr>
    </w:tbl>
    <w:p>
      <w:pPr>
        <w:ind w:left="4500"/>
        <w:spacing w:after="0"/>
        <w:rPr>
          <w:sz w:val="20"/>
          <w:szCs w:val="20"/>
          <w:color w:val="auto"/>
        </w:rPr>
      </w:pPr>
      <w:r>
        <w:rPr>
          <w:rFonts w:ascii="Times New Roman" w:cs="Times New Roman" w:eastAsia="Times New Roman" w:hAnsi="Times New Roman"/>
          <w:sz w:val="18"/>
          <w:szCs w:val="18"/>
          <w:color w:val="auto"/>
        </w:rPr>
        <w:t>matter, present in person or represented by proxy, shall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constitute a quorum.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02" w:lineRule="exact"/>
        <w:rPr>
          <w:sz w:val="20"/>
          <w:szCs w:val="20"/>
          <w:color w:val="auto"/>
        </w:rPr>
      </w:pPr>
    </w:p>
    <w:p>
      <w:pPr>
        <w:ind w:left="460"/>
        <w:spacing w:after="0"/>
        <w:tabs>
          <w:tab w:leader="none" w:pos="4920" w:val="left"/>
          <w:tab w:leader="none" w:pos="5820" w:val="left"/>
          <w:tab w:leader="none" w:pos="6400" w:val="left"/>
          <w:tab w:leader="none" w:pos="728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To the extent permitted by law, FS Development The</w:t>
        <w:tab/>
        <w:t>Combined</w:t>
        <w:tab/>
        <w:t>Entity</w:t>
        <w:tab/>
        <w:t>renounces</w:t>
        <w:tab/>
        <w:t>any</w:t>
        <w:tab/>
        <w:t>interest</w:t>
      </w:r>
      <w:r>
        <w:rPr>
          <w:sz w:val="20"/>
          <w:szCs w:val="20"/>
          <w:color w:val="auto"/>
        </w:rPr>
        <w:tab/>
      </w:r>
      <w:r>
        <w:rPr>
          <w:rFonts w:ascii="Times New Roman" w:cs="Times New Roman" w:eastAsia="Times New Roman" w:hAnsi="Times New Roman"/>
          <w:sz w:val="16"/>
          <w:szCs w:val="16"/>
          <w:color w:val="auto"/>
        </w:rPr>
        <w:t>or</w:t>
      </w:r>
    </w:p>
    <w:p>
      <w:pPr>
        <w:spacing w:after="0" w:line="27" w:lineRule="exact"/>
        <w:rPr>
          <w:sz w:val="20"/>
          <w:szCs w:val="20"/>
          <w:color w:val="auto"/>
        </w:rPr>
      </w:pPr>
    </w:p>
    <w:p>
      <w:pPr>
        <w:ind w:left="460"/>
        <w:spacing w:after="0"/>
        <w:tabs>
          <w:tab w:leader="none" w:pos="1320" w:val="left"/>
          <w:tab w:leader="none" w:pos="1720" w:val="left"/>
          <w:tab w:leader="none" w:pos="2680" w:val="left"/>
          <w:tab w:leader="none" w:pos="3100" w:val="left"/>
          <w:tab w:leader="none" w:pos="3520" w:val="left"/>
          <w:tab w:leader="none" w:pos="3820" w:val="left"/>
          <w:tab w:leader="none" w:pos="4180" w:val="left"/>
        </w:tabs>
        <w:rPr>
          <w:sz w:val="20"/>
          <w:szCs w:val="20"/>
          <w:color w:val="auto"/>
        </w:rPr>
      </w:pPr>
      <w:r>
        <w:rPr>
          <w:rFonts w:ascii="Times New Roman" w:cs="Times New Roman" w:eastAsia="Times New Roman" w:hAnsi="Times New Roman"/>
          <w:sz w:val="18"/>
          <w:szCs w:val="18"/>
          <w:color w:val="auto"/>
        </w:rPr>
        <w:t>renounces</w:t>
        <w:tab/>
        <w:t>any</w:t>
        <w:tab/>
        <w:t>expectancy</w:t>
        <w:tab/>
        <w:t>that</w:t>
        <w:tab/>
        <w:t>any</w:t>
        <w:tab/>
        <w:t>of</w:t>
        <w:tab/>
        <w:t>the</w:t>
        <w:tab/>
        <w:t>FS expectancy of Combined Entity in, or in being offered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directors  or  officers  will  offer  any an opportunity to participate in, any matter, transaction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opportunity in which he or she may become or interest that is presented to, or acquired, created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aware to FS Development, except with respect to any developed by any director of Combined Entity who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directors or officers of FS Development with not an employee or officer of Combined Entity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 to a corporate opportunity that was offered to of its subsidiaries, unless such matter, transaction or</w:t>
      </w:r>
    </w:p>
    <w:p>
      <w:pPr>
        <w:spacing w:after="0" w:line="9" w:lineRule="exact"/>
        <w:rPr>
          <w:sz w:val="20"/>
          <w:szCs w:val="20"/>
          <w:color w:val="auto"/>
        </w:rPr>
      </w:pPr>
    </w:p>
    <w:p>
      <w:pPr>
        <w:ind w:left="460"/>
        <w:spacing w:after="0"/>
        <w:tabs>
          <w:tab w:leader="none" w:pos="5160" w:val="left"/>
          <w:tab w:leader="none" w:pos="5420" w:val="left"/>
          <w:tab w:leader="none" w:pos="6260" w:val="left"/>
          <w:tab w:leader="none" w:pos="6600" w:val="left"/>
          <w:tab w:leader="none" w:pos="690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such person solely in his or her capacity as a director interest</w:t>
        <w:tab/>
        <w:t>is</w:t>
        <w:tab/>
        <w:t>presented</w:t>
        <w:tab/>
        <w:t>to,</w:t>
        <w:tab/>
        <w:t>or</w:t>
        <w:tab/>
        <w:t>acquired,</w:t>
        <w:tab/>
        <w:t>created</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officer of FS Development and (i) such opportunity developed by, or otherwise comes into the possession</w:t>
      </w:r>
    </w:p>
    <w:p>
      <w:pPr>
        <w:spacing w:after="0" w:line="9" w:lineRule="exact"/>
        <w:rPr>
          <w:sz w:val="20"/>
          <w:szCs w:val="20"/>
          <w:color w:val="auto"/>
        </w:rPr>
      </w:pPr>
    </w:p>
    <w:p>
      <w:pPr>
        <w:ind w:left="460"/>
        <w:spacing w:after="0"/>
        <w:tabs>
          <w:tab w:leader="none" w:pos="740" w:val="left"/>
          <w:tab w:leader="none" w:pos="1180" w:val="left"/>
          <w:tab w:leader="none" w:pos="1620" w:val="left"/>
          <w:tab w:leader="none" w:pos="2000" w:val="left"/>
          <w:tab w:leader="none" w:pos="3160" w:val="left"/>
          <w:tab w:leader="none" w:pos="3460" w:val="left"/>
          <w:tab w:leader="none" w:pos="4120" w:val="left"/>
        </w:tabs>
        <w:rPr>
          <w:sz w:val="20"/>
          <w:szCs w:val="20"/>
          <w:color w:val="auto"/>
        </w:rPr>
      </w:pPr>
      <w:r>
        <w:rPr>
          <w:rFonts w:ascii="Times New Roman" w:cs="Times New Roman" w:eastAsia="Times New Roman" w:hAnsi="Times New Roman"/>
          <w:sz w:val="18"/>
          <w:szCs w:val="18"/>
          <w:color w:val="auto"/>
        </w:rPr>
        <w:t>is</w:t>
        <w:tab/>
        <w:t>one</w:t>
        <w:tab/>
        <w:t>that</w:t>
        <w:tab/>
        <w:t>FS</w:t>
        <w:tab/>
        <w:t>Development</w:t>
        <w:tab/>
        <w:t>is</w:t>
        <w:tab/>
        <w:t>legally</w:t>
        <w:tab/>
        <w:t>and of, such person expressly and solely in such person’s</w:t>
      </w:r>
    </w:p>
    <w:p>
      <w:pPr>
        <w:spacing w:after="0" w:line="9" w:lineRule="exact"/>
        <w:rPr>
          <w:sz w:val="20"/>
          <w:szCs w:val="20"/>
          <w:color w:val="auto"/>
        </w:rPr>
      </w:pPr>
    </w:p>
    <w:p>
      <w:pPr>
        <w:ind w:left="460"/>
        <w:spacing w:after="0"/>
        <w:tabs>
          <w:tab w:leader="none" w:pos="1520" w:val="left"/>
          <w:tab w:leader="none" w:pos="2360" w:val="left"/>
          <w:tab w:leader="none" w:pos="2660" w:val="left"/>
          <w:tab w:leader="none" w:pos="3520" w:val="left"/>
          <w:tab w:leader="none" w:pos="3940" w:val="left"/>
        </w:tabs>
        <w:rPr>
          <w:sz w:val="20"/>
          <w:szCs w:val="20"/>
          <w:color w:val="auto"/>
        </w:rPr>
      </w:pPr>
      <w:r>
        <w:rPr>
          <w:rFonts w:ascii="Times New Roman" w:cs="Times New Roman" w:eastAsia="Times New Roman" w:hAnsi="Times New Roman"/>
          <w:sz w:val="18"/>
          <w:szCs w:val="18"/>
          <w:color w:val="auto"/>
        </w:rPr>
        <w:t>contractually</w:t>
        <w:tab/>
        <w:t>permitted</w:t>
        <w:tab/>
        <w:t>to</w:t>
        <w:tab/>
        <w:t>undertake</w:t>
        <w:tab/>
        <w:t>and</w:t>
        <w:tab/>
        <w:t>would capacity as a director of the Combined Entity.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reasonable for FS Development to pursue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(ii) the director or officer is permitted to refer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to FS Development without violating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By-laws provide that a special meeting of Subject to the rights of any series of preferred stock,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be called by the Chairman of the special meetings of the Combined Entity’s 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Chief Executive Officer of FS Development, or may be called by the Combined Entity’s board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pursuant to a resolution adopted by a directors pursuant to a resolution adopted by a majority</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majority of the Board.</w:t>
      </w:r>
      <w:r>
        <w:rPr>
          <w:sz w:val="20"/>
          <w:szCs w:val="20"/>
          <w:color w:val="auto"/>
        </w:rPr>
        <w:tab/>
      </w:r>
      <w:r>
        <w:rPr>
          <w:rFonts w:ascii="Times New Roman" w:cs="Times New Roman" w:eastAsia="Times New Roman" w:hAnsi="Times New Roman"/>
          <w:sz w:val="17"/>
          <w:szCs w:val="17"/>
          <w:color w:val="auto"/>
        </w:rPr>
        <w:t>of the Combined Entity’s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Stockholder Meetings</w:t>
      </w:r>
    </w:p>
    <w:p>
      <w:pPr>
        <w:spacing w:after="0" w:line="202"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Written notice stating the place, if any, date and hour Except as otherwise provided by law or the Proposed of each meeting of FS Development’s stockholders, Charter or the Amended By-laws, notice of each the means of remote communications, if any, by which meeting of the Combined Entity’s stockholders, stockholders and proxy holders may be deemed to be whether annual or special, shall be given not less than present in person and vote at such meeting, the record ten (10) nor more than sixty (60) days before the date of date for determining the stockholders entitled to vote the meeting to each stockholder entitled to vote at such at the meeting (if such date is different from the record meeting as of the record date for determining the date for stockholders entitled to notice of the meeting) Combined Entity’s stockholders entitled to notice of the must be delivered not less than ten (10) nor more than meeting. sixty (60) days before the date of the meeting, unless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required by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5" w:name="page216"/>
    <w:bookmarkEnd w:id="2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Whenever notice is required to be given to any FS Without limiting the manner by which notice otherwise Development stockholder, such notice may be given may be given to the Combined Entity’s stockholders,</w:t>
      </w:r>
    </w:p>
    <w:p>
      <w:pPr>
        <w:jc w:val="both"/>
        <w:ind w:left="460" w:right="459" w:hanging="6"/>
        <w:spacing w:after="0" w:line="250" w:lineRule="auto"/>
        <w:tabs>
          <w:tab w:leader="none" w:pos="67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and sent either by hand delivery, through any notice to the Combined Entity’s stockholders given the United States mail, or by a nationally recognized by Combined Entity shall be effective if given by overnight delivery service for next day delivery, or electronic transmission in accordance with Section 232</w:t>
      </w:r>
    </w:p>
    <w:p>
      <w:pPr>
        <w:spacing w:after="0" w:line="1" w:lineRule="exact"/>
        <w:rPr>
          <w:rFonts w:ascii="Times New Roman" w:cs="Times New Roman" w:eastAsia="Times New Roman" w:hAnsi="Times New Roman"/>
          <w:sz w:val="18"/>
          <w:szCs w:val="18"/>
          <w:color w:val="auto"/>
        </w:rPr>
      </w:pPr>
    </w:p>
    <w:p>
      <w:pPr>
        <w:jc w:val="both"/>
        <w:ind w:left="460" w:right="479" w:hanging="6"/>
        <w:spacing w:after="0" w:line="250" w:lineRule="auto"/>
        <w:tabs>
          <w:tab w:leader="none" w:pos="77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form of electronic transmission of the DGCL. The notices of all meetings shall state the consented to by the stockholder, to the extent place, if any, date and time of the meeting, the means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permitted by, and subject to the conditions set forth in remote communications, if any, by which stockholders</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Section 232 of the DGCL.</w:t>
      </w:r>
      <w:r>
        <w:rPr>
          <w:sz w:val="20"/>
          <w:szCs w:val="20"/>
          <w:color w:val="auto"/>
        </w:rPr>
        <w:tab/>
      </w:r>
      <w:r>
        <w:rPr>
          <w:rFonts w:ascii="Times New Roman" w:cs="Times New Roman" w:eastAsia="Times New Roman" w:hAnsi="Times New Roman"/>
          <w:sz w:val="18"/>
          <w:szCs w:val="18"/>
          <w:color w:val="auto"/>
        </w:rPr>
        <w:t>and proxyholders may be deemed to be present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and vote at such meeting, and the record date for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determining the stockholders entitled to vote at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(if such date is different from the record date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stockholders entitled to notice of the meeting).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notice of a special meeting shall state, in addition,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purpose or purposes for which the meeting is called.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(Other than Nomination of Persons for Election as Directors)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 business may be transacted at an annual meeting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business may be conducted at an annual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other than business that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the Combined Entity’s stockholders, other than business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 either (i) specified in FS Development’s notice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that is either (i) specified in Combined Entity’s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(or  any  supplement  thereto)  delivered</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meeting</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pursuant  to  the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the  By-laws,  (ii)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(ii)  otherwise  properly  brought  before  the  annual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or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by or at the direction of the board (or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direction of the Board or (iii)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committee thereof) or (iii) otherwise properly brought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any  FS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before the annual meeting by any stockholder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stockholder who is entitled to vote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 Entity who is entitled to vote at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who complies with the notice procedures set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who complies with the notice procedures set forth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forth in the Current By-laws.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Amended By-laws and who is a stockholder of record</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FS Development stockholder must (i) give timely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 the time such notice is delivered to the Secretary of</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19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the Combined Entity.</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notice thereof in proper written form to the Secretary</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FS Development, and (ii) the business must be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stockholder must (i) give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 thereof in proper written form to the Secretary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notice  must  be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and (ii) the business must be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received by the Secretary at the principal executive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offices of FS Development not later than the close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stockholder’s notice must be received at the principal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offices of Combined Entity not less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opening of business on the one-hundred twentieth</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ninety  (90)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  one-hundred  twenty</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(120) days prior to the one-year anniversary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provided,</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preceding year’s annual meeting; provided however if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however, that in the event that the annual meeting is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date of the annual meeting is more than thirty (30)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more than 30 days before or more than 60 days after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days before or more than sixty (60) days after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anniversary date, notice must be delivered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anniversary date, the notice must be delivered not later</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8"/>
                <w:szCs w:val="18"/>
                <w:color w:val="auto"/>
              </w:rPr>
              <w:t>than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or, if later, the tenth day following the day on</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public</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which public disclosure of such meeting was first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annual meeting, if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public  announcement  of  an  adjournment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later. The public announcement of an adjournment or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postponement of an annual meeting will not commence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postponement  of  an  annual  meeting  shall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new time period (or extend any time period) for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commence a new time period (or extend any time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giving  of  a  stockholder’s  notice.  Additionally,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period)  for  the  giving  of  a  stockholder’s  notice.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 must provide information pursuant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Additionally,   the   stockholder   must   provide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advance notice provisions in the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pursuant to the advance notice provisions</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the Current By-laws.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207</w:t>
            </w:r>
          </w:p>
        </w:tc>
        <w:tc>
          <w:tcPr>
            <w:tcW w:w="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Stockholder Nominations of Persons for Election as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Nominations of persons for election to Board may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Nominations of persons for election to the Combined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made by any stockholder of FS Development who is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Entity’s  board  of  directors  may  be  made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of record entitled to vote in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of Combined Entity who provides a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on the date of the giving of the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(i.e. provides notice which must be received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(as described below) and on the record date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by  the  secretary  of  Combined  Entity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the determination of stockholders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principal executive officer either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such meeting and who gives proper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 in the case of an election of directors at an annual</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give timely notice, a stockholder’s notice must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not less than ninety (90) days nor more than</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one  hundred  twenty  (120)  days  prior  to  the  first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given to the Secretary of FS Development at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anniversary of the preceding year’s annual meeting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offices of FS Development either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most cases) or (ii) in the case of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 in the case of an annual meeting, not later than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special meeting, not earlier than one hundred</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close of business on the ninetieth (90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4"/>
                <w:szCs w:val="14"/>
                <w:color w:val="auto"/>
              </w:rPr>
              <w:t>) day nor earlier</w:t>
            </w:r>
          </w:p>
        </w:tc>
        <w:tc>
          <w:tcPr>
            <w:tcW w:w="410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th</w:t>
            </w:r>
          </w:p>
        </w:tc>
        <w:tc>
          <w:tcPr>
            <w:tcW w:w="0" w:type="dxa"/>
            <w:vAlign w:val="bottom"/>
          </w:tcPr>
          <w:p>
            <w:pPr>
              <w:spacing w:after="0"/>
              <w:rPr>
                <w:sz w:val="1"/>
                <w:szCs w:val="1"/>
                <w:color w:val="auto"/>
              </w:rPr>
            </w:pPr>
          </w:p>
        </w:tc>
      </w:tr>
      <w:tr>
        <w:trPr>
          <w:trHeight w:val="11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than  the  close  of  business  on  the  one  hundred</w:t>
            </w:r>
          </w:p>
        </w:tc>
        <w:tc>
          <w:tcPr>
            <w:tcW w:w="41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twentieth (120 ) day prior to such special meeting and</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not later than the close of business on the later of (a)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special meeting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of stockholders</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(b)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most cases) and (ii) in the case of a special meeting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disclosure of the date of such special meeting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stockholders called for the purpose of electing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election of directors is first made), is a stockholder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not later than the close of business 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record on the date of giving such notices and on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  for  the  determination  of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special meeting 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at such a meeting, and is entitled to vote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made.</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at such meeting and on such election.</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202" w:lineRule="exact"/>
        <w:rPr>
          <w:sz w:val="20"/>
          <w:szCs w:val="20"/>
          <w:color w:val="auto"/>
        </w:rPr>
      </w:pPr>
    </w:p>
    <w:p>
      <w:pPr>
        <w:ind w:left="460" w:right="459"/>
        <w:spacing w:after="0"/>
        <w:rPr>
          <w:sz w:val="20"/>
          <w:szCs w:val="20"/>
          <w:color w:val="auto"/>
        </w:rPr>
      </w:pPr>
      <w:r>
        <w:rPr>
          <w:rFonts w:ascii="Times New Roman" w:cs="Times New Roman" w:eastAsia="Times New Roman" w:hAnsi="Times New Roman"/>
          <w:sz w:val="18"/>
          <w:szCs w:val="18"/>
          <w:color w:val="auto"/>
        </w:rPr>
        <w:t>The DGCL permits limiting or eliminating the The DGCL permits limiting or eliminating the monetary liability of a director to a corporation or its monetary liability of a director to a corporation or its stockholders, except with regard to breaches of the stockholders, except with regard to breaches of the duty duty of loyalty, intentional misconduct, unlawful of loyalty, intentional misconduct, unlawful repurchases repurchases or dividends, or improper personal or dividends, or improper personal benefit. benefit.</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Proposed Charter provides that no director will be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no director will be personally liable, except to the extent an exemption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personally liable, except to the extent an exemption from liability or limitation is not permitted under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liability or limitation is not permitted under the DGCL, unless a director breached his or her duty of</w:t>
      </w:r>
    </w:p>
    <w:p>
      <w:pPr>
        <w:spacing w:after="0" w:line="9" w:lineRule="exact"/>
        <w:rPr>
          <w:sz w:val="20"/>
          <w:szCs w:val="20"/>
          <w:color w:val="auto"/>
        </w:rPr>
      </w:pPr>
    </w:p>
    <w:p>
      <w:pPr>
        <w:ind w:left="460"/>
        <w:spacing w:after="0"/>
        <w:tabs>
          <w:tab w:leader="none" w:pos="5140" w:val="left"/>
          <w:tab w:leader="none" w:pos="5440" w:val="left"/>
          <w:tab w:leader="none" w:pos="6340" w:val="left"/>
          <w:tab w:leader="none" w:pos="6940" w:val="left"/>
          <w:tab w:leader="none" w:pos="7260" w:val="left"/>
          <w:tab w:leader="none" w:pos="7580" w:val="left"/>
        </w:tabs>
        <w:rPr>
          <w:sz w:val="20"/>
          <w:szCs w:val="20"/>
          <w:color w:val="auto"/>
        </w:rPr>
      </w:pPr>
      <w:r>
        <w:rPr>
          <w:rFonts w:ascii="Times New Roman" w:cs="Times New Roman" w:eastAsia="Times New Roman" w:hAnsi="Times New Roman"/>
          <w:sz w:val="18"/>
          <w:szCs w:val="18"/>
          <w:color w:val="auto"/>
        </w:rPr>
        <w:t>DGCL, unless a director violated his or her duty of loyalty</w:t>
        <w:tab/>
        <w:t>to</w:t>
        <w:tab/>
        <w:t>Combined</w:t>
        <w:tab/>
        <w:t>Entity</w:t>
        <w:tab/>
        <w:t>or</w:t>
        <w:tab/>
        <w:t>its</w:t>
        <w:tab/>
        <w:t>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loyalty to the FS Development or its stockholders, performed acts or omissions not in good faith or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acted in bad faith, knowingly or intentionally violated involve intentional misconduct or a knowing violation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 authorized unlawful payments of dividends, of law, pursuant to Section 174 of the DGCL, or for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unlawful stock purchases or unlawful redemptions, or transaction from which the director derived an improper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derived improper personal benefit from his or her personal benefit.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actions as a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w:t>
      </w:r>
    </w:p>
    <w:p>
      <w:pPr>
        <w:spacing w:after="0" w:line="202" w:lineRule="exact"/>
        <w:rPr>
          <w:sz w:val="20"/>
          <w:szCs w:val="20"/>
          <w:color w:val="auto"/>
        </w:rPr>
      </w:pPr>
    </w:p>
    <w:p>
      <w:pPr>
        <w:ind w:left="460"/>
        <w:spacing w:after="0"/>
        <w:tabs>
          <w:tab w:leader="none" w:pos="860" w:val="left"/>
          <w:tab w:leader="none" w:pos="1500" w:val="left"/>
          <w:tab w:leader="none" w:pos="2340" w:val="left"/>
          <w:tab w:leader="none" w:pos="3020" w:val="left"/>
          <w:tab w:leader="none" w:pos="3260" w:val="left"/>
          <w:tab w:leader="none" w:pos="4240" w:val="left"/>
          <w:tab w:leader="none" w:pos="4940" w:val="left"/>
          <w:tab w:leader="none" w:pos="5600" w:val="left"/>
          <w:tab w:leader="none" w:pos="6420" w:val="left"/>
          <w:tab w:leader="none" w:pos="7140" w:val="left"/>
          <w:tab w:leader="none" w:pos="7380" w:val="left"/>
          <w:tab w:leader="none" w:pos="8380" w:val="left"/>
        </w:tabs>
        <w:rPr>
          <w:sz w:val="20"/>
          <w:szCs w:val="20"/>
          <w:color w:val="auto"/>
        </w:rPr>
      </w:pPr>
      <w:r>
        <w:rPr>
          <w:rFonts w:ascii="Times New Roman" w:cs="Times New Roman" w:eastAsia="Times New Roman" w:hAnsi="Times New Roman"/>
          <w:sz w:val="18"/>
          <w:szCs w:val="18"/>
          <w:color w:val="auto"/>
        </w:rPr>
        <w:t>The</w:t>
        <w:tab/>
        <w:t>DGCL</w:t>
        <w:tab/>
        <w:t>generally</w:t>
        <w:tab/>
        <w:t>permits</w:t>
        <w:tab/>
        <w:t>a</w:t>
        <w:tab/>
        <w:t>corporation</w:t>
        <w:tab/>
        <w:t>to The</w:t>
        <w:tab/>
        <w:t>DGCL</w:t>
        <w:tab/>
        <w:t>generally</w:t>
        <w:tab/>
        <w:t>permits</w:t>
        <w:tab/>
        <w:t>a</w:t>
        <w:tab/>
        <w:t>corporation</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indemnify its directors and officers acting in good indemnify its directors and officers acting in good faith.</w:t>
      </w:r>
    </w:p>
    <w:p>
      <w:pPr>
        <w:spacing w:after="0" w:line="9" w:lineRule="exact"/>
        <w:rPr>
          <w:sz w:val="20"/>
          <w:szCs w:val="20"/>
          <w:color w:val="auto"/>
        </w:rPr>
      </w:pPr>
    </w:p>
    <w:p>
      <w:pPr>
        <w:ind w:left="460"/>
        <w:spacing w:after="0"/>
        <w:tabs>
          <w:tab w:leader="none" w:pos="5120" w:val="left"/>
          <w:tab w:leader="none" w:pos="5500" w:val="left"/>
          <w:tab w:leader="none" w:pos="6220" w:val="left"/>
          <w:tab w:leader="none" w:pos="6620" w:val="left"/>
          <w:tab w:leader="none" w:pos="7620" w:val="left"/>
          <w:tab w:leader="none" w:pos="8360" w:val="left"/>
        </w:tabs>
        <w:rPr>
          <w:sz w:val="20"/>
          <w:szCs w:val="20"/>
          <w:color w:val="auto"/>
        </w:rPr>
      </w:pPr>
      <w:r>
        <w:rPr>
          <w:rFonts w:ascii="Times New Roman" w:cs="Times New Roman" w:eastAsia="Times New Roman" w:hAnsi="Times New Roman"/>
          <w:sz w:val="18"/>
          <w:szCs w:val="18"/>
          <w:color w:val="auto"/>
        </w:rPr>
        <w:t>faith. Under the DGCL, the corporation through its Under</w:t>
        <w:tab/>
        <w:t>the</w:t>
        <w:tab/>
        <w:t>DGCL,</w:t>
        <w:tab/>
        <w:t>the</w:t>
        <w:tab/>
        <w:t>corporation</w:t>
        <w:tab/>
        <w:t>through</w:t>
        <w:tab/>
        <w:t>its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directors or independent legal counsel, stockholders, directors or independent legal counsel,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determine that the conduct of the person seeking will determine that the conduct of the person seeking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indemnity conformed with the statutory provisions indemnity  conformed  with  the  statutory  provisions</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governing indemnity.</w:t>
      </w:r>
      <w:r>
        <w:rPr>
          <w:sz w:val="20"/>
          <w:szCs w:val="20"/>
          <w:color w:val="auto"/>
        </w:rPr>
        <w:tab/>
      </w:r>
      <w:r>
        <w:rPr>
          <w:rFonts w:ascii="Times New Roman" w:cs="Times New Roman" w:eastAsia="Times New Roman" w:hAnsi="Times New Roman"/>
          <w:sz w:val="17"/>
          <w:szCs w:val="17"/>
          <w:color w:val="auto"/>
        </w:rPr>
        <w:t>governing indemnity.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FS Development The Amended By-laws provide that Combined Entity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indemnify each director and officer to the fullest will indemnify each director and officer to the fullest</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extent permitted by applicable law.</w:t>
      </w:r>
      <w:r>
        <w:rPr>
          <w:sz w:val="20"/>
          <w:szCs w:val="20"/>
          <w:color w:val="auto"/>
        </w:rPr>
        <w:tab/>
      </w:r>
      <w:r>
        <w:rPr>
          <w:rFonts w:ascii="Times New Roman" w:cs="Times New Roman" w:eastAsia="Times New Roman" w:hAnsi="Times New Roman"/>
          <w:sz w:val="17"/>
          <w:szCs w:val="17"/>
          <w:color w:val="auto"/>
        </w:rPr>
        <w:t>extent permitted by applicable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7" w:name="page218"/>
    <w:bookmarkEnd w:id="2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Unless further restricted in the certificate of Unless further restricted in the certificate of incorporation, the DGCL permits a corporation to incorporation, the DGCL permits a corporation to declare and pay dividends out of either (i) surplus, or declare and pay dividends out of either (i) surplus, or</w:t>
      </w:r>
    </w:p>
    <w:p>
      <w:pPr>
        <w:spacing w:after="0" w:line="1" w:lineRule="exact"/>
        <w:rPr>
          <w:sz w:val="20"/>
          <w:szCs w:val="20"/>
          <w:color w:val="auto"/>
        </w:rPr>
      </w:pPr>
    </w:p>
    <w:p>
      <w:pPr>
        <w:jc w:val="both"/>
        <w:ind w:left="460" w:right="459" w:hanging="6"/>
        <w:spacing w:after="0" w:line="250" w:lineRule="auto"/>
        <w:tabs>
          <w:tab w:leader="none" w:pos="73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surplus exists, out of net profits for the fiscal (ii) if no surplus exists, out of net profits for the fiscal year in which the dividend is declared and/or the year in which the dividend is declared and/or the preceding fiscal year (provided that the amount of preceding fiscal year (provided that the amount of capital of the corporation is not less than the aggregate capital of the corporation is not less than the aggregate amount of the capital represented by the issued and amount of the capital represented by the issued and outstanding stock of all classes having a preference outstanding stock of all classes having a preference upon the distribution of assets). The DGCL defines upon the distribution of assets). The DGCL defines surplus as the excess, at any time, of the net assets of a surplus as the excess, at any time, of the net assets of a corporation over its stated capital. In addition, the corporation over its stated capital. In addition, the DGCL provides that a corporation may redeem or DGCL provides that a corporation may redeem or repurchase its shares only when the capital of the repurchase its shares only when the capital of the corporation is not impaired and only if such corporation is not impaired and only if such redemption redemption or repurchase would not cause any or repurchase would not cause any impairment of the</w:t>
      </w:r>
    </w:p>
    <w:p>
      <w:pPr>
        <w:spacing w:after="0" w:line="5"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impairment of the capital of a corporation.</w:t>
      </w:r>
      <w:r>
        <w:rPr>
          <w:sz w:val="20"/>
          <w:szCs w:val="20"/>
          <w:color w:val="auto"/>
        </w:rPr>
        <w:tab/>
      </w:r>
      <w:r>
        <w:rPr>
          <w:rFonts w:ascii="Times New Roman" w:cs="Times New Roman" w:eastAsia="Times New Roman" w:hAnsi="Times New Roman"/>
          <w:sz w:val="17"/>
          <w:szCs w:val="17"/>
          <w:color w:val="auto"/>
        </w:rPr>
        <w:t>capital of a corporation.</w:t>
      </w:r>
    </w:p>
    <w:p>
      <w:pPr>
        <w:spacing w:after="0" w:line="126" w:lineRule="exact"/>
        <w:rPr>
          <w:sz w:val="20"/>
          <w:szCs w:val="20"/>
          <w:color w:val="auto"/>
        </w:rPr>
      </w:pPr>
    </w:p>
    <w:p>
      <w:pPr>
        <w:ind w:left="460" w:right="479"/>
        <w:spacing w:after="0" w:line="257" w:lineRule="auto"/>
        <w:rPr>
          <w:sz w:val="20"/>
          <w:szCs w:val="20"/>
          <w:color w:val="auto"/>
        </w:rPr>
      </w:pPr>
      <w:r>
        <w:rPr>
          <w:rFonts w:ascii="Times New Roman" w:cs="Times New Roman" w:eastAsia="Times New Roman" w:hAnsi="Times New Roman"/>
          <w:sz w:val="18"/>
          <w:szCs w:val="18"/>
          <w:color w:val="auto"/>
        </w:rPr>
        <w:t>The Current Charter provides that, subject to The Proposed Charter provides dividends may be applicable law and the rights, if any, of outstanding declared only when and as declared by the board of shares of preferred stock, the holders of FS directors of the Combined Entity or any authorized Development common stock will be entitled to receive committee thereof out of any assets of Combined Entity dividends (payable in cash, property, or capital stock legally available for dividends. of FS Development) when, as, and if declared by the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from time to time out of any assets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FS Development legally available for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Subject to applicable law and the rights, if any, of the Subject to applicable law and the preferential or other holders of outstanding shares of preferred stock, the rights of any holders of preferred stock then Current Charter provides that following the payment outstanding, the Proposed Charter provides that upon or provision for payment of the debts and other the voluntary or involuntary liquidation, dissolution or liabilities of FS Development in the event of an winding up of the Combined Entity, the net assets of the voluntary or involuntary liquidation, dissolution, or Combined Entity shall be distributed pro rata to the winding up of FS Development, the holders of FS holders of Combined Entity common stock. Development common stock shall be entitled to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receive all the remaining assets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available for distribution to its stockholders, ratably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proportion to the number of shares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held by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Supermajority Voting Provisions</w:t>
      </w:r>
    </w:p>
    <w:p>
      <w:pPr>
        <w:spacing w:after="0" w:line="202" w:lineRule="exact"/>
        <w:rPr>
          <w:sz w:val="20"/>
          <w:szCs w:val="20"/>
          <w:color w:val="auto"/>
        </w:rPr>
      </w:pPr>
    </w:p>
    <w:p>
      <w:pPr>
        <w:jc w:val="both"/>
        <w:ind w:left="460" w:right="459"/>
        <w:spacing w:after="0" w:line="248" w:lineRule="auto"/>
        <w:rPr>
          <w:sz w:val="20"/>
          <w:szCs w:val="20"/>
          <w:color w:val="auto"/>
        </w:rPr>
      </w:pPr>
      <w:r>
        <w:rPr>
          <w:rFonts w:ascii="Times New Roman" w:cs="Times New Roman" w:eastAsia="Times New Roman" w:hAnsi="Times New Roman"/>
          <w:sz w:val="18"/>
          <w:szCs w:val="18"/>
          <w:color w:val="auto"/>
        </w:rPr>
        <w:t>The blank shell company provisions the Current The affirmative vote of two-thirds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of the voting Charter (Article XI) and Article VIII regarding power of the shares of capital stock of Combined Entity indemnification require the affirmative vote of a that would then be entitled to vote in the election of supermajority of the voting power of all outstanding directors at an annual meeting of stockholders will be</w:t>
      </w:r>
    </w:p>
    <w:p>
      <w:pPr>
        <w:spacing w:after="0" w:line="3"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shares of capital stock of FS Development.</w:t>
      </w:r>
      <w:r>
        <w:rPr>
          <w:sz w:val="20"/>
          <w:szCs w:val="20"/>
          <w:color w:val="auto"/>
        </w:rPr>
        <w:tab/>
      </w:r>
      <w:r>
        <w:rPr>
          <w:rFonts w:ascii="Times New Roman" w:cs="Times New Roman" w:eastAsia="Times New Roman" w:hAnsi="Times New Roman"/>
          <w:sz w:val="18"/>
          <w:szCs w:val="18"/>
          <w:color w:val="auto"/>
        </w:rPr>
        <w:t>required in order for the stockholders of Combined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Entity  to  amend  the  Proposed  Charter  in  certain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circumstances, including provides in the Charter related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amending  the  Amended  By-laws,  increasing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decreasing the number of directors, filling vacancies 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board of directors, removing a director from office,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calling a special meeting of stockholders.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8" w:name="page219"/>
    <w:bookmarkEnd w:id="2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3"/>
          </w:tcPr>
          <w:p>
            <w:pPr>
              <w:spacing w:after="0"/>
              <w:rPr>
                <w:sz w:val="7"/>
                <w:szCs w:val="7"/>
                <w:color w:val="auto"/>
              </w:rPr>
            </w:pPr>
          </w:p>
        </w:tc>
      </w:tr>
      <w:tr>
        <w:trPr>
          <w:trHeight w:val="250"/>
        </w:trPr>
        <w:tc>
          <w:tcPr>
            <w:tcW w:w="810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Anti-Takeover Provisions and Other Stockholder Protections</w:t>
            </w:r>
          </w:p>
        </w:tc>
      </w:tr>
      <w:tr>
        <w:trPr>
          <w:trHeight w:val="38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protections  in  the  Current</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include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protections included in the Proposed Charter include a</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staggered board, a prohibition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stockholder action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board, a prohibition on stockholder action by</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 other than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relates to Class B</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written consent and blank check preferred stock. The</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and blank check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 of the DGCL.</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of  the  DGCL  prohibit  a  Delaware</w:t>
      </w:r>
    </w:p>
    <w:p>
      <w:pPr>
        <w:spacing w:after="0" w:line="27" w:lineRule="exact"/>
        <w:rPr>
          <w:sz w:val="20"/>
          <w:szCs w:val="20"/>
          <w:color w:val="auto"/>
        </w:rPr>
      </w:pPr>
    </w:p>
    <w:p>
      <w:pPr>
        <w:ind w:left="460"/>
        <w:spacing w:after="0"/>
        <w:tabs>
          <w:tab w:leader="none" w:pos="1500" w:val="left"/>
          <w:tab w:leader="none" w:pos="2100" w:val="left"/>
          <w:tab w:leader="none" w:pos="3000" w:val="left"/>
          <w:tab w:leader="none" w:pos="3380" w:val="left"/>
          <w:tab w:leader="none" w:pos="3680" w:val="left"/>
        </w:tabs>
        <w:rPr>
          <w:sz w:val="20"/>
          <w:szCs w:val="20"/>
          <w:color w:val="auto"/>
        </w:rPr>
      </w:pPr>
      <w:r>
        <w:rPr>
          <w:rFonts w:ascii="Times New Roman" w:cs="Times New Roman" w:eastAsia="Times New Roman" w:hAnsi="Times New Roman"/>
          <w:sz w:val="18"/>
          <w:szCs w:val="18"/>
          <w:color w:val="auto"/>
        </w:rPr>
        <w:t>corporation</w:t>
        <w:tab/>
        <w:t>from</w:t>
        <w:tab/>
        <w:t>engaging</w:t>
        <w:tab/>
        <w:t>in</w:t>
        <w:tab/>
        <w:t>a</w:t>
        <w:tab/>
        <w:t>“business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combination” with an “interested stockholder” (i.e.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owning 15% or more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voting stock) for three years following the time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“interested stockholder” becomes such, subject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exceptions.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the Combined Entity.</w:t>
            </w:r>
          </w:p>
        </w:tc>
        <w:tc>
          <w:tcPr>
            <w:tcW w:w="0" w:type="dxa"/>
            <w:vAlign w:val="bottom"/>
          </w:tcPr>
          <w:p>
            <w:pPr>
              <w:spacing w:after="0"/>
              <w:rPr>
                <w:sz w:val="1"/>
                <w:szCs w:val="1"/>
                <w:color w:val="auto"/>
              </w:rPr>
            </w:pPr>
          </w:p>
        </w:tc>
      </w:tr>
      <w:tr>
        <w:trPr>
          <w:trHeight w:val="405"/>
        </w:trPr>
        <w:tc>
          <w:tcPr>
            <w:tcW w:w="810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Fiduciary Duties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any committee designated by the board of 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committee designated by the board of directors 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similarly entitled to rely in good faith upon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similarly entitled to rely in good faith upon the records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records of the corporation and upon such information,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corporation and upon such information, opinions,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opinions,  reports  and  statements  presented  to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 and statements presented to the corporation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by   corporate   officers,   employees,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officers, employees, committees of the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committees of the board of directors or other persons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or other persons as to matters such member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to matters such member reasonably believes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reasonably believes are within such other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within  such  other  person’s  professional  or  expert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or expert competence, provided that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competence, provided that such other person has been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person has been selected with reasonable care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selected with reasonable care by or on behalf of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on  behalf  of  the  corporation.  Such  appropriate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Such appropriate reliance on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records  and  other  information  protects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protects  directors  from  liability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from liability related to decisions made based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related to decisions made based on such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such records and other information.</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exercise</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exercise  all  such  powers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such authority and powers of Combined Entity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do all such lawful acts and things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all such lawful acts and things as are not by statute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not by statute or the Current Charter or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Proposed Charter or Amended By-laws directed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directed or required to be exercised or done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required to be exercised or done solely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solely by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DGCL, any stockholder or beneficial owner Under the DGCL, any stockholder or beneficial owner has the right, upon written demand under oath stating has the right, upon written demand under oath stating the proper purpose thereof, either in person or by the proper purpose thereof, either in person or by attorney or other agent, to inspect and make copies attorney or other agent, to inspect and make copies and and extracts from the corporation’s stock ledger, list of extracts from the corporation’s stock ledger, list of stockholders and its other books and records for a stockholders and its other books and records for a proper purpose during the usual hours for business. proper purpose during the usual hours for business. The Current Charter permits FS Development’s books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records to be kept within or outside Delaware.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9" w:name="page220"/>
    <w:bookmarkEnd w:id="2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Current Charter generally designates the Court of The Amended By-laws generally designates Court of Chancery of the State of Delaware as the sole and Chancery of the State of Delaware as the sole and exclusive forum for any stockholder (including a exclusive forum for: (i) any derivative action or beneficial owner) to: (i) any derivative action or proceeding brought on behalf of Combined Entity, proceeding brought on behalf of FS Development, (ii) any action asserting a claim of breach of a fiduciary</w:t>
      </w:r>
    </w:p>
    <w:p>
      <w:pPr>
        <w:spacing w:after="0" w:line="3" w:lineRule="exact"/>
        <w:rPr>
          <w:sz w:val="20"/>
          <w:szCs w:val="20"/>
          <w:color w:val="auto"/>
        </w:rPr>
      </w:pPr>
    </w:p>
    <w:p>
      <w:pPr>
        <w:jc w:val="both"/>
        <w:ind w:left="460" w:right="459" w:hanging="6"/>
        <w:spacing w:after="0" w:line="251" w:lineRule="auto"/>
        <w:tabs>
          <w:tab w:leader="none" w:pos="79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owed by, or any other wrongdoing by, any director fiduciary duty owed by any director, officer, or other officer, employee, or stockholder of Combined Entity, employee of FS Development to FS Development or (iii) any action asserting a claim against Combined FS Development’s stockholders, (iii) any action Entity arising pursuant to any provision of the DCGL, asserting a claim against FS Development, its the Combined Entity Chart, or Combined Entity’s By-directors, officers, or employees arising pursuant to laws, (iv) any action to interpret, apply, enforce, or any provision of the DGCL or the Current Charter or determine the validity of any provisions in the Proposed Current By-laws, (iv) any action asserting a claim Charter or Amended By-laws, or (v) any action against FS Development, its directors, officers, or asserting a claim governed by the internal affairs employees governed by the internal affairs doctrine, doctrine and if brought outside of Delaware in the name and, if brought outside of Delaware, the stockholder of any stockholder, the stockholder bringing the suit bringing the suit will be deemed to have consented to will be deemed to have consented to (a) the personal service of process on such stockholder’s counsel, jurisdiction of the state and federal courts within subject to certain exceptions. In addition, Delaware and (b) service of process on such notwithstanding anything to the contrary in the stockholder’s counsel, subject to certain exceptions. In foregoing, the federal district courts of the addition, notwithstanding anything to the contrary in United States are the exclusive forum for the the foregoing, the federal district courts of the District resolution of any action, suit or proceeding asserting a of Massachusetts are the exclusive forum for the cause of action under the Securities Act. The exclusive resolution of any action, suit or proceeding asserting a forum provision does not apply to suits brought to cause of action under the Securities Act. The exclusive enforce any liability or duty created by the Exchange forum provision does not apply to suits brought to</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Act.</w:t>
            </w: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enforce any liability or duty created by the Exchange</w:t>
            </w:r>
          </w:p>
        </w:tc>
      </w:tr>
      <w:tr>
        <w:trPr>
          <w:trHeight w:val="234"/>
        </w:trPr>
        <w:tc>
          <w:tcPr>
            <w:tcW w:w="2100" w:type="dxa"/>
            <w:vAlign w:val="bottom"/>
          </w:tcPr>
          <w:p>
            <w:pPr>
              <w:spacing w:after="0"/>
              <w:rPr>
                <w:sz w:val="20"/>
                <w:szCs w:val="20"/>
                <w:color w:val="auto"/>
              </w:rPr>
            </w:pP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Act.</w:t>
            </w:r>
          </w:p>
        </w:tc>
      </w:tr>
      <w:tr>
        <w:trPr>
          <w:trHeight w:val="432"/>
        </w:trPr>
        <w:tc>
          <w:tcPr>
            <w:tcW w:w="2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211</w:t>
            </w:r>
          </w:p>
        </w:tc>
      </w:tr>
    </w:tbl>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TICKER SYMBOL, MARKET PRICE AND DIVIDEND POLICY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Ticker Symbol and Market Price</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Class A Common Stock is currently listed on the Nasdaq Capital Market under the symbol “FSDC.” The closing price of the FS Development Class A Common Stock on October 14, 2020, the last trading day before announcement of the execution of the Merger Agreement, was $11.14. As of January 15, 2021, the record date for the special meeting, the closing price for the FS Development Class A Common Stock, was $12.79.</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shares of FS Development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actual beneficial ownership of FS Development Common Stock as of December 31, 2020 (the “</w:t>
      </w:r>
      <w:r>
        <w:rPr>
          <w:rFonts w:ascii="Times New Roman" w:cs="Times New Roman" w:eastAsia="Times New Roman" w:hAnsi="Times New Roman"/>
          <w:sz w:val="18"/>
          <w:szCs w:val="18"/>
          <w:b w:val="1"/>
          <w:bCs w:val="1"/>
          <w:color w:val="auto"/>
        </w:rPr>
        <w:t>Ownership Date</w:t>
      </w:r>
      <w:r>
        <w:rPr>
          <w:rFonts w:ascii="Times New Roman" w:cs="Times New Roman" w:eastAsia="Times New Roman" w:hAnsi="Times New Roman"/>
          <w:sz w:val="18"/>
          <w:szCs w:val="18"/>
          <w:color w:val="auto"/>
        </w:rPr>
        <w:t>”), which is prior to the Closing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116" w:lineRule="exact"/>
        <w:rPr>
          <w:sz w:val="20"/>
          <w:szCs w:val="20"/>
          <w:color w:val="auto"/>
        </w:rPr>
      </w:pPr>
    </w:p>
    <w:p>
      <w:pPr>
        <w:jc w:val="both"/>
        <w:ind w:left="1320" w:right="479" w:hanging="434"/>
        <w:spacing w:after="0" w:line="282" w:lineRule="auto"/>
        <w:tabs>
          <w:tab w:leader="none" w:pos="148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is expected to be, the beneficial owner of more than 5% of issued and outstanding shares of FS Development Common Stock or of the Combined Entity’s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 directors;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(or is expected to) become an executive officer or director of the Combined Entity following the Closing;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FS Development as a group pre-Business Combination and all executive officers and directors of the Combined Entity post-Business Combination.</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9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beneficial ownership of shares of FS Development Common Stock pre-Business Combination is based on 15,535,250 issued and outstanding shares of FS Development Common Stock as of December 31, 2020. The beneficial ownership of shares of FS Development Common Stock immediately following Closing is based on 42,918,589 shares (assuming no redemption) and 31,766,214 shares (assuming maximum redemption) to be outstanding (calculated as of the Record Date and subject to adjustment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xml:space="preserve">.”) and assumes (i) the issuance of up to 21,500,000 shares as Merger Consideration,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Gemini; Merger Consideration”</w:t>
      </w:r>
      <w:r>
        <w:rPr>
          <w:rFonts w:ascii="Times New Roman" w:cs="Times New Roman" w:eastAsia="Times New Roman" w:hAnsi="Times New Roman"/>
          <w:sz w:val="18"/>
          <w:szCs w:val="18"/>
          <w:color w:val="auto"/>
        </w:rPr>
        <w:t>, (ii) the issuance of 9,506,000 shares of Class A Common Stock in the PIPE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If the actual facts are different than these assumptions (which they are likely to be), the percentage ownership retained by FS Development’s existing stockholders in FS Development will be different.</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Unless otherwise indicated, FS Development believes that all persons named in the table have sole voting and investment power with respect to all FS Development Common Stock beneficially owned by them.</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2"/>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FS Development:</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Ryan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Dubin</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FS Development as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(7 Individuals</w:t>
            </w: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3,460,250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4,960,250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41"/>
        </w:trPr>
        <w:tc>
          <w:tcPr>
            <w:tcW w:w="2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2" w:name="page223"/>
    <w:bookmarkEnd w:id="2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1"/>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Combined Entity After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Business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Combination: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0"/>
                <w:szCs w:val="20"/>
                <w:color w:val="auto"/>
                <w:vertAlign w:val="superscript"/>
              </w:rPr>
              <w:t>(2)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207,613</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207,613</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r>
              <w:rPr>
                <w:rFonts w:ascii="Times New Roman" w:cs="Times New Roman" w:eastAsia="Times New Roman" w:hAnsi="Times New Roman"/>
                <w:sz w:val="20"/>
                <w:szCs w:val="20"/>
                <w:color w:val="auto"/>
                <w:vertAlign w:val="superscript"/>
              </w:rPr>
              <w:t>(3)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160,114</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160,114</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Combined Entity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(10 Individuals)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5,237,977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5,237,977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 Development Holdings, LLC</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Wellington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Co LLP</w:t>
            </w:r>
            <w:r>
              <w:rPr>
                <w:rFonts w:ascii="Times New Roman" w:cs="Times New Roman" w:eastAsia="Times New Roman" w:hAnsi="Times New Roman"/>
                <w:sz w:val="20"/>
                <w:szCs w:val="20"/>
                <w:color w:val="auto"/>
                <w:vertAlign w:val="superscript"/>
              </w:rPr>
              <w:t>(4)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629,300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Opaleye, L.P.</w:t>
            </w:r>
            <w:r>
              <w:rPr>
                <w:rFonts w:ascii="Times New Roman" w:cs="Times New Roman" w:eastAsia="Times New Roman" w:hAnsi="Times New Roman"/>
                <w:sz w:val="20"/>
                <w:szCs w:val="20"/>
                <w:color w:val="auto"/>
                <w:vertAlign w:val="superscript"/>
              </w:rPr>
              <w:t>(5)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668,400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668,400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668,400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Suvretta</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Management, LLC</w:t>
            </w:r>
            <w:r>
              <w:rPr>
                <w:rFonts w:ascii="Times New Roman" w:cs="Times New Roman" w:eastAsia="Times New Roman" w:hAnsi="Times New Roman"/>
                <w:sz w:val="20"/>
                <w:szCs w:val="20"/>
                <w:color w:val="auto"/>
                <w:vertAlign w:val="superscript"/>
              </w:rPr>
              <w:t>(6)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899,457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8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Management LP</w:t>
            </w:r>
            <w:r>
              <w:rPr>
                <w:rFonts w:ascii="Times New Roman" w:cs="Times New Roman" w:eastAsia="Times New Roman" w:hAnsi="Times New Roman"/>
                <w:sz w:val="20"/>
                <w:szCs w:val="20"/>
                <w:color w:val="auto"/>
                <w:vertAlign w:val="superscript"/>
              </w:rPr>
              <w:t>(7)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Orbimed Private Investments VI,</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line="275"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0"/>
                <w:szCs w:val="10"/>
                <w:color w:val="auto"/>
              </w:rPr>
              <w:t>(8)</w:t>
            </w: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5,824,345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5,824,345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Atlas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(9)</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5,252,688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5,252,688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(10)</w:t>
            </w: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4,834,539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4,834,539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0"/>
                <w:szCs w:val="20"/>
                <w:color w:val="auto"/>
                <w:vertAlign w:val="superscript"/>
              </w:rPr>
              <w:t>(11)</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jc w:val="both"/>
        <w:ind w:left="880" w:right="459" w:hanging="426"/>
        <w:spacing w:after="0" w:line="267" w:lineRule="auto"/>
        <w:tabs>
          <w:tab w:leader="none" w:pos="95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Holdings, LLC is the record holder of 1,870,250 shares reported herein. Foresite Capital Fund V, L.P. (“FCM V LP”) is the record holder of 1,500,000 shares reported herein. Foresite Capital Management V, LLC (“FCM V”), is the general partner of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pacing w:after="0" w:line="18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December 31, 2020.</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961"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owned and shares of Common Stock issuable upon options exercisable upon 60 days of December 31, 2020.</w:t>
      </w:r>
    </w:p>
    <w:p>
      <w:pPr>
        <w:jc w:val="both"/>
        <w:ind w:left="880" w:right="459" w:hanging="426"/>
        <w:spacing w:after="0" w:line="272" w:lineRule="auto"/>
        <w:tabs>
          <w:tab w:leader="none" w:pos="928"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November 2, 2020. Wellington Management Company LLP, a registered investment company under the Investment Company Act of 1940, as amended, is the investment advisor to certain funds associated with Wellington,</w:t>
      </w:r>
    </w:p>
    <w:p>
      <w:pPr>
        <w:sectPr>
          <w:pgSz w:w="11900" w:h="16838" w:orient="portrait"/>
          <w:cols w:equalWidth="0" w:num="1">
            <w:col w:w="9019"/>
          </w:cols>
          <w:pgMar w:left="1440" w:top="270" w:right="1440" w:bottom="636"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36" w:gutter="0" w:footer="0" w:header="0"/>
          <w:type w:val="continuous"/>
        </w:sectPr>
      </w:pPr>
    </w:p>
    <w:bookmarkStart w:id="223" w:name="page224"/>
    <w:bookmarkEnd w:id="2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spacing w:after="0" w:line="262" w:lineRule="auto"/>
        <w:rPr>
          <w:sz w:val="20"/>
          <w:szCs w:val="20"/>
          <w:color w:val="auto"/>
        </w:rPr>
      </w:pPr>
      <w:r>
        <w:rPr>
          <w:rFonts w:ascii="Times New Roman" w:cs="Times New Roman" w:eastAsia="Times New Roman" w:hAnsi="Times New Roman"/>
          <w:sz w:val="16"/>
          <w:szCs w:val="16"/>
          <w:color w:val="auto"/>
        </w:rPr>
        <w:t>and Wellington Alternative Investments LLC is its general partner. Wellington Management Investment, Inc. is the managing member of Wellington Alternative Investments LLC. Wellington Management Company LLP is an indirect subsidiary of Wellington Management Group LLP. Wellington Management Group LLP and Wellington Management Company LLP may be deemed beneficial owners with shared voting and investment power over such shares.</w:t>
      </w:r>
    </w:p>
    <w:p>
      <w:pPr>
        <w:spacing w:after="0" w:line="1" w:lineRule="exact"/>
        <w:rPr>
          <w:sz w:val="20"/>
          <w:szCs w:val="20"/>
          <w:color w:val="auto"/>
        </w:rPr>
      </w:pPr>
    </w:p>
    <w:p>
      <w:pPr>
        <w:jc w:val="both"/>
        <w:ind w:left="880" w:right="459" w:hanging="426"/>
        <w:spacing w:after="0" w:line="264" w:lineRule="auto"/>
        <w:tabs>
          <w:tab w:leader="none" w:pos="92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January 8, 2021. Opaleye Management Inc. is the investment management with respect to the shares held by Opaleye, L.P. Opaleye Management Inc. also serves as a portfolio manager for a separate managed account and may be deemed to indirectly beneficially own securities held by such separate managed account. Opaleye Management Inc. disclaims beneficial ownership of the shares held by the separate managed account. Mr. James Silverman is the President of Opaleye Management Inc.</w:t>
      </w:r>
    </w:p>
    <w:p>
      <w:pPr>
        <w:jc w:val="both"/>
        <w:ind w:left="880" w:right="479" w:hanging="426"/>
        <w:spacing w:after="0" w:line="264" w:lineRule="auto"/>
        <w:tabs>
          <w:tab w:leader="none" w:pos="92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October 26, 2020. Suvretta Capital Management, LLC has shared voting and dispositive power over the shares held by funds associated with it and Aaron Cowen is a control person of Suvretta Capital Management, LLC and as such may be deemed to beneficially own these shares with shared voting and investment power over such shares.</w:t>
      </w:r>
    </w:p>
    <w:p>
      <w:pPr>
        <w:jc w:val="both"/>
        <w:ind w:left="880" w:right="459" w:hanging="426"/>
        <w:spacing w:after="0" w:line="264" w:lineRule="auto"/>
        <w:tabs>
          <w:tab w:leader="none" w:pos="92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August 24, 2020. Adage Captial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w:t>
      </w:r>
    </w:p>
    <w:p>
      <w:pPr>
        <w:jc w:val="both"/>
        <w:ind w:left="880" w:right="459" w:hanging="426"/>
        <w:spacing w:after="0" w:line="264" w:lineRule="auto"/>
        <w:tabs>
          <w:tab w:leader="none" w:pos="1007"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5,314,345 shares issued as Merger Consideration and 510,000 shares issued in the PIPE Investment. OrbiMed Capital GP VI LLC, or GP VI, is the general partner of OrbiMed Private Investments VI, LP, or OrbiMed VI. OrbiMed Advisors LLC, or OrbiMed Advisors, is the managing member of GP VI. OrbiMed Advisors exercises investment and voting power through a management committee comprised of Carl Gordon, Ph.D., C.F.A., Sven H. Borho and Jonathan T. Silverstein. By virtue of such relationships, GP VI, OrbiMed Advisors and Dr. Gordon may be deemed to have voting and investment power with respect to the shares held by OrbiMed VI and as a result may be deemed to have beneficial ownership of these shares. Each of GP VI, OrbiMed Advisors, Messrs. Borho and Silverstein and Dr. Gordon disclaims beneficial ownership of the shares held by OrbiMed VI, except to the extent of its or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91"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4,742,688 shares issued as Merger Consideration and 510,000 shares issued in the PIPE Investment. Atlas Venture Associates XI, L.P. is the general partner of Atlas Fund XI, and Atlas Venture Associates XI, LLC is the general partner of Atlas Venture Associates XI, L.P. Bruce Booth, Jean- Francois Formela, David Grayzel, Jason Rhodes and Kevin Bitterman are the members of Atlas Venture Associates XI, LLC and collectively make investment decisions on behalf of Atlas Venture Fund XI, LLC. Each of Atlas Fund XI, Atlas Venture Associates XI, L.P., and Atlas Venture Associates XI, LLC may be deemed to beneficially own the shares held by Atlas Fund XI. Atlas Venture Associates Opportunity I, L.P. is the general partner of Atlas Fund I, and Atlas Venture Associates Opportunity I, LLC, or AVAO, LLC, is the general partner of Atlas Venture Associates Opportunity I, L.P. Bruce Booth, Jean-Francois Formela, David Grayzel, Jason Rhodes and Kevin Bitterman are the members of AVAO, LLC and collectively make investment decisions on behalf of AVAO, LLC. Each of Atlas Fund I, Atlas Venture Associates Opportunity I, L.P. and AVAO, LLC may be deemed to beneficially own the shares held by Atlas Fund I. Jason Rhodes is also a member of our board of directors. Mr. Rhodes disclaims beneficial ownership of the shares listed, except to the extent of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91"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4,434,539 shares issued as Merger Consideration and 400,000 shares issued in the PIPE Investment.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w:t>
      </w:r>
    </w:p>
    <w:p>
      <w:pPr>
        <w:jc w:val="both"/>
        <w:ind w:left="880" w:right="459" w:hanging="426"/>
        <w:spacing w:after="0" w:line="265" w:lineRule="auto"/>
        <w:tabs>
          <w:tab w:leader="none" w:pos="982"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4" w:name="page225"/>
    <w:bookmarkEnd w:id="2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FS Development IPO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currently utilize office space at 600 Montgomery Street, Suite 4500, San Francisco, California 94111 from the Sponsor. Following the closing of the FS Development IPO, we pay the Sponsor $10,000 per month for office space, secretarial and administrative services provided to members of our management team pursuant to the terms of an administrative services agreement between us and the Sponsor. Upon completion of our initial business combination or our liquidation, we will cease paying these monthly fees.</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by the Company to the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Sponsor loaned us $200,000 to be used for a portion of the expenses of the FS Development IPO. These loans were non-interest bearing, unsecured and were due at the earlier of December 31, 2020 or the closing of the FS Development IPO. These loans were fully repaid on August 14, 2020.</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 As of October 28, 2020, there are no loans outstanding. Following the Closing, our Sponsor would be entitled to the repayment of any working capital loan and advances that have been made to FS Development and remain outstanding.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as part of the PIPE Investment, an affiliate of our Sponsor has entered into a subscription agreement to purchase 1,500,000 shares of our Class A Common Stock at a purchase price of $10 per share in a private placement that would occur concurrently with the consummation of our initial business combination. The affiliate of our Sponsor has assigned to the Sponsor its obligation to purchase its shares under the subscription agreement so that the Sponsor will purchase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funds from such private placement would be used as part of the consideration to the sellers in our initial business combination, and any excess funds from such private placement would be used for working capital in the post-transaction company. Consummation of the subscriptions are conditioned upon, among other things, closing conditions and the Closing</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Initial Stockholders and certain other stockholders will enter into the Registration Rights Agreement with FS Development and Gemini that will replace the existing registration rights agreement. Pursuant to such agreement,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The presence of these additional shares of common stock trading in the public market may have an adverse effect on the market price of the Combined Entity’s securities.</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Initial Stockholders entered into support agreements with FS Development, Gemini and Sponsor. Under such support agreements, each such stockholder agreed to vote, at any meeting of the stockholders of the Company, and in any action by written consent of the stockholders of the Company, all of such stockholder’s Class B Common Stock of FS Development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 Development held by such stockholder or taking any action that would prevent or disable such stockholder from performing its obligations under the support agreement.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the Sponsor and certain other stockholders will enter into a Voting Agreement with the Combined Entity. Please see the section titled “</w:t>
      </w:r>
      <w:r>
        <w:rPr>
          <w:rFonts w:ascii="Times New Roman" w:cs="Times New Roman" w:eastAsia="Times New Roman" w:hAnsi="Times New Roman"/>
          <w:sz w:val="18"/>
          <w:szCs w:val="18"/>
          <w:i w:val="1"/>
          <w:iCs w:val="1"/>
          <w:color w:val="auto"/>
        </w:rPr>
        <w:t>Ancillary Agreements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Gemini</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transactions since September 30, 2017 to which Gemini has been a participant, in which:</w:t>
      </w:r>
    </w:p>
    <w:p>
      <w:pPr>
        <w:spacing w:after="0" w:line="81" w:lineRule="exact"/>
        <w:rPr>
          <w:sz w:val="20"/>
          <w:szCs w:val="20"/>
          <w:color w:val="auto"/>
        </w:rPr>
      </w:pPr>
    </w:p>
    <w:p>
      <w:pPr>
        <w:ind w:left="1300" w:hanging="41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Gemini” or that were approved by its compensation committee.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6" w:name="page227"/>
    <w:bookmarkEnd w:id="2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A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30, 2018, Gemini held the second closing of its Series A Preferred Stock financing, pursuant to its Series A Preferred Stock Purchase Agreement, as amended (the “Series A Purchase Agreement”), at which Gemini issued 9,243,696 shares of its Series A Preferred Stock for a per share price of $1.19, for aggregate gross proceeds in the amount of $11.0 million. On November 2, 2018, Gemini held the third closing of its Series A Preferred Stock financing, pursuant to the Series A Purchase Agreement, at which Gemini issued 16,386,555 shares of its Series A Preferred Stock for a per share price of $1.19, for aggregate gross proceeds in the amount of $19.5 million. The following holders of more than 5% of Gemini’s capital stock participated in the second closing and third closing of the Series A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Second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Price – Third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Second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Third Closing</w:t>
            </w:r>
          </w:p>
        </w:tc>
        <w:tc>
          <w:tcPr>
            <w:tcW w:w="12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927"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B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26, 2019, Gemini held the initial closing of its Series B Preferred Stock financing, pursuant to its Series B Preferred Stock Purchase Agreement (the “Series B Purchase Agreement”), at which Gemini issued 9,916,375 shares of its Series B Preferred Stock for a per share price of $1.3513, for aggregate gross proceeds in the amount of $13.4 million. On January 21, 2020, Gemini held the second closing of its Series B Preferred Stock financing, pursuant to the Series B Purchase Agreement, at which Gemini issued 14,874,563 shares of its Series B Preferred Stock for a per share price of $1.3513, for aggregate gross proceeds in the amount of $20.1 million. The following holders of more than 5% of Gemini’s capital stock participated in the initial closing and second closing of the Series B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Initial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Price – Second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Initial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Second Closing</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3,899,999.09</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2,072,078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2,799,999.00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3,108,118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4,199,999.85</w:t>
            </w:r>
          </w:p>
        </w:tc>
      </w:tr>
      <w:tr>
        <w:trPr>
          <w:trHeight w:val="29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954"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initially purchased by Wu Capital LLC and subsequently transferred to Wu Capital Investment LLC.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 Financing</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August 21, 2020, Gemini issued convertible promissory notes for aggregate gross proceeds of $14,000,000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at a closing held pursuant to a convertible note purchase agreement among Gemini and certain investors. The following holders of more than 5% of Gemini’s capital stock participated in note financing. The Notes accrue simple interest at 8% per annum and mature on February 21, 2021. Prior to the Closing, all principal and accrued interest under the Notes shall convert into shares of Gemini’s Series B Preferred Stock.</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Note</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60" w:type="dxa"/>
            <w:vAlign w:val="bottom"/>
          </w:tcPr>
          <w:p>
            <w:pPr>
              <w:spacing w:after="0"/>
              <w:rPr>
                <w:sz w:val="18"/>
                <w:szCs w:val="18"/>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Opportunity Fund I, L.P.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Investors Rights Agreement (the “</w:t>
      </w:r>
      <w:r>
        <w:rPr>
          <w:rFonts w:ascii="Times New Roman" w:cs="Times New Roman" w:eastAsia="Times New Roman" w:hAnsi="Times New Roman"/>
          <w:sz w:val="18"/>
          <w:szCs w:val="18"/>
          <w:b w:val="1"/>
          <w:bCs w:val="1"/>
          <w:color w:val="auto"/>
        </w:rPr>
        <w:t>Investors Rights Agreement</w:t>
      </w:r>
      <w:r>
        <w:rPr>
          <w:rFonts w:ascii="Times New Roman" w:cs="Times New Roman" w:eastAsia="Times New Roman" w:hAnsi="Times New Roman"/>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Gemini Support Agreements, Gemini and its investors have agreed to terminate the Investors Rights Agreement at the Closing.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Voting Agreement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with certain of its investors, including its 5% stockholders. Pursuant to the Investors Agreement, certain investors were given the right to designate certain members of Gemini’s board of directors. Pursuant to the Merger Agreement and the Gemini Support Agreements, Gemini and its investors have agreed to terminate the Voting Agreement at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Services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17, 2020, Gemini engaged Danforth Advisors, an accounting and finance advisory company managed by Gregg Beloff, Gemini’s Interim Chief Financial Officer. Through September 30, 2020, Gemini has paid $44,367.50 to Danforth Advisors in exchange for professional services related to accounting, finance and other administrative functions.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for Approval of Related Party Transactions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Person Transactions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Upon the Closing, the Combined Entity will adopt a written related person transaction policy that sets forth the following policies and procedures for the review and approval or ratification of related person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Combined Entity or any of its subsidiaries was, is or will be a participant, the amount of which involved exceeds $120,000, and in which any related person had, has or will have a direct or indirect material interest. A “Related Person” means:</w:t>
      </w:r>
    </w:p>
    <w:p>
      <w:pPr>
        <w:spacing w:after="0" w:line="108" w:lineRule="exact"/>
        <w:rPr>
          <w:sz w:val="20"/>
          <w:szCs w:val="20"/>
          <w:color w:val="auto"/>
        </w:rPr>
      </w:pPr>
    </w:p>
    <w:p>
      <w:pPr>
        <w:ind w:left="1320" w:right="479" w:hanging="434"/>
        <w:spacing w:after="0" w:line="282" w:lineRule="auto"/>
        <w:tabs>
          <w:tab w:leader="none" w:pos="147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Combined Entity’s officers or one of Combined Entity’s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Combined Entity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audit committee of the Combined Entity’s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the Combined Entity than terms generally available in a transaction with an unaffiliated third-party under the same or similar circumstances and the extent of the Related Person’s interest in the related person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anticipate that the 2021 annual meeting of stockholders will be held no later than September 30, 2021. For any proposal to be considered for inclusion in our proxy statement and form of proxy for submission to the stockholders at our 2021 annual meeting of stockholders, it must be submitted in writing and comply with the requirements of Rule 14a-8 of the Exchange Act and the Current By-laws. Assuming the meeting is held on or about September 30, 2021, such proposals must be received by the Combined Entity at its offices at c/o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within a reasonable time before the Combined Entity begins to print and send its proxy materials for the meeting.</w:t>
      </w:r>
    </w:p>
    <w:p>
      <w:pPr>
        <w:spacing w:after="0" w:line="121" w:lineRule="exact"/>
        <w:rPr>
          <w:sz w:val="20"/>
          <w:szCs w:val="20"/>
          <w:color w:val="auto"/>
        </w:rPr>
      </w:pPr>
    </w:p>
    <w:p>
      <w:pPr>
        <w:jc w:val="both"/>
        <w:ind w:left="460" w:right="459"/>
        <w:spacing w:after="0" w:line="244" w:lineRule="auto"/>
        <w:rPr>
          <w:sz w:val="20"/>
          <w:szCs w:val="20"/>
          <w:color w:val="auto"/>
        </w:rPr>
      </w:pPr>
      <w:r>
        <w:rPr>
          <w:rFonts w:ascii="Times New Roman" w:cs="Times New Roman" w:eastAsia="Times New Roman" w:hAnsi="Times New Roman"/>
          <w:sz w:val="18"/>
          <w:szCs w:val="18"/>
          <w:color w:val="auto"/>
        </w:rPr>
        <w:t>In addition, the Amended By-laws, which will be effective upon the Closing, provide notice procedures for stockholders to propose business (other than director nominations) to be considered by stockholders at a meeting. To be timely, a stockholder’s notice must be received by the Secretary at the principal executive offices of the Combined Entity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and no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tenth day following the day on which public announcement of the date such meeting is first made. Thus, for our 2021 annual meeting of stockholders, notice of a proposal must be delivered to our Secretary no later than July 2, 2021 and no earlier than June 2, 2021. The Chairperson of the Combined Entity’s board of directors may refuse to acknowledge the introduction of any stockholder proposal not made in compliance with the foregoing procedures.</w:t>
      </w:r>
    </w:p>
    <w:p>
      <w:pPr>
        <w:spacing w:after="0" w:line="11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Further, the Amended By-laws, which will be effective upon the Closing, provide notice procedures for stockholders to nominate a person as a director to be considered by stockholders at a meeting. To be timely, a stockholder’s notice must be received by the Secretary at the principal executive offices of the Combined Entity</w:t>
      </w:r>
    </w:p>
    <w:p>
      <w:pPr>
        <w:spacing w:after="0" w:line="1" w:lineRule="exact"/>
        <w:rPr>
          <w:sz w:val="20"/>
          <w:szCs w:val="20"/>
          <w:color w:val="auto"/>
        </w:rPr>
      </w:pPr>
    </w:p>
    <w:p>
      <w:pPr>
        <w:jc w:val="both"/>
        <w:ind w:left="460" w:right="459" w:hanging="6"/>
        <w:spacing w:after="0"/>
        <w:tabs>
          <w:tab w:leader="none" w:pos="7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tenth day following the day on which public announcement of the date of such meeting was first made. Thus, for our 2021 annual meeting of stockholders, notice of a nomination must be delivered to our Secretary no later than July 2, 2021 and no earlier than June 2, 2021. The Chairperson of the Combined Entity’s board of directors may refuse to acknowledge the introduction of any stockholder nomination not made in compliance with the foregoing procedures.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Board, any committee chairperson or the non-management directors as a group by writing to the board or committee chairperson in care FS Development, 600 Montgomery Street, Suite 4500, San Francisco, California 94111. Following the Business Combination, such communications should be sent to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Each communication will be forwarded, depending on the subject matter, to the board of directors, the appropriate committee chairperson or all non-management directors.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validity of the shares of Class A Common Stock to be issued in connection with the Business Combination will be passed upon by White &amp; Case LLP, New York, New York.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FS Development as of June 30, 2020, and for the period from June 25, 2020 (inception) through June 30, 2020 appearing in this proxy statement/prospectus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Gemini Therapeutics, Inc. as of December 31, 2018 and December 31, 2019, and for the years then ended included in the Proxy Statement of FS Development Corp., which is referred to and made part of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rules of the SEC, FS Development and servicers that it employs to deliver communications to its stockholders are permitted to deliver to two or more stockholders sharing the same address a single copy of this proxy statement/prospectus. Upon written or oral request, FS Development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FS Development of their requests by calling or writing FS Development at its principal executive offices 600 Montgomery Street, Suite 4500, San Francisco, California 94111.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registrar and transfer agent for the shares of Common Stock is Continental Stock Transfer &amp; Trust Company. FS Development has agreed to indemnify Continental Stock Transfer &amp; Trust Company in its role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FS Development by telephone or in writing:</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FS Development’s proxy solicitation agent at the following address and telephone number: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658-9400Email: FSDC.info@investor.morrowsodali.com</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 one week prior to the Special Meeting in order to receive them before the Special Meeting. If you request any documents from FS Development, FS Development will mail them to you by first class mail, or another equally prompt means.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FS Development has been supplied by FS Development, and all such information relating to Gemini has been supplied by Gemini. Information provided by either FS Development or Gemini does not constitute any representation, estimate or projection of any other party.</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document is a proxy statement/prospectus of FS Development for the Special Meeting. FS Development has not authorized anyone to give any information or make any representation about the Business Combination, FS Development or Gemini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736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 of FS Development Corp.</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Unaudited Condensed Balance Sheet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Unaudited Condensed Statement of Operations for the three months ended September 30, 2020 and</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6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for the period from June 25, 2020 (inception) through September 30, 2020</w:t>
              </w:r>
            </w:hyperlink>
          </w:p>
        </w:tc>
        <w:tc>
          <w:tcPr>
            <w:tcW w:w="220" w:type="dxa"/>
            <w:vAlign w:val="bottom"/>
            <w:tcBorders>
              <w:top w:val="single" w:sz="8" w:color="CCEEFF"/>
            </w:tcBorders>
            <w:gridSpan w:val="3"/>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17"/>
          </w:tcPr>
          <w:p>
            <w:pPr>
              <w:spacing w:after="0" w:line="176" w:lineRule="exact"/>
              <w:rPr>
                <w:rFonts w:ascii="Times New Roman" w:cs="Times New Roman" w:eastAsia="Times New Roman" w:hAnsi="Times New Roman"/>
                <w:sz w:val="18"/>
                <w:szCs w:val="18"/>
                <w:color w:val="0000EE"/>
              </w:rPr>
            </w:pPr>
            <w:hyperlink w:anchor="page236">
              <w:r>
                <w:rPr>
                  <w:rFonts w:ascii="Times New Roman" w:cs="Times New Roman" w:eastAsia="Times New Roman" w:hAnsi="Times New Roman"/>
                  <w:sz w:val="18"/>
                  <w:szCs w:val="18"/>
                  <w:color w:val="0000EE"/>
                </w:rPr>
                <w:t>Unaudited Condensed Statement of Changes in Stockholder’s equity for the three months ended</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36">
              <w:r>
                <w:rPr>
                  <w:rFonts w:ascii="Times New Roman" w:cs="Times New Roman" w:eastAsia="Times New Roman" w:hAnsi="Times New Roman"/>
                  <w:sz w:val="18"/>
                  <w:szCs w:val="18"/>
                  <w:color w:val="0000EE"/>
                </w:rPr>
                <w:t>September 30, 2020 and for the period from June 25, 2020 (inception) through September</w:t>
              </w:r>
            </w:hyperlink>
          </w:p>
        </w:tc>
        <w:tc>
          <w:tcPr>
            <w:tcW w:w="4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780" w:type="dxa"/>
            <w:vAlign w:val="bottom"/>
            <w:gridSpan w:val="4"/>
          </w:tcPr>
          <w:p>
            <w:pPr>
              <w:ind w:left="180"/>
              <w:spacing w:after="0" w:line="196" w:lineRule="exact"/>
              <w:rPr>
                <w:rFonts w:ascii="Times New Roman" w:cs="Times New Roman" w:eastAsia="Times New Roman" w:hAnsi="Times New Roman"/>
                <w:sz w:val="18"/>
                <w:szCs w:val="18"/>
                <w:color w:val="0000EE"/>
              </w:rPr>
            </w:pPr>
            <w:hyperlink w:anchor="page236">
              <w:r>
                <w:rPr>
                  <w:rFonts w:ascii="Times New Roman" w:cs="Times New Roman" w:eastAsia="Times New Roman" w:hAnsi="Times New Roman"/>
                  <w:sz w:val="18"/>
                  <w:szCs w:val="18"/>
                  <w:color w:val="0000EE"/>
                </w:rPr>
                <w:t>30, 2020</w:t>
              </w:r>
            </w:hyperlink>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7">
              <w:r>
                <w:rPr>
                  <w:rFonts w:ascii="Times New Roman" w:cs="Times New Roman" w:eastAsia="Times New Roman" w:hAnsi="Times New Roman"/>
                  <w:sz w:val="18"/>
                  <w:szCs w:val="18"/>
                  <w:color w:val="0000EE"/>
                </w:rPr>
                <w:t>Unaudited Condensed Statement of Cash Flows for the period from June 25, 2020 (inception)</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6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w:anchor="page237">
              <w:r>
                <w:rPr>
                  <w:rFonts w:ascii="Times New Roman" w:cs="Times New Roman" w:eastAsia="Times New Roman" w:hAnsi="Times New Roman"/>
                  <w:sz w:val="18"/>
                  <w:szCs w:val="18"/>
                  <w:color w:val="0000EE"/>
                </w:rPr>
                <w:t>through September 30, 2020</w:t>
              </w:r>
            </w:hyperlink>
          </w:p>
        </w:tc>
        <w:tc>
          <w:tcPr>
            <w:tcW w:w="620" w:type="dxa"/>
            <w:vAlign w:val="bottom"/>
            <w:tcBorders>
              <w:top w:val="single" w:sz="8" w:color="CCEEFF"/>
            </w:tcBorders>
            <w:gridSpan w:val="7"/>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Notes to Unaudited Condensed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FS Development Corp.</w:t>
            </w:r>
          </w:p>
        </w:tc>
        <w:tc>
          <w:tcPr>
            <w:tcW w:w="74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F-19</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Balance Sheet as of June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Statements of Operations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F-21</w:t>
            </w:r>
          </w:p>
        </w:tc>
      </w:tr>
      <w:tr>
        <w:trPr>
          <w:trHeight w:val="176"/>
        </w:trPr>
        <w:tc>
          <w:tcPr>
            <w:tcW w:w="66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Statement of Changes in Stockholder’s Equity for the period from June 25, 2020 (inception)</w:t>
              </w:r>
            </w:hyperlink>
          </w:p>
        </w:tc>
        <w:tc>
          <w:tcPr>
            <w:tcW w:w="680" w:type="dxa"/>
            <w:vAlign w:val="bottom"/>
            <w:gridSpan w:val="8"/>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through June 30, 2020</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Statement of Cash Flows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F-23</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6">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F-24</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4"/>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Gemini Therapeutics, Inc.</w:t>
            </w:r>
          </w:p>
        </w:tc>
        <w:tc>
          <w:tcPr>
            <w:tcW w:w="74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F-32</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65">
              <w:r>
                <w:rPr>
                  <w:rFonts w:ascii="Times New Roman" w:cs="Times New Roman" w:eastAsia="Times New Roman" w:hAnsi="Times New Roman"/>
                  <w:sz w:val="18"/>
                  <w:szCs w:val="18"/>
                  <w:u w:val="single" w:color="auto"/>
                  <w:color w:val="0000EE"/>
                </w:rPr>
                <w:t>Balance Sheets as of December 31, 2018 and 2019, and (unaudited)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F-33</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68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6">
              <w:r>
                <w:rPr>
                  <w:rFonts w:ascii="Times New Roman" w:cs="Times New Roman" w:eastAsia="Times New Roman" w:hAnsi="Times New Roman"/>
                  <w:sz w:val="18"/>
                  <w:szCs w:val="18"/>
                  <w:color w:val="0000EE"/>
                  <w:w w:val="99"/>
                </w:rPr>
                <w:t>Statements of Operations and Comprehensive Loss for the years ended December 31, 2018 and</w:t>
              </w:r>
            </w:hyperlink>
          </w:p>
        </w:tc>
        <w:tc>
          <w:tcPr>
            <w:tcW w:w="50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6"/>
            <w:shd w:val="clear" w:color="auto" w:fill="CCEEFF"/>
          </w:tcPr>
          <w:p>
            <w:pPr>
              <w:spacing w:after="0"/>
              <w:rPr>
                <w:rFonts w:ascii="Times New Roman" w:cs="Times New Roman" w:eastAsia="Times New Roman" w:hAnsi="Times New Roman"/>
                <w:sz w:val="18"/>
                <w:szCs w:val="18"/>
                <w:u w:val="single" w:color="auto"/>
                <w:color w:val="0000EE"/>
              </w:rPr>
            </w:pPr>
            <w:hyperlink w:anchor="page266">
              <w:r>
                <w:rPr>
                  <w:rFonts w:ascii="Times New Roman" w:cs="Times New Roman" w:eastAsia="Times New Roman" w:hAnsi="Times New Roman"/>
                  <w:sz w:val="18"/>
                  <w:szCs w:val="18"/>
                  <w:u w:val="single" w:color="auto"/>
                  <w:color w:val="0000EE"/>
                </w:rPr>
                <w:t>2019, and (unaudited) for the nine months ended September 30, 2019 and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F-34</w:t>
            </w:r>
          </w:p>
        </w:tc>
      </w:tr>
      <w:tr>
        <w:trPr>
          <w:trHeight w:val="175"/>
        </w:trPr>
        <w:tc>
          <w:tcPr>
            <w:tcW w:w="70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w:anchor="page267">
              <w:r>
                <w:rPr>
                  <w:rFonts w:ascii="Times New Roman" w:cs="Times New Roman" w:eastAsia="Times New Roman" w:hAnsi="Times New Roman"/>
                  <w:sz w:val="18"/>
                  <w:szCs w:val="18"/>
                  <w:color w:val="0000EE"/>
                  <w:w w:val="99"/>
                </w:rPr>
                <w:t>Statements of Convertible Preferred Stock and Stockholders’ Equity (Deficit) for the years ended</w:t>
              </w:r>
            </w:hyperlink>
          </w:p>
        </w:tc>
        <w:tc>
          <w:tcPr>
            <w:tcW w:w="3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67">
              <w:r>
                <w:rPr>
                  <w:rFonts w:ascii="Times New Roman" w:cs="Times New Roman" w:eastAsia="Times New Roman" w:hAnsi="Times New Roman"/>
                  <w:sz w:val="18"/>
                  <w:szCs w:val="18"/>
                  <w:color w:val="0000EE"/>
                  <w:w w:val="99"/>
                </w:rPr>
                <w:t>December 31, 2018 and 2019, and (unaudited) for the nine months ended September 30, 2019 and</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800" w:type="dxa"/>
            <w:vAlign w:val="bottom"/>
            <w:gridSpan w:val="3"/>
          </w:tcPr>
          <w:p>
            <w:pPr>
              <w:ind w:left="180"/>
              <w:spacing w:after="0" w:line="196" w:lineRule="exact"/>
              <w:rPr>
                <w:rFonts w:ascii="Times New Roman" w:cs="Times New Roman" w:eastAsia="Times New Roman" w:hAnsi="Times New Roman"/>
                <w:sz w:val="18"/>
                <w:szCs w:val="18"/>
                <w:color w:val="0000EE"/>
              </w:rPr>
            </w:pPr>
            <w:hyperlink w:anchor="page267">
              <w:r>
                <w:rPr>
                  <w:rFonts w:ascii="Times New Roman" w:cs="Times New Roman" w:eastAsia="Times New Roman" w:hAnsi="Times New Roman"/>
                  <w:sz w:val="18"/>
                  <w:szCs w:val="18"/>
                  <w:color w:val="0000EE"/>
                </w:rPr>
                <w:t>2020</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2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9">
              <w:r>
                <w:rPr>
                  <w:rFonts w:ascii="Times New Roman" w:cs="Times New Roman" w:eastAsia="Times New Roman" w:hAnsi="Times New Roman"/>
                  <w:sz w:val="18"/>
                  <w:szCs w:val="18"/>
                  <w:color w:val="0000EE"/>
                  <w:w w:val="99"/>
                </w:rPr>
                <w:t>Statements of Cash Flows for the years ended December 31, 2018 and 2019, and (unaudited) for the</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269">
              <w:r>
                <w:rPr>
                  <w:rFonts w:ascii="Times New Roman" w:cs="Times New Roman" w:eastAsia="Times New Roman" w:hAnsi="Times New Roman"/>
                  <w:sz w:val="18"/>
                  <w:szCs w:val="18"/>
                  <w:color w:val="0000EE"/>
                </w:rPr>
                <w:t>nine months ended September 30, 2019 and 2020</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70">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F-37</w:t>
            </w:r>
          </w:p>
        </w:tc>
      </w:tr>
      <w:tr>
        <w:trPr>
          <w:trHeight w:val="43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33" w:name="page234"/>
    <w:bookmarkEnd w:id="23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UNAUDITED CONDENSED BALANCE SHEET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1,437,928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169,570</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held in Trust Account</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120,751,489</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40,489</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461,999</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49,914</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4,226,250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11,258,033 shares subject to possible redemption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$10.00 per share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112,580,330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4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1,258,467 shares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(excluding 11,258,033 shares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5,500,488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(500,911)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June 25,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452,486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FOR THE PERIOD FROM JUNE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2020 (INCEPTION) THROUGH SEPTEMBER 30, 2020</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9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25,</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 (inception)</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 $</w:t>
            </w: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B</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to</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Sponsor</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30,</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24,698</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shares in initial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public offering,</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120,748,792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private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 shares to</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Sponsor in private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4,414,956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subject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possible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redemption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(11,258,033)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(112,579,204)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(112,580,330)</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September</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1,258,467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5,500,488</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(500,911)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SEPTEMBER 30,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(500,911)</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(169,570)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39,489</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391,999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7"/>
        </w:trPr>
        <w:tc>
          <w:tcPr>
            <w:tcW w:w="6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20" w:type="dxa"/>
            <w:vAlign w:val="bottom"/>
          </w:tcPr>
          <w:p>
            <w:pPr>
              <w:spacing w:after="0"/>
              <w:rPr>
                <w:sz w:val="22"/>
                <w:szCs w:val="22"/>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(120,750,000)</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(120,750,000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right="1732"/>
        <w:spacing w:after="0" w:line="328" w:lineRule="auto"/>
        <w:rPr>
          <w:sz w:val="20"/>
          <w:szCs w:val="20"/>
          <w:color w:val="auto"/>
        </w:rPr>
      </w:pPr>
      <w:r>
        <w:rPr>
          <w:rFonts w:ascii="Times New Roman" w:cs="Times New Roman" w:eastAsia="Times New Roman" w:hAnsi="Times New Roman"/>
          <w:sz w:val="18"/>
          <w:szCs w:val="18"/>
          <w:color w:val="auto"/>
        </w:rPr>
        <w:t>Proceeds from issuance of Class B common stock to Sponsor Proceeds from note payable to related party 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-363855</wp:posOffset>
            </wp:positionV>
            <wp:extent cx="514350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-3810</wp:posOffset>
            </wp:positionV>
            <wp:extent cx="514350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120,750,000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4,415,000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(2,811,504)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122,378,496</w:t>
      </w:r>
    </w:p>
    <w:p>
      <w:pPr>
        <w:spacing w:after="0" w:line="360"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1,437,928</w:t>
      </w:r>
    </w:p>
    <w:p>
      <w:pPr>
        <w:spacing w:after="0" w:line="374"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88" w:hanging="388"/>
        <w:spacing w:after="0"/>
        <w:tabs>
          <w:tab w:leader="none" w:pos="388"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70,000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4,226,250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value of Class A common stock subject to possible redemption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113,053,770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value of Class A common stock subject to possible redemption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(473,440)</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7" w:name="page238"/>
    <w:bookmarkEnd w:id="23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21"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1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0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ind w:left="460" w:right="479" w:hanging="6"/>
        <w:spacing w:after="0" w:line="260" w:lineRule="auto"/>
        <w:tabs>
          <w:tab w:leader="none" w:pos="7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3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 See Note 7.</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95" w:lineRule="exact"/>
        <w:rPr>
          <w:sz w:val="20"/>
          <w:szCs w:val="20"/>
          <w:color w:val="auto"/>
        </w:rPr>
      </w:pPr>
    </w:p>
    <w:p>
      <w:pPr>
        <w:ind w:left="1320" w:right="479" w:hanging="434"/>
        <w:spacing w:after="0" w:line="282" w:lineRule="auto"/>
        <w:tabs>
          <w:tab w:leader="none" w:pos="15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1320" w:right="459" w:hanging="434"/>
        <w:spacing w:after="0" w:line="266" w:lineRule="auto"/>
        <w:tabs>
          <w:tab w:leader="none" w:pos="135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Private Placement Shares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8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9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79"/>
        <w:spacing w:after="0" w:line="277" w:lineRule="auto"/>
        <w:rPr>
          <w:sz w:val="20"/>
          <w:szCs w:val="20"/>
          <w:color w:val="auto"/>
        </w:rPr>
      </w:pPr>
      <w:r>
        <w:rPr>
          <w:rFonts w:ascii="Times New Roman" w:cs="Times New Roman" w:eastAsia="Times New Roman" w:hAnsi="Times New Roman"/>
          <w:sz w:val="17"/>
          <w:szCs w:val="17"/>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September 30, 2020, there were 12,516,500 Class A common stock outstanding, including 11,258,033 Class A common stock subject to possible conversion were classified as temporary equity in the accompanying balance sheet.</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September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 Development Class A Common Stock; minus (b) a number of shares of FS Development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4" w:lineRule="exact"/>
        <w:rPr>
          <w:sz w:val="20"/>
          <w:szCs w:val="20"/>
          <w:color w:val="auto"/>
        </w:rPr>
      </w:pPr>
    </w:p>
    <w:p>
      <w:pPr>
        <w:jc w:val="both"/>
        <w:ind w:left="460" w:right="459" w:hanging="6"/>
        <w:spacing w:after="0" w:line="250" w:lineRule="auto"/>
        <w:tabs>
          <w:tab w:leader="none" w:pos="73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redeemed the Class A of common stock of the Company in an amount that would cause the Company to have net tangible assets of less than $5,000,001 upon consummation of the Merger; and</w:t>
      </w:r>
    </w:p>
    <w:p>
      <w:pPr>
        <w:jc w:val="both"/>
        <w:ind w:left="460" w:right="479" w:hanging="6"/>
        <w:spacing w:after="0" w:line="252" w:lineRule="auto"/>
        <w:tabs>
          <w:tab w:leader="none" w:pos="76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the combined entity be approved by the stockholders of the Company.</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the execution of various additional agreements and instruments, on or before the Closing, including, among others, the following:</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Parent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Company (the “Parent Supporting 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Gemini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certain Gemini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“Gemini Supporting 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w:t>
      </w:r>
    </w:p>
    <w:p>
      <w:pPr>
        <w:spacing w:after="0" w:line="1" w:lineRule="exact"/>
        <w:rPr>
          <w:sz w:val="20"/>
          <w:szCs w:val="20"/>
          <w:color w:val="auto"/>
        </w:rPr>
      </w:pPr>
    </w:p>
    <w:p>
      <w:pPr>
        <w:jc w:val="both"/>
        <w:ind w:left="460" w:right="459" w:hanging="6"/>
        <w:spacing w:after="0" w:line="251" w:lineRule="auto"/>
        <w:tabs>
          <w:tab w:leader="none" w:pos="80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2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Merger, the Company entered into subscription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investors, including the Sponsor (the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holders of the Founder Shares, Private Placement Shares and certain other stockholders will enter into a registration rights agreement with the Company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the Company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(5th) anniversary of the date of the voting agreement, subject to certain terms and holding requirements set forth therein.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above description of the Proposed Business Combination should be read in conjunction with the disclosures contained in the Form S-4 filed by the Company with the SEC on November 2, 2020.</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11,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proposed public offering</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53,000</w:t>
            </w: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78,000</w:t>
            </w:r>
          </w:p>
        </w:tc>
        <w:tc>
          <w:tcPr>
            <w:tcW w:w="140" w:type="dxa"/>
            <w:vAlign w:val="bottom"/>
            <w:tcBorders>
              <w:bottom w:val="single" w:sz="8" w:color="CCEEFF"/>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none issued and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r>
              <w:rPr>
                <w:rFonts w:ascii="Times New Roman" w:cs="Times New Roman" w:eastAsia="Times New Roman" w:hAnsi="Times New Roman"/>
                <w:sz w:val="20"/>
                <w:szCs w:val="20"/>
                <w:color w:val="auto"/>
                <w:vertAlign w:val="superscript"/>
              </w:rPr>
              <w:t>(1)(2)</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24,698</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89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r>
              <w:rPr>
                <w:rFonts w:ascii="Times New Roman" w:cs="Times New Roman" w:eastAsia="Times New Roman" w:hAnsi="Times New Roman"/>
                <w:sz w:val="20"/>
                <w:szCs w:val="20"/>
                <w:b w:val="1"/>
                <w:bCs w:val="1"/>
                <w:color w:val="auto"/>
                <w:vertAlign w:val="superscript"/>
              </w:rPr>
              <w:t>(1)(2)</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86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59" w:hanging="426"/>
        <w:spacing w:after="0" w:line="264" w:lineRule="auto"/>
        <w:tabs>
          <w:tab w:leader="none" w:pos="958"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excludes an aggregate of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June 30, 2020</w:t>
      </w:r>
    </w:p>
    <w:p>
      <w:pPr>
        <w:spacing w:after="0" w:line="209" w:lineRule="exact"/>
        <w:rPr>
          <w:sz w:val="20"/>
          <w:szCs w:val="20"/>
          <w:color w:val="auto"/>
        </w:rPr>
      </w:pPr>
    </w:p>
    <w:tbl>
      <w:tblPr>
        <w:tblLayout w:type="fixed"/>
        <w:tblInd w:w="2520" w:type="dxa"/>
        <w:tblCellMar>
          <w:top w:w="0" w:type="dxa"/>
          <w:left w:w="0" w:type="dxa"/>
          <w:bottom w:w="0" w:type="dxa"/>
          <w:right w:w="0" w:type="dxa"/>
        </w:tblCellMar>
      </w:tblPr>
      <w:tr>
        <w:trPr>
          <w:trHeight w:val="212"/>
        </w:trPr>
        <w:tc>
          <w:tcPr>
            <w:tcW w:w="304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5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90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9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   Amount   Capital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Stockholder’s</w:t>
      </w:r>
    </w:p>
    <w:p>
      <w:pPr>
        <w:ind w:left="22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15" w:lineRule="exact"/>
        <w:rPr>
          <w:sz w:val="20"/>
          <w:szCs w:val="20"/>
          <w:color w:val="auto"/>
        </w:rPr>
      </w:pPr>
    </w:p>
    <w:p>
      <w:pPr>
        <w:sectPr>
          <w:pgSz w:w="11900" w:h="16838" w:orient="portrait"/>
          <w:cols w:equalWidth="0" w:num="2">
            <w:col w:w="7440" w:space="180"/>
            <w:col w:w="139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194"/>
        </w:trPr>
        <w:tc>
          <w:tcPr>
            <w:tcW w:w="20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June 25, 2020</w:t>
            </w: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Sponsor </w:t>
            </w:r>
            <w:r>
              <w:rPr>
                <w:rFonts w:ascii="Times New Roman" w:cs="Times New Roman" w:eastAsia="Times New Roman" w:hAnsi="Times New Roman"/>
                <w:sz w:val="20"/>
                <w:szCs w:val="20"/>
                <w:color w:val="auto"/>
                <w:vertAlign w:val="superscript"/>
              </w:rPr>
              <w:t>(1)(2)</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3,018,750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vMerge w:val="continue"/>
          </w:tcPr>
          <w:p>
            <w:pPr>
              <w:spacing w:after="0"/>
              <w:rPr>
                <w:sz w:val="21"/>
                <w:szCs w:val="21"/>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24,698</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89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4" w:name="page255"/>
    <w:bookmarkEnd w:id="254"/>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Proceeds from issuance of Class B common stock to Sponsor</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6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608" w:hanging="608"/>
        <w:spacing w:after="0"/>
        <w:tabs>
          <w:tab w:leader="none" w:pos="608"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640"/>
        <w:spacing w:after="0"/>
        <w:tabs>
          <w:tab w:leader="none" w:pos="7300" w:val="left"/>
          <w:tab w:leader="none" w:pos="7900" w:val="left"/>
        </w:tabs>
        <w:rPr>
          <w:sz w:val="20"/>
          <w:szCs w:val="20"/>
          <w:color w:val="auto"/>
        </w:rPr>
      </w:pPr>
      <w:r>
        <w:rPr>
          <w:rFonts w:ascii="Times New Roman" w:cs="Times New Roman" w:eastAsia="Times New Roman" w:hAnsi="Times New Roman"/>
          <w:sz w:val="18"/>
          <w:szCs w:val="18"/>
          <w:color w:val="auto"/>
        </w:rPr>
        <w:t>Deferred offering costs included in accrued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5" w:name="page256"/>
    <w:bookmarkEnd w:id="2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jc w:val="both"/>
        <w:ind w:left="460" w:right="459" w:hanging="6"/>
        <w:spacing w:after="0" w:line="251" w:lineRule="auto"/>
        <w:tabs>
          <w:tab w:leader="none" w:pos="74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9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Public Offering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10,500,000 shares of Class A Common stock at a price of $10.00 per share.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10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June 30, 2020, there were no shares of Class A common stock issued or outstanding.</w:t>
      </w:r>
    </w:p>
    <w:p>
      <w:pPr>
        <w:spacing w:after="0" w:line="10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June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Subsequent to June 30, 2020, the Company received $200,000 in loan proceeds under the Note.</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Gemini Therapeutics, Inc.</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1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October 30,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4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20,555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21,608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3,797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 and discount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9019"/>
          </w:cols>
          <w:pgMar w:left="1440" w:top="270" w:right="1440" w:bottom="353" w:gutter="0" w:footer="0" w:header="0"/>
        </w:sectPr>
      </w:pPr>
    </w:p>
    <w:p>
      <w:pPr>
        <w:ind w:left="460"/>
        <w:spacing w:after="0"/>
        <w:rPr>
          <w:sz w:val="20"/>
          <w:szCs w:val="20"/>
          <w:color w:val="auto"/>
        </w:rPr>
      </w:pPr>
      <w:r>
        <w:rPr>
          <w:rFonts w:ascii="Times New Roman" w:cs="Times New Roman" w:eastAsia="Times New Roman" w:hAnsi="Times New Roman"/>
          <w:sz w:val="16"/>
          <w:szCs w:val="16"/>
          <w:color w:val="auto"/>
        </w:rPr>
        <w:t>Convertible Preferred Stock:</w:t>
      </w:r>
    </w:p>
    <w:p>
      <w:pPr>
        <w:spacing w:after="0" w:line="59" w:lineRule="exact"/>
        <w:rPr>
          <w:sz w:val="20"/>
          <w:szCs w:val="20"/>
          <w:color w:val="auto"/>
        </w:rPr>
      </w:pPr>
    </w:p>
    <w:p>
      <w:pPr>
        <w:ind w:left="640" w:hanging="179"/>
        <w:spacing w:after="0" w:line="275" w:lineRule="auto"/>
        <w:rPr>
          <w:sz w:val="20"/>
          <w:szCs w:val="20"/>
          <w:color w:val="auto"/>
        </w:rPr>
      </w:pPr>
      <w:r>
        <w:rPr>
          <w:rFonts w:ascii="Times New Roman" w:cs="Times New Roman" w:eastAsia="Times New Roman" w:hAnsi="Times New Roman"/>
          <w:sz w:val="16"/>
          <w:szCs w:val="16"/>
          <w:color w:val="auto"/>
        </w:rPr>
        <w:t>Series A convertible preferred stock, $0.001 par value; 39,722,088 shares authorized at December 31, 2018 and 2019, and at September 30, 2020 (unaudited); 39,722,088 shares issued and outstanding at December 31, 2018 and 2019, and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-525780</wp:posOffset>
            </wp:positionV>
            <wp:extent cx="5143500" cy="5397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539750"/>
                    </a:xfrm>
                    <a:prstGeom prst="rect">
                      <a:avLst/>
                    </a:prstGeom>
                    <a:noFill/>
                  </pic:spPr>
                </pic:pic>
              </a:graphicData>
            </a:graphic>
          </wp:anchor>
        </w:drawing>
      </w:r>
    </w:p>
    <w:p>
      <w:pPr>
        <w:ind w:left="640" w:right="40" w:hanging="179"/>
        <w:spacing w:after="0" w:line="272" w:lineRule="auto"/>
        <w:rPr>
          <w:sz w:val="20"/>
          <w:szCs w:val="20"/>
          <w:color w:val="auto"/>
        </w:rPr>
      </w:pPr>
      <w:r>
        <w:rPr>
          <w:rFonts w:ascii="Times New Roman" w:cs="Times New Roman" w:eastAsia="Times New Roman" w:hAnsi="Times New Roman"/>
          <w:sz w:val="16"/>
          <w:szCs w:val="16"/>
          <w:color w:val="auto"/>
        </w:rPr>
        <w:t>Series B convertible preferred stock, $0.001 par value; zero and 37,001,401 shares authorized at December 31, 2018 and 2019, and 37,001,401 shares authorized at September 30, 2020 (unaudited); zero and 9,916,375 shares issued and outstanding at December 31, 2018 and 2019, and 24,790,938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wp:posOffset>
            </wp:positionV>
            <wp:extent cx="5143500"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Convertible Preferred Stock</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Stockholders’ Equity (Deficit):</w:t>
      </w:r>
    </w:p>
    <w:p>
      <w:pPr>
        <w:spacing w:after="0" w:line="59" w:lineRule="exact"/>
        <w:rPr>
          <w:sz w:val="20"/>
          <w:szCs w:val="20"/>
          <w:color w:val="auto"/>
        </w:rPr>
      </w:pPr>
    </w:p>
    <w:p>
      <w:pPr>
        <w:ind w:left="640" w:right="240" w:hanging="179"/>
        <w:spacing w:after="0" w:line="272" w:lineRule="auto"/>
        <w:rPr>
          <w:sz w:val="20"/>
          <w:szCs w:val="20"/>
          <w:color w:val="auto"/>
        </w:rPr>
      </w:pPr>
      <w:r>
        <w:rPr>
          <w:rFonts w:ascii="Times New Roman" w:cs="Times New Roman" w:eastAsia="Times New Roman" w:hAnsi="Times New Roman"/>
          <w:sz w:val="16"/>
          <w:szCs w:val="16"/>
          <w:color w:val="auto"/>
        </w:rPr>
        <w:t>Common stock, $0.001 par value; 55,000,000 and 95,000,000 shares authorized at December 31, 2018 and 2019, and 95,000,000 shares authorized at September 30, 2020 (unaudited); 4,968,155 and 5,313,766 shares issued and outstanding at December 31, 2018 and 2019 and 5,629,130 shares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-652780</wp:posOffset>
            </wp:positionV>
            <wp:extent cx="5143500" cy="6686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668655"/>
                    </a:xfrm>
                    <a:prstGeom prst="rect">
                      <a:avLst/>
                    </a:prstGeom>
                    <a:noFill/>
                  </pic:spPr>
                </pic:pic>
              </a:graphicData>
            </a:graphic>
          </wp:anchor>
        </w:drawing>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0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tabs>
          <w:tab w:leader="none" w:pos="1420" w:val="left"/>
          <w:tab w:leader="none" w:pos="2620" w:val="left"/>
        </w:tabs>
        <w:rPr>
          <w:sz w:val="20"/>
          <w:szCs w:val="20"/>
          <w:color w:val="auto"/>
        </w:rPr>
      </w:pP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13,252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47,113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60,365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80,449</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r>
      <w:tr>
        <w:trPr>
          <w:trHeight w:val="284"/>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Pr>
          <w:p>
            <w:pPr>
              <w:spacing w:after="0"/>
              <w:rPr>
                <w:sz w:val="24"/>
                <w:szCs w:val="24"/>
                <w:color w:val="auto"/>
              </w:rPr>
            </w:pPr>
          </w:p>
        </w:tc>
      </w:tr>
      <w:tr>
        <w:trPr>
          <w:trHeight w:val="297"/>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(30,584)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(71,984)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1"/>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(29,843)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(70,797)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(88,727)</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220" w:space="100"/>
            <w:col w:w="3699"/>
          </w:cols>
          <w:pgMar w:left="1440" w:top="270" w:right="1440" w:bottom="353" w:gutter="0" w:footer="0" w:header="0"/>
          <w:type w:val="continuous"/>
        </w:sectPr>
      </w:pP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4"/>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(Deficit)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21,608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6,144</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12065</wp:posOffset>
            </wp:positionV>
            <wp:extent cx="1954530"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54530" cy="2603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265" w:name="page266"/>
    <w:bookmarkEnd w:id="2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4,811,641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5,133,773</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120" w:type="dxa"/>
            <w:vAlign w:val="bottom"/>
          </w:tcPr>
          <w:p>
            <w:pPr>
              <w:spacing w:after="0"/>
              <w:rPr>
                <w:sz w:val="3"/>
                <w:szCs w:val="3"/>
                <w:color w:val="auto"/>
              </w:rPr>
            </w:pPr>
          </w:p>
        </w:tc>
        <w:tc>
          <w:tcPr>
            <w:tcW w:w="17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2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620" w:type="dxa"/>
            <w:vAlign w:val="bottom"/>
            <w:gridSpan w:val="10"/>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Preferred Stock Convertible Preferred Stock</w:t>
            </w:r>
          </w:p>
        </w:tc>
        <w:tc>
          <w:tcPr>
            <w:tcW w:w="20" w:type="dxa"/>
            <w:vAlign w:val="bottom"/>
            <w:shd w:val="clear" w:color="auto" w:fill="000000"/>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86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5"/>
                <w:szCs w:val="5"/>
                <w:color w:val="auto"/>
              </w:rPr>
            </w:pPr>
          </w:p>
        </w:tc>
        <w:tc>
          <w:tcPr>
            <w:tcW w:w="96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120" w:type="dxa"/>
            <w:vAlign w:val="bottom"/>
          </w:tcPr>
          <w:p>
            <w:pPr>
              <w:spacing w:after="0"/>
              <w:rPr>
                <w:sz w:val="5"/>
                <w:szCs w:val="5"/>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5"/>
                <w:szCs w:val="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Amount in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14,091,837</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4,672,144</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(10,417)</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(10,048)</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A</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25,630,251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263,974</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(20,167)</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80,118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265,493</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(41,400)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(41,400)</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9,916,375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13,252</w:t>
            </w:r>
          </w:p>
        </w:tc>
        <w:tc>
          <w:tcPr>
            <w:tcW w:w="20" w:type="dxa"/>
            <w:vAlign w:val="bottom"/>
            <w:shd w:val="clear" w:color="auto" w:fill="000000"/>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5,313,766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(71,984)</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(70,797)</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12,159</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76,680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267" w:name="page268"/>
    <w:bookmarkEnd w:id="26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199,118</w:t>
            </w: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(31,733)</w:t>
            </w: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9,102,345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12,159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5,243,953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(62,317)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(61,258)</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47,113</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5,313,766</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(71,984)</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(70,797)</w:t>
            </w: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Beneficial</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feature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relating to</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(Note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116,239</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199,125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84"/>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(26,522)</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(26,522)</w:t>
            </w:r>
          </w:p>
        </w:tc>
      </w:tr>
      <w:tr>
        <w:trPr>
          <w:trHeight w:val="167"/>
        </w:trPr>
        <w:tc>
          <w:tcPr>
            <w:tcW w:w="11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24,790,938</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33,336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5,629,130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9,773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(98,506)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(88,727)</w:t>
            </w:r>
          </w:p>
        </w:tc>
      </w:tr>
      <w:tr>
        <w:trPr>
          <w:trHeight w:val="20"/>
        </w:trPr>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68" w:name="page269"/>
    <w:bookmarkEnd w:id="2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9"/>
              </w:rPr>
              <w:t>(unaudited)</w:t>
            </w: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(20,167)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(41,400)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489</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2,998</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(38,530)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(27,175)</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(23,855)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A convertible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B convertible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12,159</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term loan, net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7,446</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Increase (decrease) in cash, cash equivalents and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(15,542)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(7,750)</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18,851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3,309</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warrants in connection with term loan facility</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on convertible notes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10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had $3.0 million and $13.2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$26.5 million for periods ended December 31, 2019 and September 30, 2020 (unaudited), respectively. In addition, as of December 31, 2019 and September 30, 2020 (unaudited), the Company has an accumulated deficit of $72.0 million and $98.5 million, respectively. The Company expects to incur substantial operating losses and negative cash flows from operations for the foreseeable future. As of October 30, 2020, the Company expected its existing cash and cash equivalents would not be sufficient to fund its operating expenses and capital expenditure requirements for at least the next year following the date that the financial statements were issued.</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December 7, 2020 (unaudited), the issuance date of the interim financial statements for the nine months ended September 30, 2020, the Company expects its existing cash and cash equivalents will not be sufficient to fund its operating expenses and capital expenditure requirements for at least the next year following the date that the interim financial statements are issued.</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seeking to complete a merger with FS Development Corp. (“FS Development”), which would result in FS Development acquiring 100% of the Company’s issued and outstanding securities. Together with FS Development’s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 programs and any future commercialization efforts. Accordingly, substantial doubt is deemed to exist about the Company’s ability to continue as a going concern within one year after the date these financial statements are issued.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12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balance sheet as of September 30, 2020, the statements of operations, of convertible preferred stock and stockholders’ deficit and of cash flows for the nine months ended September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nine months 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Restricted cash amounted to $323 thousand at December 31, 2018 and 2019, and September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balance sheets to the Company’s statements of cash flows is as follows:</w:t>
      </w:r>
    </w:p>
    <w:p>
      <w:pPr>
        <w:sectPr>
          <w:pgSz w:w="11900" w:h="16838" w:orient="portrait"/>
          <w:cols w:equalWidth="0" w:num="1">
            <w:col w:w="9019"/>
          </w:cols>
          <w:pgMar w:left="1440" w:top="270" w:right="1440" w:bottom="1440" w:gutter="0" w:footer="0" w:header="0"/>
        </w:sectPr>
      </w:pPr>
    </w:p>
    <w:p>
      <w:pPr>
        <w:spacing w:after="0" w:line="178"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3" w:lineRule="exact"/>
        <w:rPr>
          <w:sz w:val="20"/>
          <w:szCs w:val="20"/>
          <w:color w:val="auto"/>
        </w:rPr>
      </w:pPr>
    </w:p>
    <w:p>
      <w:pPr>
        <w:ind w:left="474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080" w:space="700"/>
            <w:col w:w="2239"/>
          </w:cols>
          <w:pgMar w:left="1440" w:top="270" w:right="1440" w:bottom="1440" w:gutter="0" w:footer="0" w:header="0"/>
          <w:type w:val="continuous"/>
        </w:sectPr>
      </w:pPr>
    </w:p>
    <w:p>
      <w:pPr>
        <w:ind w:left="71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18,528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2" w:name="page273"/>
    <w:bookmarkEnd w:id="2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basis over the estimated useful lives of the assets. The estimated useful lives are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capitalized certain legal, professional accounting and other third-party fees that are directly associated with the in-process merger with FS Development as deferred offering costs until such merger is consummated. After consummation of the merger, these costs will be recorded as a reduction to additional paid-in capital generated as a result of the merger. Should the merger be abandoned, the deferred offering costs will be expensed immediately as a charge to operating expenses in the statement of operations. The Company had no deferred offering costs as of December 31, 2018 and 2019. As of September 30, 2020 (unaudited), the Company recorded deferred offering costs of $1.3 million.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September 30, 2020 (unaudited) (see Note 6) approximated fair value based on interest rates currently available to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of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contract costs and accruals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Company’s common stock valuations were prepared using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nine months ended September 30, 2019 and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10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Employee Share-Based Payment Accounting </w:t>
      </w:r>
      <w:r>
        <w:rPr>
          <w:rFonts w:ascii="Times New Roman" w:cs="Times New Roman" w:eastAsia="Times New Roman" w:hAnsi="Times New Roman"/>
          <w:sz w:val="18"/>
          <w:szCs w:val="18"/>
          <w:color w:val="auto"/>
        </w:rPr>
        <w:t>(“ASU 2016-09”). ASU 2016-09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provisions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early adopted Accounting Standards Update 2018-07 (“ASU 2018-07”) </w:t>
      </w:r>
      <w:r>
        <w:rPr>
          <w:rFonts w:ascii="Times New Roman" w:cs="Times New Roman" w:eastAsia="Times New Roman" w:hAnsi="Times New Roman"/>
          <w:sz w:val="18"/>
          <w:szCs w:val="18"/>
          <w:i w:val="1"/>
          <w:iCs w:val="1"/>
          <w:color w:val="auto"/>
        </w:rPr>
        <w:t xml:space="preserve">Compensation — Stock Compensation: Improvements to Non-Employee Share-Based Compensation Accounting </w:t>
      </w:r>
      <w:r>
        <w:rPr>
          <w:rFonts w:ascii="Times New Roman" w:cs="Times New Roman" w:eastAsia="Times New Roman" w:hAnsi="Times New Roman"/>
          <w:sz w:val="18"/>
          <w:szCs w:val="18"/>
          <w:color w:val="auto"/>
        </w:rPr>
        <w:t>as of the date of January 1, 2017. ASU 2018-07 generally allows the Company to treat stock-based 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10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Statement of Cash Flows: </w:t>
      </w:r>
      <w:r>
        <w:rPr>
          <w:rFonts w:ascii="Times New Roman" w:cs="Times New Roman" w:eastAsia="Times New Roman" w:hAnsi="Times New Roman"/>
          <w:sz w:val="18"/>
          <w:szCs w:val="18"/>
          <w:i w:val="1"/>
          <w:iCs w:val="1"/>
          <w:color w:val="auto"/>
        </w:rPr>
        <w:t>Classification of Certain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Receipts and Cash Payments </w:t>
      </w:r>
      <w:r>
        <w:rPr>
          <w:rFonts w:ascii="Times New Roman" w:cs="Times New Roman" w:eastAsia="Times New Roman" w:hAnsi="Times New Roman"/>
          <w:sz w:val="18"/>
          <w:szCs w:val="18"/>
          <w:color w:val="auto"/>
        </w:rPr>
        <w:t>(“ASU 2016-15”), to address diversity in practice in how certain cash receipts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1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1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Collaborative Arrangements (Topic 808):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Interaction between Topic 808 and Topic 606</w:t>
      </w:r>
      <w:r>
        <w:rPr>
          <w:rFonts w:ascii="Times New Roman" w:cs="Times New Roman" w:eastAsia="Times New Roman" w:hAnsi="Times New Roman"/>
          <w:sz w:val="18"/>
          <w:szCs w:val="18"/>
          <w:color w:val="auto"/>
        </w:rPr>
        <w:t>, (“ASU 2018-18”). The amendments in this update clarify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transactions between collaborative arrangement participants should be accounted for as revenue when the collaborative arrangement participant is a customer in the context of a unit of account and precludes recognizing as revenue consideration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(“ASU 2019-12”), which is intended to simplify the accounting for income taxes. ASU 2019-12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64" w:lineRule="exact"/>
        <w:rPr>
          <w:sz w:val="20"/>
          <w:szCs w:val="20"/>
          <w:color w:val="auto"/>
        </w:rPr>
      </w:pPr>
    </w:p>
    <w:p>
      <w:pPr>
        <w:ind w:left="460"/>
        <w:spacing w:after="0"/>
        <w:tabs>
          <w:tab w:leader="none" w:pos="4620" w:val="left"/>
          <w:tab w:leader="none" w:pos="5640" w:val="left"/>
          <w:tab w:leader="none" w:pos="6680" w:val="left"/>
          <w:tab w:leader="none" w:pos="7840" w:val="left"/>
        </w:tabs>
        <w:rPr>
          <w:sz w:val="20"/>
          <w:szCs w:val="20"/>
          <w:color w:val="auto"/>
        </w:rPr>
      </w:pPr>
      <w:r>
        <w:rPr>
          <w:rFonts w:ascii="Times New Roman" w:cs="Times New Roman" w:eastAsia="Times New Roman" w:hAnsi="Times New Roman"/>
          <w:sz w:val="16"/>
          <w:szCs w:val="16"/>
          <w:b w:val="1"/>
          <w:bCs w:val="1"/>
          <w:color w:val="auto"/>
        </w:rPr>
        <w:t>December 31, 2018</w:t>
      </w:r>
      <w:r>
        <w:rPr>
          <w:sz w:val="20"/>
          <w:szCs w:val="20"/>
          <w:color w:val="auto"/>
        </w:rPr>
        <w:tab/>
      </w: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similar securities, which represent a Level 1 measurement within the fair value hierarchy. During the years ended December 31, 2018 and 2019 and the nine months ended September 30, 2020 (unaudited), there were no transfers between Level 1, Level 2 and Level 3.</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value for the warrant liability balance is based on significant inputs not observable in the market, which represents a Level 3 measurement within the fair value hierarchy.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Warrants to purchase Series A Preferred Stock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nine months ended September 30, 2020 (unaudited). The fair value of the warrants was recorded as a liability on the date of issuance.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A Preferred Stock warrants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 (unaudited)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7"/>
                <w:szCs w:val="17"/>
                <w:color w:val="auto"/>
              </w:rPr>
            </w:pPr>
          </w:p>
        </w:tc>
        <w:tc>
          <w:tcPr>
            <w:tcW w:w="24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3"/>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13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instrument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 – $1.28</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 $1.24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 $1.41</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 0.64%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 – 10.0</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 10.0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 8.9</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73.4%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73.6%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 74.4%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0"/>
        </w:trPr>
        <w:tc>
          <w:tcPr>
            <w:tcW w:w="40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759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and for the nine months ended September 30, 2019 and 2020 (unaudited) was approximately $114 thousand, $290 thousand, $213 thousand and $235 thousand,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bookmarkStart w:id="280" w:name="page281"/>
    <w:bookmarkEnd w:id="2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9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1,133</w:t>
            </w:r>
          </w:p>
        </w:tc>
        <w:tc>
          <w:tcPr>
            <w:tcW w:w="7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2,123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2,004</w:t>
            </w:r>
          </w:p>
        </w:tc>
        <w:tc>
          <w:tcPr>
            <w:tcW w:w="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September 30, 2020 (unaudited), the Company had $10.0 million in principal outstanding under the Term Loan.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September 30, 2020 (unaudited), the Company accrued $104 thousand and $200 thousand, respectively, related to the end of term charge, which has been classified as other long-term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Term loan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scheduled principal payments for the Term Loan are as follows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w:t>
            </w: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r>
      <w:tr>
        <w:trPr>
          <w:trHeight w:val="24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Interest expense for the years ended December 31, 2018 and 2019 and for the nine months ended September 30, 2019 and 2020 (unaudited) was approximately $0 thousand, $350 thousand, $218 thousand and $407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Convertible promissory notes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the carrying value of the Notes is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(beneficial conversion feature)</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recognized interest expense of $1.9 million, of which $123 thousand is included in accrued expenses and other current liabilities in the accompanying balance sheet as of September 30, 2020 (unaudited).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9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26, 2019, the Company issued 9,916,375 shares of Series B Preferred Stock at a purchase price of $1.3513 per share for gross proceeds in the amount of $13.4 million.</w:t>
      </w:r>
    </w:p>
    <w:p>
      <w:pPr>
        <w:spacing w:after="0" w:line="8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balance sheet date, the Preferred Stock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39,722,088</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47,113</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369"/>
        </w:trPr>
        <w:tc>
          <w:tcPr>
            <w:tcW w:w="2900" w:type="dxa"/>
            <w:vAlign w:val="bottom"/>
          </w:tcPr>
          <w:p>
            <w:pPr>
              <w:spacing w:after="0"/>
              <w:rPr>
                <w:sz w:val="24"/>
                <w:szCs w:val="24"/>
                <w:color w:val="auto"/>
              </w:rPr>
            </w:pP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12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6"/>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4"/>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9,916,375</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49,638,463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60,365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349"/>
        </w:trPr>
        <w:tc>
          <w:tcPr>
            <w:tcW w:w="29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 (unaudited)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24,790,938</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33,336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64,513,026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80,449</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Series A original issue price and Series A conversion price were equal to $1.19 as of December 31, 2018 and 2019 and September 30, 2020 (unaudited). The Series B original issue price and Series B conversion price were equal to $1.3513 as of December 31, 2019 and September 30, 2020 (unaudited).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September 30, 2020 (unaudited), each share of Series A Preferred Stock was convertible into one share of common stock. As of December 31, 2019 and September 30, 2020 (unaudited), each share of Series B Preferred Stock was convertible into one share of common stock.</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w:t>
      </w:r>
    </w:p>
    <w:p>
      <w:pPr>
        <w:spacing w:after="0" w:line="12" w:lineRule="exact"/>
        <w:rPr>
          <w:sz w:val="20"/>
          <w:szCs w:val="20"/>
          <w:color w:val="auto"/>
        </w:rPr>
      </w:pPr>
    </w:p>
    <w:p>
      <w:pPr>
        <w:jc w:val="both"/>
        <w:ind w:left="460" w:right="459" w:hanging="6"/>
        <w:spacing w:after="0" w:line="255" w:lineRule="auto"/>
        <w:tabs>
          <w:tab w:leader="none" w:pos="73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fraction by an amount equal to the applicable Series A or Series B original issue price. No cash dividends were declared or paid during the years ended December 31, 2018 or 2019 or the nine months ended September 30, 2020 (unaudited).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w:t>
      </w:r>
    </w:p>
    <w:p>
      <w:pPr>
        <w:spacing w:after="0" w:line="5" w:lineRule="exact"/>
        <w:rPr>
          <w:sz w:val="20"/>
          <w:szCs w:val="20"/>
          <w:color w:val="auto"/>
        </w:rPr>
      </w:pPr>
    </w:p>
    <w:p>
      <w:pPr>
        <w:jc w:val="both"/>
        <w:ind w:left="460" w:right="459" w:hanging="6"/>
        <w:spacing w:after="0" w:line="255" w:lineRule="auto"/>
        <w:tabs>
          <w:tab w:leader="none" w:pos="72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1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does not provide redemption rights to the holders of Preferred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December 31, 2018, the Amended and Restated Certificate of Incorporation authorized the Company to issue 55,000,000 shares of common stock with a par value of $0.001. As of December 31, 2019 and September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had reserved 50,031,845 shares and 89,686,234 shares as of December 31, 2018 and 2019, respectively, and 89,370,870 shares as of September 30, 2020 (unaudited),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nine months ended September 30,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2017 Plan was 7,898,675 shares as of December 31, 2018. The total number of shares of common stock that may be issued under the 2017 Plan was 11,834,437 as of December 31, 2019 and September 30, 2020 (unaudited), of which 3,789,697 and 4,089,779 shares remained available for future grant as of December 31, 2019 and September 30, 2020 (unaudited), respectively.</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Shares that are expired, terminated, surrendered or canceled under the 2017 Plan without having been fully exercised will be available for future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valuation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non-employees was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040" w:type="dxa"/>
            <w:vAlign w:val="bottom"/>
          </w:tcPr>
          <w:p>
            <w:pPr>
              <w:spacing w:after="0"/>
              <w:rPr>
                <w:sz w:val="18"/>
                <w:szCs w:val="18"/>
                <w:color w:val="auto"/>
              </w:rPr>
            </w:pPr>
          </w:p>
        </w:tc>
        <w:tc>
          <w:tcPr>
            <w:tcW w:w="260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20" w:type="dxa"/>
            <w:vAlign w:val="bottom"/>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Pr>
          <w:p>
            <w:pPr>
              <w:spacing w:after="0"/>
              <w:rPr>
                <w:sz w:val="18"/>
                <w:szCs w:val="18"/>
                <w:color w:val="auto"/>
              </w:rPr>
            </w:pPr>
          </w:p>
        </w:tc>
      </w:tr>
      <w:tr>
        <w:trPr>
          <w:trHeight w:val="46"/>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720" w:type="dxa"/>
            <w:vAlign w:val="bottom"/>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left="635"/>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40" w:type="dxa"/>
            <w:vAlign w:val="bottom"/>
          </w:tcPr>
          <w:p>
            <w:pPr>
              <w:spacing w:after="0"/>
              <w:rPr>
                <w:sz w:val="20"/>
                <w:szCs w:val="20"/>
                <w:color w:val="auto"/>
              </w:rPr>
            </w:pPr>
          </w:p>
        </w:tc>
      </w:tr>
      <w:tr>
        <w:trPr>
          <w:trHeight w:val="46"/>
        </w:trPr>
        <w:tc>
          <w:tcPr>
            <w:tcW w:w="3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 – 3.0%</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 2.4%</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1.5% – 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 – 6.3 years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 – 6.25 years</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6.0 – 6.1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40"/>
        </w:trPr>
        <w:tc>
          <w:tcPr>
            <w:tcW w:w="3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 – 75%</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 – 77%</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74% – 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Through September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Pr>
          <w:p>
            <w:pPr>
              <w:spacing w:after="0"/>
              <w:rPr>
                <w:sz w:val="18"/>
                <w:szCs w:val="18"/>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6,782,422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4,802,164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(80,118)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(2,964,150)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8,540,318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0.55</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(1,482,282)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 (unaudited)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8,123,997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9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2,179,020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exercisable at September 30, 2020</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3,223,460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41"/>
        </w:trPr>
        <w:tc>
          <w:tcPr>
            <w:tcW w:w="44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2018 and 2019 and the nine months ended September 30, 2019 and 2020 (unaudited) was $4 thousand, $11 thousand, $10 thousand and $54 thousand, respectively.</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per share of options granted during the years ended December 31, 2018 and 2019 and the nine months ended September 30, 2019 and 2020 (unaudited) was $0.22, $0.30, $0.27 and $0.37, respectively.</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2018 and 2019 and the nine months ended September 30, 2019 and 2020 (unaudited) was $190 thousand, $352 thousand, $318 thousand and $379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since December 31, 2018:</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428,657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229,532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that vested during the years ended December 31, 2018 and 2019 and the nine months ended September 30, 2019 and 2020 (unaudited) was $108 thousand, $125 thousand, $94 thousand and $331 thousand,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restricted stock of $32 thousand, $30 thousand, $22 thousand and $22 thousand, during the years ended December 31, 2018 and 2019 and the nine months ended September 30, 2019 and 2020 (unaudited),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 awards</w:t>
      </w:r>
    </w:p>
    <w:p>
      <w:pPr>
        <w:spacing w:after="0" w:line="148" w:lineRule="exact"/>
        <w:rPr>
          <w:sz w:val="20"/>
          <w:szCs w:val="20"/>
          <w:color w:val="auto"/>
        </w:rPr>
      </w:pPr>
    </w:p>
    <w:p>
      <w:pPr>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granted options to purchase 200,000 shares of common stock to scientific founders that contain a combination of service- and performance-based vesting conditions based on (i) IND submission and</w:t>
      </w:r>
    </w:p>
    <w:p>
      <w:pPr>
        <w:jc w:val="both"/>
        <w:ind w:left="460" w:right="459" w:hanging="6"/>
        <w:spacing w:after="0" w:line="252" w:lineRule="auto"/>
        <w:tabs>
          <w:tab w:leader="none" w:pos="75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3"/>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60" w:type="dxa"/>
            <w:vAlign w:val="bottom"/>
          </w:tcPr>
          <w:p>
            <w:pPr>
              <w:spacing w:after="0"/>
              <w:rPr>
                <w:sz w:val="18"/>
                <w:szCs w:val="18"/>
                <w:color w:val="auto"/>
              </w:rPr>
            </w:pPr>
          </w:p>
        </w:tc>
        <w:tc>
          <w:tcPr>
            <w:tcW w:w="1800" w:type="dxa"/>
            <w:vAlign w:val="bottom"/>
            <w:gridSpan w:val="4"/>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6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3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4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and September 30, 2020 (unaudited), total unrecognized compensation cost related to the unvested stock-based awards was $1.6 million and $1.4 million, respectively, which is expected to be recognized over a weighted average period of 3.3 and 2.9 years,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statutory federal tax rate to that reflected in operations as of December 31, 2018 and 2019 are as follows:</w:t>
      </w:r>
    </w:p>
    <w:p>
      <w:pPr>
        <w:spacing w:after="0" w:line="1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41275</wp:posOffset>
            </wp:positionV>
            <wp:extent cx="15684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9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r>
      <w:tr>
        <w:trPr>
          <w:trHeight w:val="47"/>
        </w:trPr>
        <w:tc>
          <w:tcPr>
            <w:tcW w:w="356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0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41"/>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8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2"/>
        </w:trPr>
        <w:tc>
          <w:tcPr>
            <w:tcW w:w="35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F-56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were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4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42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18,078</w:t>
            </w: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21,476</w:t>
            </w: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140" w:type="dxa"/>
            <w:vAlign w:val="bottom"/>
            <w:gridSpan w:val="2"/>
          </w:tcPr>
          <w:p>
            <w:pPr>
              <w:spacing w:after="0"/>
              <w:rPr>
                <w:sz w:val="19"/>
                <w:szCs w:val="19"/>
                <w:color w:val="auto"/>
              </w:rPr>
            </w:pPr>
          </w:p>
        </w:tc>
      </w:tr>
      <w:tr>
        <w:trPr>
          <w:trHeight w:val="36"/>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(21,467)</w:t>
            </w: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w:t>
      </w:r>
    </w:p>
    <w:p>
      <w:pPr>
        <w:spacing w:after="0" w:line="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determine if any such changes have occurred that could limit its ability to use the net operating loss and tax credit carryforwards.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r>
      <w:tr>
        <w:trPr>
          <w:trHeight w:val="212"/>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 September 30,</w:t>
            </w: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7"/>
        </w:trPr>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(31,733)</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(26,522)</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4,811,641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5,171,537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5,133,773</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5,507,900</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Net loss per share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8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20"/>
                <w:szCs w:val="20"/>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(as converted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(as converted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9,916,375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9,102,345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24,790,938</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694,150</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428,657</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229,532</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6,782,422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8,540,318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8,123,997</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shares of Series 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(as converted to common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0"/>
        </w:trPr>
        <w:tc>
          <w:tcPr>
            <w:tcW w:w="3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43"/>
        </w:trPr>
        <w:tc>
          <w:tcPr>
            <w:tcW w:w="35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47,198,660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58,677,438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56,999,572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72,936,555</w:t>
            </w:r>
          </w:p>
        </w:tc>
      </w:tr>
      <w:tr>
        <w:trPr>
          <w:trHeight w:val="20"/>
        </w:trPr>
        <w:tc>
          <w:tcPr>
            <w:tcW w:w="3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nine months ended September 30, 2019 and 2020 (unaudited) was $827 thousand, $964 thousand, $723 thousand and $899 thousand, respectively.</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Minimum annual rent payments under this lease for the remaining term, excluding operating expenses and taxes which are not fixed for future periods as of December 31, 2019,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September 30, 2020 (unaudited).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September 30, 2020 (unaudited).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December 31, 2018 and 2019, and September 30, 2020 (unaudited), the Company was not a party to any material legal matters or claims.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Benefit plans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nine months ended September 30, 2019 and 2020 (unaudited), the Company contributed $124 thousand, $96 thousand and $103 thousand to the plan,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For the nine months ended September 30, 2020, the costs incurred under this arrangement totaled $366 thousand, which was recorded as general and administrative expense in the accompanying statement of operations. As of September 30, 2020, amounts owed under this arrangement totaled $322 thousand and is included in accounts payable in the accompanying balance sheet.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through October 30, 2020, the issuance date of its financial statements as of December 31, 2019, to ensure that these financial statements include appropriate disclosure of events both recognized in the financial statements as of December 31, 2019,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 preferred stock financing</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January 21, 2020, the Company issued 14,874,563 shares of Series B preferred stock at a price of $1.3513 per share in exchange for net proceeds of $20.1 million.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Deferral of principal payments due under term loan facility</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 of FS Development and Gemini</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Gemini executed a definitive business combination agreement between it and FS Development Corp. As a result of the proposed business combination, FS Development Corp. will be renamed to Gemini Therapeutics, Inc., or Combined Entity, and Gemini will become a wholly owned subsidiary of Combined Entity. Upon the completion of the proposed business combination transaction, the shareholders of Gemini will exchange their interests in Gemini for shares of common stock of Combined Entity. In addition, Gemini’s existing equity incentive plan will be terminated; awards issued under Gemini’s existing equity incentive plan will be exchanged for awards issued under a new equity incentive plan to be adopted by Combined Entity. Lastly, immediately after the completion of the Business Combination, certain investors have agreed to subscribe for and purchase an aggregate of $95.1 million of common stock of Combined Entity. The combined company is expected to receive net proceeds of approximately $191.2 million at the closing of the transaction (assuming no redemptions are effected by shareholders of FS Development Corp.) and will continue to operate under the Gemini management team, led by chief executive officer Jason Meyenburg. The boards of directors of both FS Development Corp. and Gemini have approved the proposed transaction. Completion of the transaction, which is expected by the first quarter of 2021, is subject to approval of FS Development Corp.’s shareholders and the satisfaction or waiver of certain other customary closing conditions.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Subsequent events (unaudited)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Company’s interim financial statements as of September 30, 2020 and for the nine months then ended, it evaluated subsequent events through December 7, 2020, the date on which those interim financial statements were issued.</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December 2020, the Company granted under the 2017 Plan 306,222 stock options to an employee with an exercise price of $1.66 per share and a grant date fair value per share of $1.12. The stock option award vests in accordance with terms typically granted under the 2017 Plan. The Company will record equity-based compensation expense of $0.3 million related to the grant over the vesting term.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15,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Representative Services LLC, as the Stockholders’ Representative,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spacing w:after="0" w:line="25"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3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62"/>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Directors of Parent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Appraisal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[INTENTIONALLY OMITTED]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CONSIDERATION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Company Securities; Convertible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Fractional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Licenses and Permits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FDA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5715"/>
                    </a:xfrm>
                    <a:prstGeom prst="rect">
                      <a:avLst/>
                    </a:prstGeom>
                    <a:noFill/>
                  </pic:spPr>
                </pic:pic>
              </a:graphicData>
            </a:graphic>
          </wp:anchor>
        </w:drawing>
      </w:r>
    </w:p>
    <w:p>
      <w:pPr>
        <w:sectPr>
          <w:pgSz w:w="11900" w:h="16864" w:orient="portrait"/>
          <w:cols w:equalWidth="0" w:num="1">
            <w:col w:w="9019"/>
          </w:cols>
          <w:pgMar w:left="1440" w:top="270" w:right="1440" w:bottom="0" w:gutter="0" w:footer="0" w:header="0"/>
        </w:sectPr>
      </w:pPr>
    </w:p>
    <w:bookmarkStart w:id="297" w:name="page298"/>
    <w:bookmarkEnd w:id="2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6"/>
        </w:trPr>
        <w:tc>
          <w:tcPr>
            <w:tcW w:w="900" w:type="dxa"/>
            <w:vAlign w:val="bottom"/>
            <w:tcBorders>
              <w:bottom w:val="single" w:sz="8" w:color="CCEEFF"/>
            </w:tcBorders>
          </w:tcPr>
          <w:p>
            <w:pPr>
              <w:spacing w:after="0"/>
              <w:rPr>
                <w:sz w:val="4"/>
                <w:szCs w:val="4"/>
                <w:color w:val="auto"/>
              </w:rPr>
            </w:pPr>
          </w:p>
        </w:tc>
        <w:tc>
          <w:tcPr>
            <w:tcW w:w="6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Fund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the Business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Exclusivity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Parent Support Agreements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Compliance with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280G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4"/>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shd w:val="clear" w:color="auto" w:fill="CCEEFF"/>
          </w:tcPr>
          <w:p>
            <w:pPr>
              <w:spacing w:after="0"/>
              <w:rPr>
                <w:sz w:val="3"/>
                <w:szCs w:val="3"/>
                <w:color w:val="auto"/>
              </w:rPr>
            </w:pPr>
          </w:p>
        </w:tc>
        <w:tc>
          <w:tcPr>
            <w:tcW w:w="6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298" w:name="page299"/>
    <w:bookmarkEnd w:id="2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6"/>
        </w:trPr>
        <w:tc>
          <w:tcPr>
            <w:tcW w:w="940" w:type="dxa"/>
            <w:vAlign w:val="bottom"/>
            <w:tcBorders>
              <w:bottom w:val="single" w:sz="8" w:color="CCEEFF"/>
            </w:tcBorders>
          </w:tcPr>
          <w:p>
            <w:pPr>
              <w:spacing w:after="0"/>
              <w:rPr>
                <w:sz w:val="4"/>
                <w:szCs w:val="4"/>
                <w:color w:val="auto"/>
              </w:rPr>
            </w:pPr>
          </w:p>
        </w:tc>
        <w:tc>
          <w:tcPr>
            <w:tcW w:w="6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Nasdaq 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Incentive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3"/>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 of Parent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of Escrow Shares by Escrow Participants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11.4</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11.5</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11.6</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 of Indemnification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11.7</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DISPUTE RESOLUTION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 Exemplary Damages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14.7</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14.10</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14.16</w:t>
            </w:r>
          </w:p>
        </w:tc>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41"/>
        </w:trPr>
        <w:tc>
          <w:tcPr>
            <w:tcW w:w="940" w:type="dxa"/>
            <w:vAlign w:val="bottom"/>
            <w:shd w:val="clear" w:color="auto" w:fill="CCEEFF"/>
          </w:tcPr>
          <w:p>
            <w:pPr>
              <w:spacing w:after="0"/>
              <w:rPr>
                <w:sz w:val="3"/>
                <w:szCs w:val="3"/>
                <w:color w:val="auto"/>
              </w:rPr>
            </w:pPr>
          </w:p>
        </w:tc>
        <w:tc>
          <w:tcPr>
            <w:tcW w:w="6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93" w:gutter="0" w:footer="0" w:header="0"/>
        </w:sectPr>
      </w:pPr>
    </w:p>
    <w:bookmarkStart w:id="299" w:name="page300"/>
    <w:bookmarkEnd w:id="299"/>
    <w:p>
      <w:pPr>
        <w:ind w:left="460"/>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B</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I</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J</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K</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L</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Exhibit M</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Equity Incentive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FIRPTA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200" w:lineRule="exact"/>
        <w:rPr>
          <w:sz w:val="20"/>
          <w:szCs w:val="20"/>
          <w:color w:val="auto"/>
        </w:rPr>
      </w:pPr>
    </w:p>
    <w:p>
      <w:pPr>
        <w:sectPr>
          <w:pgSz w:w="11900" w:h="16838" w:orient="portrait"/>
          <w:cols w:equalWidth="0" w:num="2">
            <w:col w:w="1180" w:space="520"/>
            <w:col w:w="7319"/>
          </w:cols>
          <w:pgMar w:left="1440" w:top="270" w:right="1440"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Disclosure Schedules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 Disclosure Schedules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0" w:name="page301"/>
    <w:bookmarkEnd w:id="3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AGREEMENT AND PLAN OF MERGER,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The Company is in the business of therapeutic drug development and commercialization and related activities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C. The Company Securityholders are listed on </w:t>
      </w:r>
      <w:r>
        <w:rPr>
          <w:rFonts w:ascii="Times New Roman" w:cs="Times New Roman" w:eastAsia="Times New Roman" w:hAnsi="Times New Roman"/>
          <w:sz w:val="18"/>
          <w:szCs w:val="18"/>
          <w:u w:val="single" w:color="auto"/>
          <w:color w:val="auto"/>
        </w:rPr>
        <w:t>the Capitalization 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5.5(a)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and own 100% of the issued and outstanding Company Securities;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wholly-owned subsidiary of Parent and Parent shall change its name to “Gemini Therapeutics, Inc.”;</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Specified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xml:space="preserve">”)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each of the Specified Company Securityholders has agreed to vote in favor of this Agreement and the Merger;</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 The Subscription Agreements entered into by the Specified Company Securityholders represent an aggregate portion of the Private Placement equal to $15,600,000;</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w:t>
      </w:r>
    </w:p>
    <w:p>
      <w:pPr>
        <w:spacing w:after="0" w:line="1" w:lineRule="exact"/>
        <w:rPr>
          <w:sz w:val="20"/>
          <w:szCs w:val="20"/>
          <w:color w:val="auto"/>
        </w:rPr>
      </w:pPr>
    </w:p>
    <w:p>
      <w:pPr>
        <w:jc w:val="both"/>
        <w:ind w:left="460" w:right="459" w:hanging="6"/>
        <w:spacing w:after="0" w:line="253" w:lineRule="auto"/>
        <w:tabs>
          <w:tab w:leader="none" w:pos="7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or proceeding, including any audit, claim or assessment for Taxes or otherwise, by or before any Authority.</w:t>
      </w:r>
    </w:p>
    <w:p>
      <w:pPr>
        <w:spacing w:after="0" w:line="8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means the Voting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Registration Rights Agreement, the Escrow Agreement, the Company Support Agreements, the Subscription Agreements, the Parent Support Agreements, and the Lockup Agreement.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xml:space="preserve">” means an amount equal to (a)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Private Placement,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Unpaid Parent Liabilities.</w:t>
      </w:r>
    </w:p>
    <w:p>
      <w:pPr>
        <w:spacing w:after="0" w:line="1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Schedule 4.1(j)</w:t>
      </w:r>
      <w:r>
        <w:rPr>
          <w:rFonts w:ascii="Times New Roman" w:cs="Times New Roman" w:eastAsia="Times New Roman" w:hAnsi="Times New Roman"/>
          <w:sz w:val="18"/>
          <w:szCs w:val="18"/>
          <w:color w:val="auto"/>
        </w:rPr>
        <w:t>, as updated as contemplated herein.</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Conversion Ratio</w:t>
      </w:r>
      <w:r>
        <w:rPr>
          <w:rFonts w:ascii="Times New Roman" w:cs="Times New Roman" w:eastAsia="Times New Roman" w:hAnsi="Times New Roman"/>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 Shares</w:t>
      </w:r>
      <w:r>
        <w:rPr>
          <w:rFonts w:ascii="Times New Roman" w:cs="Times New Roman" w:eastAsia="Times New Roman" w:hAnsi="Times New Roman"/>
          <w:sz w:val="18"/>
          <w:szCs w:val="18"/>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Company Series A Preferred Stock and Company Series B Preferred Stock.</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$0.001 per share.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Equity Incentive Plans.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outstanding shares of Company Capital Stock that are unvested or subject to a risk of forfeiture or repurchase option in favor of the Company.</w:t>
      </w:r>
    </w:p>
    <w:p>
      <w:pPr>
        <w:spacing w:after="0" w:line="9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 Warrant.</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 immediately prior to the Effective Time, each of which is listed on the Capitalization Schedule delivered prior to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131"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8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72"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auto"/>
        </w:rPr>
        <w:t>Controlled Person</w:t>
      </w:r>
      <w:r>
        <w:rPr>
          <w:rFonts w:ascii="Times New Roman" w:cs="Times New Roman" w:eastAsia="Times New Roman" w:hAnsi="Times New Roman"/>
          <w:sz w:val="18"/>
          <w:szCs w:val="18"/>
          <w:color w:val="auto"/>
        </w:rPr>
        <w:t>”) shall be deemed Controlled by any other Person (the “</w:t>
      </w:r>
      <w:r>
        <w:rPr>
          <w:rFonts w:ascii="Times New Roman" w:cs="Times New Roman" w:eastAsia="Times New Roman" w:hAnsi="Times New Roman"/>
          <w:sz w:val="18"/>
          <w:szCs w:val="18"/>
          <w:u w:val="single" w:color="auto"/>
          <w:color w:val="auto"/>
        </w:rPr>
        <w:t>50% Owner</w:t>
      </w:r>
      <w:r>
        <w:rPr>
          <w:rFonts w:ascii="Times New Roman" w:cs="Times New Roman" w:eastAsia="Times New Roman" w:hAnsi="Times New Roman"/>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7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75"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means the Company’s 2015 Employee, Director and Consultant Stock Option Plan and the Company’s 2017 Stock Option and Grant Plan.</w:t>
      </w:r>
    </w:p>
    <w:p>
      <w:pPr>
        <w:spacing w:after="0" w:line="67"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3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8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w:t>
      </w:r>
      <w:r>
        <w:rPr>
          <w:rFonts w:ascii="Times New Roman" w:cs="Times New Roman" w:eastAsia="Times New Roman" w:hAnsi="Times New Roman"/>
          <w:sz w:val="18"/>
          <w:szCs w:val="18"/>
          <w:color w:val="auto"/>
        </w:rPr>
        <w:t>” means each Person who holds Company Common Stock or Company Preferred Stock, in each case, as of immediately prior to the Effective Time.</w:t>
      </w:r>
    </w:p>
    <w:p>
      <w:pPr>
        <w:spacing w:after="0" w:line="79" w:lineRule="exact"/>
        <w:rPr>
          <w:sz w:val="20"/>
          <w:szCs w:val="20"/>
          <w:color w:val="auto"/>
        </w:rPr>
      </w:pPr>
    </w:p>
    <w:p>
      <w:pPr>
        <w:jc w:val="both"/>
        <w:ind w:left="460" w:right="459" w:firstLine="86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 Company Securities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p>
    <w:p>
      <w:pPr>
        <w:ind w:left="460" w:right="479" w:hanging="6"/>
        <w:spacing w:after="0" w:line="260" w:lineRule="auto"/>
        <w:tabs>
          <w:tab w:leader="none" w:pos="72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Company Preferred Stock (on an as converted to Company Common Stock basis) that are issued and outstanding immediately prior to the Effective Time.</w:t>
      </w:r>
    </w:p>
    <w:p>
      <w:pPr>
        <w:spacing w:after="0" w:line="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Shares</w:t>
      </w:r>
      <w:r>
        <w:rPr>
          <w:rFonts w:ascii="Times New Roman" w:cs="Times New Roman" w:eastAsia="Times New Roman" w:hAnsi="Times New Roman"/>
          <w:sz w:val="18"/>
          <w:szCs w:val="18"/>
          <w:color w:val="auto"/>
        </w:rPr>
        <w:t>” means 2,150,000 Parent Class A Shares to be held in escrow for indemnification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purposes.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8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02"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5" w:name="page306"/>
    <w:bookmarkEnd w:id="3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13, 2020.</w:t>
      </w:r>
    </w:p>
    <w:p>
      <w:pPr>
        <w:spacing w:after="0" w:line="158"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w:t>
      </w:r>
    </w:p>
    <w:p>
      <w:pPr>
        <w:spacing w:after="0" w:line="5" w:lineRule="exact"/>
        <w:rPr>
          <w:sz w:val="20"/>
          <w:szCs w:val="20"/>
          <w:color w:val="auto"/>
        </w:rPr>
      </w:pPr>
    </w:p>
    <w:p>
      <w:pPr>
        <w:ind w:left="680" w:hanging="226"/>
        <w:spacing w:after="0"/>
        <w:tabs>
          <w:tab w:leader="none" w:pos="6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leases required to be accounted for as capital leases under U.S. GAAP,</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of Jason Meyenburg and Gregg Beloff.</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Known by Parent</w:t>
      </w:r>
      <w:r>
        <w:rPr>
          <w:rFonts w:ascii="Times New Roman" w:cs="Times New Roman" w:eastAsia="Times New Roman" w:hAnsi="Times New Roman"/>
          <w:sz w:val="18"/>
          <w:szCs w:val="18"/>
          <w:color w:val="auto"/>
        </w:rPr>
        <w:t>” or similar terms (whether or not capitalized) means the actual knowledge of Jim Tananbaum and Dennis Ryan.</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together with all fixtures and improvements erected on the premises leased thereby.</w:t>
      </w:r>
    </w:p>
    <w:p>
      <w:pPr>
        <w:spacing w:after="0" w:line="9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each case substantially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Sections 10.2(b)</w:t>
      </w:r>
      <w:r>
        <w:rPr>
          <w:rFonts w:ascii="Times New Roman" w:cs="Times New Roman" w:eastAsia="Times New Roman" w:hAnsi="Times New Roman"/>
          <w:sz w:val="18"/>
          <w:szCs w:val="18"/>
          <w:color w:val="auto"/>
        </w:rPr>
        <w:t>); (h) 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rule or consent of or by 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Authority.</w:t>
      </w:r>
    </w:p>
    <w:p>
      <w:pPr>
        <w:spacing w:after="0" w:line="139"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Certificate of Incorporation</w:t>
      </w:r>
      <w:r>
        <w:rPr>
          <w:rFonts w:ascii="Times New Roman" w:cs="Times New Roman" w:eastAsia="Times New Roman" w:hAnsi="Times New Roman"/>
          <w:sz w:val="18"/>
          <w:szCs w:val="18"/>
          <w:color w:val="auto"/>
        </w:rPr>
        <w:t>” means the Amended and Restated Certificate of Incorporation of the Company, as filed on August 11, 2020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the Class A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the Class B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Parent Class A Shares and Parent Class B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95"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2" w:lineRule="exact"/>
        <w:rPr>
          <w:sz w:val="20"/>
          <w:szCs w:val="20"/>
          <w:color w:val="auto"/>
        </w:rPr>
      </w:pPr>
    </w:p>
    <w:p>
      <w:pPr>
        <w:jc w:val="both"/>
        <w:ind w:left="460" w:right="459" w:firstLine="86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Securityholder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5.15(a)(vi)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each entity of which at least fifty percent (50%) of the capital stock or other equity or voting securities are Controlled or owned, directly or indirectly, by the Company.</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means Silicon Valley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 Loan</w:t>
      </w:r>
      <w:r>
        <w:rPr>
          <w:rFonts w:ascii="Times New Roman" w:cs="Times New Roman" w:eastAsia="Times New Roman" w:hAnsi="Times New Roman"/>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0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13"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2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to occur at or immediately prior to the Closing, including the Merger.</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means the Parent Liabilities that remain unpaid as of immediately prior to the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158"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has the meaning set forth in the definition of Additional Agreements.</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of the Parent Class A Shares for the ten (10) Trading Days ending on the Trading Day immediately preceding the Closing Date.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6" w:lineRule="auto"/>
        <w:tabs>
          <w:tab w:leader="none" w:pos="156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3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4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9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5.25(d)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69" w:lineRule="auto"/>
        <w:tabs>
          <w:tab w:leader="none" w:pos="1594"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7"/>
          <w:szCs w:val="17"/>
          <w:u w:val="single" w:color="auto"/>
          <w:color w:val="auto"/>
        </w:rPr>
        <w:t>Securities Filing</w:t>
      </w:r>
      <w:r>
        <w:rPr>
          <w:rFonts w:ascii="Times New Roman" w:cs="Times New Roman" w:eastAsia="Times New Roman" w:hAnsi="Times New Roman"/>
          <w:sz w:val="17"/>
          <w:szCs w:val="17"/>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Opinion</w:t>
      </w:r>
      <w:r>
        <w:rPr>
          <w:rFonts w:ascii="Times New Roman" w:cs="Times New Roman" w:eastAsia="Times New Roman" w:hAnsi="Times New Roman"/>
          <w:sz w:val="17"/>
          <w:szCs w:val="17"/>
          <w:color w:val="auto"/>
        </w:rPr>
        <w:t>”), (i) the Company shall use its reasonable best efforts to deliver to Goodwin Procter LLP (“</w:t>
      </w:r>
      <w:r>
        <w:rPr>
          <w:rFonts w:ascii="Times New Roman" w:cs="Times New Roman" w:eastAsia="Times New Roman" w:hAnsi="Times New Roman"/>
          <w:sz w:val="17"/>
          <w:szCs w:val="17"/>
          <w:u w:val="single" w:color="auto"/>
          <w:color w:val="auto"/>
        </w:rPr>
        <w:t>Goodwin</w:t>
      </w:r>
      <w:r>
        <w:rPr>
          <w:rFonts w:ascii="Times New Roman" w:cs="Times New Roman" w:eastAsia="Times New Roman" w:hAnsi="Times New Roman"/>
          <w:sz w:val="17"/>
          <w:szCs w:val="17"/>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Business Day after the satisfaction or waiver (to the extent permitted by applicable law) of the conditions set forth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2" w:name="page313"/>
    <w:bookmarkEnd w:id="3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Board of Directors of Parent</w:t>
      </w:r>
      <w:r>
        <w:rPr>
          <w:rFonts w:ascii="Times New Roman" w:cs="Times New Roman" w:eastAsia="Times New Roman" w:hAnsi="Times New Roman"/>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3" w:name="page314"/>
    <w:bookmarkEnd w:id="3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Conversion of Company Securities; Convertible Notes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firstLine="858"/>
        <w:spacing w:after="0" w:line="253" w:lineRule="auto"/>
        <w:tabs>
          <w:tab w:leader="none" w:pos="1568"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Company Capital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at the Effective Time, by virtue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Merger and without any action 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2"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Company Options. </w:t>
      </w:r>
      <w:r>
        <w:rPr>
          <w:rFonts w:ascii="Times New Roman" w:cs="Times New Roman" w:eastAsia="Times New Roman" w:hAnsi="Times New Roman"/>
          <w:sz w:val="18"/>
          <w:szCs w:val="18"/>
          <w:color w:val="auto"/>
        </w:rPr>
        <w:t>The Company shall terminate the Equity Incentive Plans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Effective Time, contingent 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w:t>
      </w:r>
    </w:p>
    <w:p>
      <w:pPr>
        <w:jc w:val="both"/>
        <w:ind w:left="460" w:right="459" w:hanging="6"/>
        <w:spacing w:after="0" w:line="251" w:lineRule="auto"/>
        <w:tabs>
          <w:tab w:leader="none" w:pos="77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109" w:lineRule="exact"/>
        <w:rPr>
          <w:rFonts w:ascii="Times New Roman" w:cs="Times New Roman" w:eastAsia="Times New Roman" w:hAnsi="Times New Roman"/>
          <w:sz w:val="18"/>
          <w:szCs w:val="18"/>
          <w:color w:val="auto"/>
        </w:rPr>
      </w:pPr>
    </w:p>
    <w:p>
      <w:pPr>
        <w:ind w:left="460" w:right="459" w:firstLine="858"/>
        <w:spacing w:after="0" w:line="284" w:lineRule="auto"/>
        <w:tabs>
          <w:tab w:leader="none" w:pos="156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the Company Warrant</w:t>
      </w:r>
      <w:r>
        <w:rPr>
          <w:rFonts w:ascii="Times New Roman" w:cs="Times New Roman" w:eastAsia="Times New Roman" w:hAnsi="Times New Roman"/>
          <w:sz w:val="18"/>
          <w:szCs w:val="18"/>
          <w:color w:val="auto"/>
        </w:rPr>
        <w:t>. At the Effective Time, the Company Warrant will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its terms.</w:t>
      </w:r>
    </w:p>
    <w:p>
      <w:pPr>
        <w:spacing w:after="0" w:line="90" w:lineRule="exact"/>
        <w:rPr>
          <w:rFonts w:ascii="Times New Roman" w:cs="Times New Roman" w:eastAsia="Times New Roman" w:hAnsi="Times New Roman"/>
          <w:sz w:val="18"/>
          <w:szCs w:val="18"/>
          <w:color w:val="auto"/>
        </w:rPr>
      </w:pPr>
    </w:p>
    <w:p>
      <w:pPr>
        <w:jc w:val="both"/>
        <w:ind w:left="460" w:right="459" w:firstLine="858"/>
        <w:spacing w:after="0" w:line="267" w:lineRule="auto"/>
        <w:tabs>
          <w:tab w:leader="none" w:pos="1592"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Convertible Notes. </w:t>
      </w:r>
      <w:r>
        <w:rPr>
          <w:rFonts w:ascii="Times New Roman" w:cs="Times New Roman" w:eastAsia="Times New Roman" w:hAnsi="Times New Roman"/>
          <w:sz w:val="18"/>
          <w:szCs w:val="18"/>
          <w:color w:val="auto"/>
        </w:rPr>
        <w:t>Prior to the Closing, each Convertible Note will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Company Series B Preferred Stock in accordance with the terms thereof, in each case, as set forth on Capitalization Schedule delivered prior to Closing.</w:t>
      </w:r>
    </w:p>
    <w:p>
      <w:pPr>
        <w:spacing w:after="0" w:line="105"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2"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Merger Sub</w:t>
      </w:r>
      <w:r>
        <w:rPr>
          <w:rFonts w:ascii="Times New Roman" w:cs="Times New Roman" w:eastAsia="Times New Roman" w:hAnsi="Times New Roman"/>
          <w:sz w:val="18"/>
          <w:szCs w:val="18"/>
          <w:color w:val="auto"/>
        </w:rPr>
        <w:t>. Each share of Merger Sub that is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4" w:name="page315"/>
    <w:bookmarkEnd w:id="3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858"/>
        <w:spacing w:after="0" w:line="267" w:lineRule="auto"/>
        <w:tabs>
          <w:tab w:leader="none" w:pos="154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Shares of Company Common Stock Owned by the Company</w:t>
      </w:r>
      <w:r>
        <w:rPr>
          <w:rFonts w:ascii="Times New Roman" w:cs="Times New Roman" w:eastAsia="Times New Roman" w:hAnsi="Times New Roman"/>
          <w:sz w:val="18"/>
          <w:szCs w:val="18"/>
          <w:color w:val="auto"/>
        </w:rPr>
        <w:t>. At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shares of Company Common Stock that are owned by the Company as treasury shares immediately prior to the Effective Time shall be canceled and extinguished without any conversion thereof.</w:t>
      </w:r>
    </w:p>
    <w:p>
      <w:pPr>
        <w:spacing w:after="0" w:line="10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Certificates</w:t>
      </w:r>
      <w:r>
        <w:rPr>
          <w:rFonts w:ascii="Times New Roman" w:cs="Times New Roman" w:eastAsia="Times New Roman" w:hAnsi="Times New Roman"/>
          <w:sz w:val="18"/>
          <w:szCs w:val="18"/>
          <w:color w:val="auto"/>
        </w:rPr>
        <w:t>. All Closing Payment Shares issued upon the surrender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cancellation of the Company Common Stock, in 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0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Lost or Destroyed Certificates</w:t>
      </w:r>
      <w:r>
        <w:rPr>
          <w:rFonts w:ascii="Times New Roman" w:cs="Times New Roman" w:eastAsia="Times New Roman" w:hAnsi="Times New Roman"/>
          <w:sz w:val="18"/>
          <w:szCs w:val="18"/>
          <w:color w:val="auto"/>
        </w:rPr>
        <w:t>. In the event any certificates representing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shall have been lost, 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9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Shares</w:t>
      </w:r>
      <w:r>
        <w:rPr>
          <w:rFonts w:ascii="Times New Roman" w:cs="Times New Roman" w:eastAsia="Times New Roman" w:hAnsi="Times New Roman"/>
          <w:sz w:val="18"/>
          <w:szCs w:val="18"/>
          <w:color w:val="auto"/>
        </w:rPr>
        <w:t>. Notwithstanding anything to the contrary in the other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Parent shall withhold from the 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5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Schedule</w:t>
      </w:r>
      <w:r>
        <w:rPr>
          <w:rFonts w:ascii="Times New Roman" w:cs="Times New Roman" w:eastAsia="Times New Roman" w:hAnsi="Times New Roman"/>
          <w:sz w:val="18"/>
          <w:szCs w:val="18"/>
          <w:color w:val="auto"/>
        </w:rPr>
        <w:t>. No later than three (3) Business Days prior to the Closing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deliver to Parent a final 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(vii) such Company Securityholder’s Pro Rata Portion, if any. Nothing contained in this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7.1(a)(xvi)</w:t>
      </w:r>
      <w:r>
        <w:rPr>
          <w:rFonts w:ascii="Times New Roman" w:cs="Times New Roman" w:eastAsia="Times New Roman" w:hAnsi="Times New Roman"/>
          <w:sz w:val="18"/>
          <w:szCs w:val="18"/>
          <w:color w:val="auto"/>
        </w:rPr>
        <w:t>; or (y) alter or amend the total aggregate number of Closing Payment Shares issuable or reserved for issuance to the Company Securityholders; or (z) alter or amend the definition of Closing Consideration Conversion Ratio.</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0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87"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balance sheet of the Company as of June 30, 2020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2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 specifically disclosed, reflected or fully reserved against on the Balance Sheet;</w:t>
      </w:r>
    </w:p>
    <w:p>
      <w:pPr>
        <w:spacing w:after="0" w:line="27"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date of the Balance Sheet;</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5.9(b)</w:t>
      </w:r>
      <w:r>
        <w:rPr>
          <w:rFonts w:ascii="Times New Roman" w:cs="Times New Roman" w:eastAsia="Times New Roman" w:hAnsi="Times New Roman"/>
          <w:sz w:val="18"/>
          <w:szCs w:val="18"/>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 5.13(b),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56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lists all of the following Contracts (collectively, such Contracts that are listed or should be listed on </w:t>
      </w: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as of the date of this Agreement, the Company is a party or by which any of its assets is bound and which are currently in effect:</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18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72"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4" w:lineRule="auto"/>
        <w:tabs>
          <w:tab w:leader="none" w:pos="232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2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85"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 to which the Company is a party;</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5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65"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9" w:name="page320"/>
    <w:bookmarkEnd w:id="3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generally commercially available software (including open source software) or hosted services,</w:t>
      </w:r>
    </w:p>
    <w:p>
      <w:pPr>
        <w:spacing w:after="0" w:line="27" w:lineRule="exact"/>
        <w:rPr>
          <w:sz w:val="20"/>
          <w:szCs w:val="20"/>
          <w:color w:val="auto"/>
        </w:rPr>
      </w:pPr>
    </w:p>
    <w:p>
      <w:pPr>
        <w:jc w:val="both"/>
        <w:ind w:left="880" w:right="459" w:firstLine="6"/>
        <w:spacing w:after="0" w:line="255" w:lineRule="auto"/>
        <w:tabs>
          <w:tab w:leader="none" w:pos="116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880" w:right="459" w:firstLine="1086"/>
        <w:spacing w:after="0" w:line="282" w:lineRule="auto"/>
        <w:tabs>
          <w:tab w:leader="none" w:pos="2321"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limiting the freedom of the Company to compete in any line of business or industry, with any Person or in any geographic area;</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40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86"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08"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18"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307"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39"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76"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2"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16"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1" w:lineRule="auto"/>
        <w:tabs>
          <w:tab w:leader="none" w:pos="2387"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12" w:lineRule="exact"/>
        <w:rPr>
          <w:rFonts w:ascii="Times New Roman" w:cs="Times New Roman" w:eastAsia="Times New Roman" w:hAnsi="Times New Roman"/>
          <w:sz w:val="18"/>
          <w:szCs w:val="18"/>
          <w:color w:val="auto"/>
        </w:rPr>
      </w:pPr>
    </w:p>
    <w:p>
      <w:pPr>
        <w:ind w:left="2500" w:hanging="534"/>
        <w:spacing w:after="0"/>
        <w:tabs>
          <w:tab w:leader="none" w:pos="250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w:t>
      </w:r>
    </w:p>
    <w:p>
      <w:pPr>
        <w:spacing w:after="0" w:line="125" w:lineRule="exact"/>
        <w:rPr>
          <w:rFonts w:ascii="Times New Roman" w:cs="Times New Roman" w:eastAsia="Times New Roman" w:hAnsi="Times New Roman"/>
          <w:sz w:val="18"/>
          <w:szCs w:val="18"/>
          <w:color w:val="auto"/>
        </w:rPr>
      </w:pPr>
    </w:p>
    <w:p>
      <w:pPr>
        <w:ind w:left="2460" w:hanging="494"/>
        <w:spacing w:after="0"/>
        <w:tabs>
          <w:tab w:leader="none" w:pos="246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39"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8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2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Such Permits are valid and in full force and effect, and none of the Permits will, assuming the related Company Consent has been obtained or waived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0" w:name="page321"/>
    <w:bookmarkEnd w:id="3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7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1" w:lineRule="auto"/>
        <w:tabs>
          <w:tab w:leader="none" w:pos="160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 (2) 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1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Company has a valid right to use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that are used (but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1" w:name="page322"/>
    <w:bookmarkEnd w:id="3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12" w:lineRule="exact"/>
        <w:rPr>
          <w:sz w:val="20"/>
          <w:szCs w:val="20"/>
          <w:color w:val="auto"/>
        </w:rPr>
      </w:pPr>
    </w:p>
    <w:p>
      <w:pPr>
        <w:jc w:val="both"/>
        <w:ind w:left="460" w:right="459" w:firstLine="858"/>
        <w:spacing w:after="0" w:line="253" w:lineRule="auto"/>
        <w:tabs>
          <w:tab w:leader="none" w:pos="162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registered Intellectual Property Rights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5.18(d)</w:t>
      </w:r>
      <w:r>
        <w:rPr>
          <w:rFonts w:ascii="Times New Roman" w:cs="Times New Roman" w:eastAsia="Times New Roman" w:hAnsi="Times New Roman"/>
          <w:sz w:val="18"/>
          <w:szCs w:val="18"/>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4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26" w:lineRule="exact"/>
        <w:rPr>
          <w:rFonts w:ascii="Times New Roman" w:cs="Times New Roman" w:eastAsia="Times New Roman" w:hAnsi="Times New Roman"/>
          <w:sz w:val="18"/>
          <w:szCs w:val="18"/>
          <w:color w:val="auto"/>
        </w:rPr>
      </w:pPr>
    </w:p>
    <w:p>
      <w:pPr>
        <w:jc w:val="both"/>
        <w:ind w:left="460" w:right="479" w:firstLine="858"/>
        <w:spacing w:after="0" w:line="254" w:lineRule="auto"/>
        <w:tabs>
          <w:tab w:leader="none" w:pos="159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5.18(g</w:t>
      </w:r>
      <w:r>
        <w:rPr>
          <w:rFonts w:ascii="Times New Roman" w:cs="Times New Roman" w:eastAsia="Times New Roman" w:hAnsi="Times New Roman"/>
          <w:sz w:val="18"/>
          <w:szCs w:val="18"/>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5.18(g)</w:t>
      </w:r>
      <w:r>
        <w:rPr>
          <w:rFonts w:ascii="Times New Roman" w:cs="Times New Roman" w:eastAsia="Times New Roman" w:hAnsi="Times New Roman"/>
          <w:sz w:val="18"/>
          <w:szCs w:val="18"/>
          <w:color w:val="auto"/>
        </w:rPr>
        <w:t>, has licensed to the Company rights to use such Intellectual Property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2" w:name="page323"/>
    <w:bookmarkEnd w:id="3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6" w:lineRule="auto"/>
        <w:tabs>
          <w:tab w:leader="none" w:pos="162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3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4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Schedule 5.15(a)(vi)</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7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2018, in compliance in all material respects with all applicable healthcare Laws, including (i) 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3" w:name="page324"/>
    <w:bookmarkEnd w:id="3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7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w:t>
      </w:r>
    </w:p>
    <w:p>
      <w:pPr>
        <w:spacing w:after="0" w:line="3"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9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manufactured or distributed by the Company is</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66" w:lineRule="auto"/>
        <w:tabs>
          <w:tab w:leader="none" w:pos="159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the Company is not indebted to any of its Affiliates and no Affiliates are indebted to the Company.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6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5.21(a)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4" w:name="page325"/>
    <w:bookmarkEnd w:id="3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1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08"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 contemplated hereby.</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4" w:lineRule="auto"/>
        <w:tabs>
          <w:tab w:leader="none" w:pos="1568"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07"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6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6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12"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87"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7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6" w:name="page327"/>
    <w:bookmarkEnd w:id="3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7" w:lineRule="auto"/>
        <w:tabs>
          <w:tab w:leader="none" w:pos="157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1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7" w:name="page328"/>
    <w:bookmarkEnd w:id="3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08" w:lineRule="exact"/>
        <w:rPr>
          <w:sz w:val="20"/>
          <w:szCs w:val="20"/>
          <w:color w:val="auto"/>
        </w:rPr>
      </w:pPr>
    </w:p>
    <w:p>
      <w:pPr>
        <w:jc w:val="both"/>
        <w:ind w:left="460" w:right="459" w:firstLine="858"/>
        <w:spacing w:after="0" w:line="258" w:lineRule="auto"/>
        <w:tabs>
          <w:tab w:leader="none" w:pos="157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 “reportable transaction” within the meaning of United States Treasury regulations Section 1.6011-4(b).</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5.29</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involving the Company with respect to the Money Laundering Laws is pending or, to the Knowledge of the Company, threatened.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are set forth on </w:t>
      </w:r>
      <w:r>
        <w:rPr>
          <w:rFonts w:ascii="Times New Roman" w:cs="Times New Roman" w:eastAsia="Times New Roman" w:hAnsi="Times New Roman"/>
          <w:sz w:val="18"/>
          <w:szCs w:val="18"/>
          <w:u w:val="single" w:color="auto"/>
          <w:color w:val="auto"/>
        </w:rPr>
        <w:t>Schedule 5.31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8" w:name="page329"/>
    <w:bookmarkEnd w:id="3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xml:space="preserve"> was entered into on a basis other than on arm’s length.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9" w:name="page330"/>
    <w:bookmarkEnd w:id="3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Closing Payment Shares, when issued in accordance with this Agreement, will be duly authorized and validly issued, and will be fully paid and nonassessable.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22" w:lineRule="exact"/>
        <w:rPr>
          <w:rFonts w:ascii="Times New Roman" w:cs="Times New Roman" w:eastAsia="Times New Roman" w:hAnsi="Times New Roman"/>
          <w:sz w:val="18"/>
          <w:szCs w:val="18"/>
          <w:color w:val="auto"/>
        </w:rPr>
      </w:pPr>
    </w:p>
    <w:p>
      <w:pPr>
        <w:jc w:val="both"/>
        <w:ind w:left="460" w:right="479" w:firstLine="858"/>
        <w:spacing w:after="0" w:line="253" w:lineRule="auto"/>
        <w:tabs>
          <w:tab w:leader="none" w:pos="159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0" w:name="page331"/>
    <w:bookmarkEnd w:id="3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Class A Shares are listed on Nasdaq, with trading ticker “FSDC.”</w:t>
      </w:r>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6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expressly for inclusion or incorporation by reference in the SEC Statement or Other Filing.</w:t>
      </w:r>
    </w:p>
    <w:p>
      <w:pPr>
        <w:spacing w:after="0" w:line="9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w:t>
      </w:r>
    </w:p>
    <w:p>
      <w:pPr>
        <w:spacing w:after="0" w:line="5" w:lineRule="exact"/>
        <w:rPr>
          <w:sz w:val="20"/>
          <w:szCs w:val="20"/>
          <w:color w:val="auto"/>
        </w:rPr>
      </w:pPr>
    </w:p>
    <w:p>
      <w:pPr>
        <w:ind w:left="460" w:right="479" w:hanging="6"/>
        <w:spacing w:after="0" w:line="260" w:lineRule="auto"/>
        <w:tabs>
          <w:tab w:leader="none" w:pos="67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business or prospects of Parent and (ii) subject Parent to suit or penalty in any private or governmental Action.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1" w:name="page332"/>
    <w:bookmarkEnd w:id="3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Parent does not have any Indebtedness or other liabilities.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76" w:lineRule="auto"/>
        <w:tabs>
          <w:tab w:leader="none" w:pos="1569"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Parent has duly and timely filed all income and other material Tax Returns which are required to be filed by or with respect to it, and has paid all income and other material Taxes which have become due;</w:t>
      </w:r>
    </w:p>
    <w:p>
      <w:pPr>
        <w:jc w:val="both"/>
        <w:ind w:left="460" w:right="459" w:hanging="6"/>
        <w:spacing w:after="0" w:line="250" w:lineRule="auto"/>
        <w:tabs>
          <w:tab w:leader="none" w:pos="74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7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5"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2" w:name="page333"/>
    <w:bookmarkEnd w:id="3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21" w:lineRule="exact"/>
        <w:rPr>
          <w:sz w:val="20"/>
          <w:szCs w:val="20"/>
          <w:color w:val="auto"/>
        </w:rPr>
      </w:pPr>
    </w:p>
    <w:p>
      <w:pPr>
        <w:jc w:val="both"/>
        <w:ind w:left="460" w:right="459" w:firstLine="858"/>
        <w:spacing w:after="0" w:line="272" w:lineRule="auto"/>
        <w:tabs>
          <w:tab w:leader="none" w:pos="1569"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exceed that reserve as adjusted for the passage of time through the Closing Date in accordance with the past custom and practice of Parent in filing its Tax Return.</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3"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1"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engaged in a “reportable transaction” within the meaning of United States Treasury regulations Section 1.6011-4(b).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158" w:lineRule="exact"/>
        <w:rPr>
          <w:sz w:val="20"/>
          <w:szCs w:val="20"/>
          <w:color w:val="auto"/>
        </w:rPr>
      </w:pPr>
    </w:p>
    <w:p>
      <w:pPr>
        <w:jc w:val="both"/>
        <w:ind w:left="460" w:right="459" w:firstLine="858"/>
        <w:spacing w:after="0" w:line="254" w:lineRule="auto"/>
        <w:tabs>
          <w:tab w:leader="none" w:pos="158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20"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3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5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1" w:lineRule="auto"/>
        <w:tabs>
          <w:tab w:leader="none" w:pos="233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12" w:lineRule="exact"/>
        <w:rPr>
          <w:rFonts w:ascii="Times New Roman" w:cs="Times New Roman" w:eastAsia="Times New Roman" w:hAnsi="Times New Roman"/>
          <w:sz w:val="18"/>
          <w:szCs w:val="18"/>
          <w:color w:val="auto"/>
        </w:rPr>
      </w:pPr>
    </w:p>
    <w:p>
      <w:pPr>
        <w:ind w:left="4060" w:right="479" w:hanging="2094"/>
        <w:spacing w:after="0" w:line="485" w:lineRule="auto"/>
        <w:tabs>
          <w:tab w:leader="none" w:pos="227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$200,000 (individually or in the aggregate); 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3" w:name="page334"/>
    <w:bookmarkEnd w:id="33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66" w:lineRule="auto"/>
        <w:tabs>
          <w:tab w:leader="none" w:pos="22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55" w:lineRule="auto"/>
        <w:tabs>
          <w:tab w:leader="none" w:pos="2272"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21" w:lineRule="exact"/>
        <w:rPr>
          <w:rFonts w:ascii="Times New Roman" w:cs="Times New Roman" w:eastAsia="Times New Roman" w:hAnsi="Times New Roman"/>
          <w:sz w:val="18"/>
          <w:szCs w:val="18"/>
          <w:color w:val="auto"/>
        </w:rPr>
      </w:pPr>
    </w:p>
    <w:p>
      <w:pPr>
        <w:jc w:val="both"/>
        <w:ind w:left="880" w:right="459" w:firstLine="1086"/>
        <w:spacing w:after="0" w:line="257" w:lineRule="auto"/>
        <w:tabs>
          <w:tab w:leader="none" w:pos="234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spacing w:after="0" w:line="1" w:lineRule="exact"/>
        <w:rPr>
          <w:rFonts w:ascii="Times New Roman" w:cs="Times New Roman" w:eastAsia="Times New Roman" w:hAnsi="Times New Roman"/>
          <w:sz w:val="18"/>
          <w:szCs w:val="18"/>
          <w:color w:val="auto"/>
        </w:rPr>
      </w:pPr>
    </w:p>
    <w:p>
      <w:pPr>
        <w:jc w:val="both"/>
        <w:ind w:left="880" w:right="479" w:firstLine="6"/>
        <w:spacing w:after="0" w:line="255" w:lineRule="auto"/>
        <w:tabs>
          <w:tab w:leader="none" w:pos="116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04" w:lineRule="exact"/>
        <w:rPr>
          <w:rFonts w:ascii="Times New Roman" w:cs="Times New Roman" w:eastAsia="Times New Roman" w:hAnsi="Times New Roman"/>
          <w:sz w:val="18"/>
          <w:szCs w:val="18"/>
          <w:color w:val="auto"/>
        </w:rPr>
      </w:pPr>
    </w:p>
    <w:p>
      <w:pPr>
        <w:ind w:left="2380" w:hanging="414"/>
        <w:spacing w:after="0"/>
        <w:tabs>
          <w:tab w:leader="none" w:pos="238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or incur any Lien, except for Permitted Liens, on the Company’s or Parent’s, as</w:t>
      </w:r>
    </w:p>
    <w:p>
      <w:pPr>
        <w:spacing w:after="0" w:line="38"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applicable, assets;</w:t>
      </w:r>
    </w:p>
    <w:p>
      <w:pPr>
        <w:spacing w:after="0" w:line="139" w:lineRule="exact"/>
        <w:rPr>
          <w:rFonts w:ascii="Times New Roman" w:cs="Times New Roman" w:eastAsia="Times New Roman" w:hAnsi="Times New Roman"/>
          <w:sz w:val="17"/>
          <w:szCs w:val="17"/>
          <w:color w:val="auto"/>
        </w:rPr>
      </w:pPr>
    </w:p>
    <w:p>
      <w:pPr>
        <w:jc w:val="both"/>
        <w:ind w:left="880" w:right="459" w:firstLine="1086"/>
        <w:spacing w:after="0" w:line="266" w:lineRule="auto"/>
        <w:tabs>
          <w:tab w:leader="none" w:pos="226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2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8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4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or fail to continue to make timely contributions to each benefit plan in accordance with the terms thereof;</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 value of its assets;</w:t>
      </w:r>
    </w:p>
    <w:p>
      <w:pPr>
        <w:spacing w:after="0" w:line="94"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157"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37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or (C) with respect to Parent, as otherwise contemplated by this Agreement or any Additional Agreement);</w:t>
      </w:r>
    </w:p>
    <w:p>
      <w:pPr>
        <w:spacing w:after="0" w:line="102"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42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45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or distribute or advance any assets or property to any of its Affiliates, other than the payment of salary and benefits in the ordinary course;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4" w:name="page335"/>
    <w:bookmarkEnd w:id="3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53" w:lineRule="auto"/>
        <w:tabs>
          <w:tab w:leader="none" w:pos="237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case of the Company, other than as required by a Plan, as set forth on </w:t>
      </w:r>
      <w:r>
        <w:rPr>
          <w:rFonts w:ascii="Times New Roman" w:cs="Times New Roman" w:eastAsia="Times New Roman" w:hAnsi="Times New Roman"/>
          <w:sz w:val="18"/>
          <w:szCs w:val="18"/>
          <w:u w:val="single" w:color="auto"/>
          <w:color w:val="auto"/>
        </w:rPr>
        <w:t>Schedule 7.1(a)(xix)</w:t>
      </w:r>
      <w:r>
        <w:rPr>
          <w:rFonts w:ascii="Times New Roman" w:cs="Times New Roman" w:eastAsia="Times New Roman" w:hAnsi="Times New Roman"/>
          <w:sz w:val="18"/>
          <w:szCs w:val="18"/>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22"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enter into any Affiliate Transactions;</w:t>
      </w:r>
    </w:p>
    <w:p>
      <w:pPr>
        <w:spacing w:after="0" w:line="157"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in all material respects to all applicable Law, including the Exchange Act, and Orders; or</w:t>
      </w:r>
    </w:p>
    <w:p>
      <w:pPr>
        <w:spacing w:after="0" w:line="80" w:lineRule="exact"/>
        <w:rPr>
          <w:rFonts w:ascii="Times New Roman" w:cs="Times New Roman" w:eastAsia="Times New Roman" w:hAnsi="Times New Roman"/>
          <w:sz w:val="18"/>
          <w:szCs w:val="18"/>
          <w:color w:val="auto"/>
        </w:rPr>
      </w:pPr>
    </w:p>
    <w:p>
      <w:pPr>
        <w:ind w:left="2420" w:hanging="454"/>
        <w:spacing w:after="0"/>
        <w:tabs>
          <w:tab w:leader="none" w:pos="24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do any of the foregoing.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5" w:name="page336"/>
    <w:bookmarkEnd w:id="33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Parent and the Company shall promptly notify the other party of:</w:t>
      </w:r>
    </w:p>
    <w:p>
      <w:pPr>
        <w:spacing w:after="0" w:line="158" w:lineRule="exact"/>
        <w:rPr>
          <w:sz w:val="20"/>
          <w:szCs w:val="20"/>
          <w:color w:val="auto"/>
        </w:rPr>
      </w:pPr>
    </w:p>
    <w:p>
      <w:pPr>
        <w:jc w:val="both"/>
        <w:ind w:left="460" w:right="459" w:firstLine="858"/>
        <w:spacing w:after="0" w:line="258" w:lineRule="auto"/>
        <w:tabs>
          <w:tab w:leader="none" w:pos="15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0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 contemplated by this Agreement or the Additional Agreements;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Change;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not to be satisfied.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8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permit the Company and its counsel to review and comment on the Proxy Statement and Form S-4 and any exhibits, amendments or supplements thereto (or other related documents);</w:t>
      </w:r>
    </w:p>
    <w:p>
      <w:pPr>
        <w:jc w:val="both"/>
        <w:ind w:left="460" w:right="459" w:hanging="6"/>
        <w:spacing w:after="0" w:line="251" w:lineRule="auto"/>
        <w:tabs>
          <w:tab w:leader="none" w:pos="73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6" w:name="page337"/>
    <w:bookmarkEnd w:id="3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20" w:lineRule="exact"/>
        <w:rPr>
          <w:sz w:val="20"/>
          <w:szCs w:val="20"/>
          <w:color w:val="auto"/>
        </w:rPr>
      </w:pPr>
    </w:p>
    <w:p>
      <w:pPr>
        <w:jc w:val="both"/>
        <w:ind w:left="460" w:right="459" w:firstLine="858"/>
        <w:spacing w:after="0" w:line="255" w:lineRule="auto"/>
        <w:tabs>
          <w:tab w:leader="none" w:pos="158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(such effective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60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23" w:lineRule="exact"/>
        <w:rPr>
          <w:rFonts w:ascii="Times New Roman" w:cs="Times New Roman" w:eastAsia="Times New Roman" w:hAnsi="Times New Roman"/>
          <w:sz w:val="18"/>
          <w:szCs w:val="18"/>
          <w:color w:val="auto"/>
        </w:rPr>
      </w:pPr>
    </w:p>
    <w:p>
      <w:pPr>
        <w:jc w:val="both"/>
        <w:ind w:left="460" w:right="479" w:firstLine="858"/>
        <w:spacing w:after="0" w:line="257" w:lineRule="auto"/>
        <w:tabs>
          <w:tab w:leader="none" w:pos="159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Stockholder Approval; (ii) adoption and approval of 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57"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at a price per share determined in accordance with the Parent Certificate of Incorporation, all in accordance with applicable Law and any applicable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7" w:name="page338"/>
    <w:bookmarkEnd w:id="33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08" w:lineRule="exact"/>
        <w:rPr>
          <w:sz w:val="20"/>
          <w:szCs w:val="20"/>
          <w:color w:val="auto"/>
        </w:rPr>
      </w:pPr>
    </w:p>
    <w:p>
      <w:pPr>
        <w:ind w:left="460" w:right="479" w:firstLine="858"/>
        <w:spacing w:after="0" w:line="282" w:lineRule="auto"/>
        <w:tabs>
          <w:tab w:leader="none" w:pos="158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right="479" w:hanging="6"/>
        <w:spacing w:after="0" w:line="260" w:lineRule="auto"/>
        <w:tabs>
          <w:tab w:leader="none" w:pos="73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underwriting commissions and the expenses to third parties to which they are owed, and (c) the remaining monies in the Trust Account to Parent after the Closing.</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Private Placement, Parent Support Agreements</w:t>
      </w:r>
      <w:r>
        <w:rPr>
          <w:rFonts w:ascii="Times New Roman" w:cs="Times New Roman" w:eastAsia="Times New Roman" w:hAnsi="Times New Roman"/>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w:t>
      </w:r>
      <w:r>
        <w:rPr>
          <w:rFonts w:ascii="Times New Roman" w:cs="Times New Roman" w:eastAsia="Times New Roman" w:hAnsi="Times New Roman"/>
          <w:sz w:val="18"/>
          <w:szCs w:val="18"/>
          <w:color w:val="auto"/>
        </w:rPr>
        <w:t>. From the date hereof through and including the Closing Date:</w:t>
      </w:r>
    </w:p>
    <w:p>
      <w:pPr>
        <w:spacing w:after="0" w:line="158" w:lineRule="exact"/>
        <w:rPr>
          <w:sz w:val="20"/>
          <w:szCs w:val="20"/>
          <w:color w:val="auto"/>
        </w:rPr>
      </w:pPr>
    </w:p>
    <w:p>
      <w:pPr>
        <w:jc w:val="both"/>
        <w:ind w:left="460" w:right="459" w:firstLine="858"/>
        <w:spacing w:after="0" w:line="255" w:lineRule="auto"/>
        <w:tabs>
          <w:tab w:leader="none" w:pos="158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8" w:lineRule="auto"/>
        <w:tabs>
          <w:tab w:leader="none" w:pos="157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two (2) Business Days following the Effective Date (the “</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8" w:name="page339"/>
    <w:bookmarkEnd w:id="3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58"/>
        <w:spacing w:after="0" w:line="266" w:lineRule="auto"/>
        <w:tabs>
          <w:tab w:leader="none" w:pos="157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8"/>
          <w:szCs w:val="18"/>
          <w:u w:val="single" w:color="auto"/>
          <w:color w:val="auto"/>
        </w:rPr>
        <w:t>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Waiver</w:t>
      </w:r>
      <w:r>
        <w:rPr>
          <w:rFonts w:ascii="Times New Roman" w:cs="Times New Roman" w:eastAsia="Times New Roman" w:hAnsi="Times New Roman"/>
          <w:sz w:val="18"/>
          <w:szCs w:val="18"/>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2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9" w:name="page340"/>
    <w:bookmarkEnd w:id="33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 (iii) and (iv) above, that materials may be redacted</w:t>
      </w:r>
    </w:p>
    <w:p>
      <w:pPr>
        <w:spacing w:after="0" w:line="3" w:lineRule="exact"/>
        <w:rPr>
          <w:sz w:val="20"/>
          <w:szCs w:val="20"/>
          <w:color w:val="auto"/>
        </w:rPr>
      </w:pPr>
    </w:p>
    <w:p>
      <w:pPr>
        <w:jc w:val="both"/>
        <w:ind w:left="460" w:right="479" w:hanging="6"/>
        <w:spacing w:after="0" w:line="255" w:lineRule="auto"/>
        <w:tabs>
          <w:tab w:leader="none" w:pos="76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61" w:lineRule="auto"/>
        <w:tabs>
          <w:tab w:leader="none" w:pos="160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0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0" w:name="page341"/>
    <w:bookmarkEnd w:id="3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6" w:lineRule="auto"/>
        <w:tabs>
          <w:tab w:leader="none" w:pos="159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Merger are subject to the satisfaction of all the following conditions:</w:t>
      </w:r>
    </w:p>
    <w:p>
      <w:pPr>
        <w:spacing w:after="0" w:line="139" w:lineRule="exact"/>
        <w:rPr>
          <w:sz w:val="20"/>
          <w:szCs w:val="20"/>
          <w:color w:val="auto"/>
        </w:rPr>
      </w:pPr>
    </w:p>
    <w:p>
      <w:pPr>
        <w:ind w:left="460" w:right="479" w:firstLine="858"/>
        <w:spacing w:after="0" w:line="282" w:lineRule="auto"/>
        <w:tabs>
          <w:tab w:leader="none" w:pos="159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shall restrain or prohibit or impose any condition on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or approval required to be obtained from any Authority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10.1(b)</w:t>
      </w:r>
      <w:r>
        <w:rPr>
          <w:rFonts w:ascii="Times New Roman" w:cs="Times New Roman" w:eastAsia="Times New Roman" w:hAnsi="Times New Roman"/>
          <w:sz w:val="18"/>
          <w:szCs w:val="18"/>
          <w:color w:val="auto"/>
        </w:rPr>
        <w:t xml:space="preserve"> shall have been obtained.</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Action brought by any governmental Authority to enjoin or otherwise restrict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have redeemed the Parent Class A Shares in an amount that would cause Parent to have net tangible assets of less than $5,000,001 upon consummation of the Merger.</w:t>
      </w:r>
    </w:p>
    <w:p>
      <w:pPr>
        <w:spacing w:after="0" w:line="94"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duly approved at the Parent Stockholder Meeting;</w:t>
      </w:r>
    </w:p>
    <w:p>
      <w:pPr>
        <w:spacing w:after="0" w:line="144"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1" w:name="page342"/>
    <w:bookmarkEnd w:id="3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or the waiver in Parent’s sole and absolute discretion, of all the following further conditions:</w:t>
      </w:r>
    </w:p>
    <w:p>
      <w:pPr>
        <w:spacing w:after="0" w:line="108" w:lineRule="exact"/>
        <w:rPr>
          <w:sz w:val="20"/>
          <w:szCs w:val="20"/>
          <w:color w:val="auto"/>
        </w:rPr>
      </w:pPr>
    </w:p>
    <w:p>
      <w:pPr>
        <w:jc w:val="both"/>
        <w:ind w:left="460" w:right="479" w:firstLine="858"/>
        <w:spacing w:after="0" w:line="266" w:lineRule="auto"/>
        <w:tabs>
          <w:tab w:leader="none" w:pos="159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1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Registration Rights Agreement.</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and Sponsor a copy of the Escrow Agreement, duly executed by the Company.</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Voting Agreement.</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since the date hereof that is continuing.</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1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58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2" w:name="page343"/>
    <w:bookmarkEnd w:id="3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20" w:hanging="302"/>
        <w:spacing w:after="0"/>
        <w:tabs>
          <w:tab w:leader="none" w:pos="16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each Company Consent set forth on Schedule 10.2(m).</w:t>
      </w:r>
    </w:p>
    <w:p>
      <w:pPr>
        <w:spacing w:after="0" w:line="14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evidence of termination of the Equity Incentive Plans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8"/>
          <w:szCs w:val="18"/>
          <w:u w:val="single" w:color="auto"/>
          <w:color w:val="auto"/>
        </w:rPr>
        <w:t>Schedule 10.2(q)</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is subject to the satisfaction, or the waiver in the Company’s sole and absolute discretion, of all of the following further conditions:</w:t>
      </w:r>
    </w:p>
    <w:p>
      <w:pPr>
        <w:spacing w:after="0" w:line="95" w:lineRule="exact"/>
        <w:rPr>
          <w:sz w:val="20"/>
          <w:szCs w:val="20"/>
          <w:color w:val="auto"/>
        </w:rPr>
      </w:pPr>
    </w:p>
    <w:p>
      <w:pPr>
        <w:jc w:val="both"/>
        <w:ind w:left="460" w:right="459" w:firstLine="858"/>
        <w:spacing w:after="0" w:line="261" w:lineRule="auto"/>
        <w:tabs>
          <w:tab w:leader="none" w:pos="161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06"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shall have been filed with, and declared effective by, the Delaware Secretary of State.</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17"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Registration Rights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Escrow Agreement.</w:t>
      </w:r>
    </w:p>
    <w:p>
      <w:pPr>
        <w:spacing w:after="0" w:line="144" w:lineRule="exact"/>
        <w:rPr>
          <w:rFonts w:ascii="Times New Roman" w:cs="Times New Roman" w:eastAsia="Times New Roman" w:hAnsi="Times New Roman"/>
          <w:sz w:val="18"/>
          <w:szCs w:val="18"/>
          <w:color w:val="auto"/>
        </w:rPr>
      </w:pPr>
    </w:p>
    <w:p>
      <w:pPr>
        <w:ind w:left="1620" w:hanging="302"/>
        <w:spacing w:after="0"/>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Sponsor shall have executed and delivered to Parent a copy of the Voting</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4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7"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shall be equal to or greater than $170,000,000.</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3" w:name="page344"/>
    <w:bookmarkEnd w:id="3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Parent</w:t>
      </w:r>
      <w:r>
        <w:rPr>
          <w:rFonts w:ascii="Times New Roman" w:cs="Times New Roman" w:eastAsia="Times New Roman" w:hAnsi="Times New Roman"/>
          <w:sz w:val="18"/>
          <w:szCs w:val="18"/>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connection with the transactions contemplated by this Agreement, shall in no event exceed an amount equal to (i) the Escrow Share Value,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w:t>
      </w:r>
    </w:p>
    <w:p>
      <w:pPr>
        <w:spacing w:after="0" w:line="1" w:lineRule="exact"/>
        <w:rPr>
          <w:sz w:val="20"/>
          <w:szCs w:val="20"/>
          <w:color w:val="auto"/>
        </w:rPr>
      </w:pPr>
    </w:p>
    <w:p>
      <w:pPr>
        <w:jc w:val="both"/>
        <w:ind w:left="460" w:right="459" w:hanging="6"/>
        <w:spacing w:after="0" w:line="252" w:lineRule="auto"/>
        <w:tabs>
          <w:tab w:leader="none" w:pos="72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Shares (the “</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Parent shall not be entitled to indemnification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unless and until the aggregate amount of Losses incurred by Parent equals at least $1,612,500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 following shall apply with respect to all claims by an Indemnified Party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3" w:lineRule="auto"/>
        <w:tabs>
          <w:tab w:leader="none" w:pos="1653"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give the Stockholders’ Representative prompt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to defend such claim or increases the amount of such liability.</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3"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w:t>
      </w:r>
    </w:p>
    <w:p>
      <w:pPr>
        <w:spacing w:after="0" w:line="5"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2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legal counsel reasonably satisfactory to the Indemnified Party to conduct the defense of such Third-Party Claim.</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w:t>
      </w:r>
    </w:p>
    <w:p>
      <w:pPr>
        <w:spacing w:after="0" w:line="6"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69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fees and expenses of such separate counsel of the Indemnified Party shall be borne by the Indemnifying Parties,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2" w:lineRule="auto"/>
        <w:tabs>
          <w:tab w:leader="none" w:pos="161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elects to assume the defense of any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2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3"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5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Escrow of Escrow Shares by Escrow Participants</w:t>
      </w:r>
      <w:r>
        <w:rPr>
          <w:rFonts w:ascii="Times New Roman" w:cs="Times New Roman" w:eastAsia="Times New Roman" w:hAnsi="Times New Roman"/>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pursuant to the Escrow Agreement. For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Escrow Shares are valued at the greater of: (a) $10.00 per share and (b) the VWAP (the “</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79" w:firstLine="858"/>
        <w:spacing w:after="0" w:line="255" w:lineRule="auto"/>
        <w:tabs>
          <w:tab w:leader="none" w:pos="158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0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times provided for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5" w:name="page346"/>
    <w:bookmarkEnd w:id="3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08" w:lineRule="exact"/>
        <w:rPr>
          <w:sz w:val="20"/>
          <w:szCs w:val="20"/>
          <w:color w:val="auto"/>
        </w:rPr>
      </w:pPr>
    </w:p>
    <w:p>
      <w:pPr>
        <w:jc w:val="both"/>
        <w:ind w:left="460" w:right="459" w:firstLine="858"/>
        <w:spacing w:after="0" w:line="261" w:lineRule="auto"/>
        <w:tabs>
          <w:tab w:leader="none" w:pos="1627"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five (5) Business Days, following expiration of the Survival Period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the Escrow Shares,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 of Indemnification Rights</w:t>
      </w:r>
      <w:r>
        <w:rPr>
          <w:rFonts w:ascii="Times New Roman" w:cs="Times New Roman" w:eastAsia="Times New Roman" w:hAnsi="Times New Roman"/>
          <w:sz w:val="18"/>
          <w:szCs w:val="18"/>
          <w:color w:val="auto"/>
        </w:rPr>
        <w:t>. The representations and warranties of the Company shall survive until twelve (12) months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following the Closing. The covenants of the Company contained in this Agreement to be performed prior to the Closing shall expire and be of no further force or effect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indemnification to which any Indemnified Party is entitled from the Indemnifying Parties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6" w:name="page347"/>
    <w:bookmarkEnd w:id="3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19"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at his discretion and at the expense of the party who will bear the cost of the arbitration, employ experts to assist him in his determinations.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2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 the case of the Stockholders’ Representative, solely on behalf of the Company Securityholders) shall indemnify the Arbitrator and any experts employed by the Arbitrator and hold them harmless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7" w:name="page348"/>
    <w:bookmarkEnd w:id="3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against any claim or demand arising out of any arbitration under this Agreement or any agreement contemplated hereby, unless resulting from the gross negligence or willful misconduct of the person indemnified.</w:t>
      </w:r>
    </w:p>
    <w:p>
      <w:pPr>
        <w:spacing w:after="0" w:line="108" w:lineRule="exact"/>
        <w:rPr>
          <w:sz w:val="20"/>
          <w:szCs w:val="20"/>
          <w:color w:val="auto"/>
        </w:rPr>
      </w:pPr>
    </w:p>
    <w:p>
      <w:pPr>
        <w:jc w:val="both"/>
        <w:ind w:left="460" w:right="459" w:firstLine="858"/>
        <w:spacing w:after="0" w:line="255" w:lineRule="auto"/>
        <w:tabs>
          <w:tab w:leader="none" w:pos="1543"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 of Jury Trial; Exemplary Damages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56" w:lineRule="auto"/>
        <w:tabs>
          <w:tab w:leader="none" w:pos="160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7"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8"/>
          <w:szCs w:val="18"/>
          <w:u w:val="single" w:color="auto"/>
          <w:color w:val="auto"/>
        </w:rPr>
        <w:t>Section 13.2(a)(ii)</w:t>
      </w:r>
      <w:r>
        <w:rPr>
          <w:rFonts w:ascii="Times New Roman" w:cs="Times New Roman" w:eastAsia="Times New Roman" w:hAnsi="Times New Roman"/>
          <w:sz w:val="18"/>
          <w:szCs w:val="18"/>
          <w:color w:val="auto"/>
        </w:rPr>
        <w:t xml:space="preserve"> at any time (A) prior to the Company Stockholder Written Consent Deadline or (B) after such evidence has been delivered to Parent).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8" w:name="page349"/>
    <w:bookmarkEnd w:id="3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8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XII,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survive any termination hereof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w:t>
      </w:r>
    </w:p>
    <w:p>
      <w:pPr>
        <w:spacing w:after="0" w:line="1" w:lineRule="exact"/>
        <w:rPr>
          <w:sz w:val="20"/>
          <w:szCs w:val="20"/>
          <w:color w:val="auto"/>
        </w:rPr>
      </w:pPr>
    </w:p>
    <w:p>
      <w:pPr>
        <w:jc w:val="both"/>
        <w:ind w:left="460" w:right="459" w:hanging="6"/>
        <w:spacing w:after="0" w:line="252" w:lineRule="auto"/>
        <w:tabs>
          <w:tab w:leader="none" w:pos="74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Stockholders’ Representative, or to the Company Securityholders after Closing,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9" w:name="page350"/>
    <w:bookmarkEnd w:id="3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2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0" w:name="page351"/>
    <w:bookmarkEnd w:id="3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8"/>
          <w:szCs w:val="18"/>
          <w:u w:val="single" w:color="auto"/>
          <w:color w:val="auto"/>
        </w:rPr>
        <w:t>Schedule 14.5</w:t>
      </w:r>
      <w:r>
        <w:rPr>
          <w:rFonts w:ascii="Times New Roman" w:cs="Times New Roman" w:eastAsia="Times New Roman" w:hAnsi="Times New Roman"/>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13,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1" w:name="page352"/>
    <w:bookmarkEnd w:id="3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2" w:name="page353"/>
    <w:bookmarkEnd w:id="3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which shall be enforceable by the Stockholders’ Representative in its entirety against the Company Securityholders.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7"/>
          <w:szCs w:val="17"/>
          <w:color w:val="auto"/>
        </w:rPr>
        <w:t xml:space="preserve">14.16 </w:t>
      </w:r>
      <w:r>
        <w:rPr>
          <w:rFonts w:ascii="Times New Roman" w:cs="Times New Roman" w:eastAsia="Times New Roman" w:hAnsi="Times New Roman"/>
          <w:sz w:val="17"/>
          <w:szCs w:val="17"/>
          <w:u w:val="single" w:color="auto"/>
          <w:color w:val="auto"/>
        </w:rPr>
        <w:t>No Other Representations; No Reliance</w:t>
      </w:r>
      <w:r>
        <w:rPr>
          <w:rFonts w:ascii="Times New Roman" w:cs="Times New Roman" w:eastAsia="Times New Roman" w:hAnsi="Times New Roman"/>
          <w:sz w:val="17"/>
          <w:szCs w:val="17"/>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3" w:name="page354"/>
    <w:bookmarkEnd w:id="3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8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solely in its capacity as the Stockholders’ Representative</w:t>
      </w:r>
    </w:p>
    <w:p>
      <w:pPr>
        <w:spacing w:after="0" w:line="180"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Sam Riffe</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4" w:name="page355"/>
    <w:bookmarkEnd w:id="3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SUPPORT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15, 2020,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set forth on Schedule I attached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Parent and each Stockholder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Stockholder is the record and beneficial owner of the number and type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under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and as a material 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Parent and the other Parent Parties would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and agreed to consummate the transactions contemplated by the Merger Agreement without each Stockholder entering into this Agreement and agreeing to be bound by the agreements, covenants and obligations contained in this Agreement.</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ind w:left="1060" w:hanging="17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Consent and Related Matters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9"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08" w:lineRule="exact"/>
        <w:rPr>
          <w:rFonts w:ascii="Times New Roman" w:cs="Times New Roman" w:eastAsia="Times New Roman" w:hAnsi="Times New Roman"/>
          <w:sz w:val="18"/>
          <w:szCs w:val="18"/>
          <w:color w:val="auto"/>
        </w:rPr>
      </w:pPr>
    </w:p>
    <w:p>
      <w:pPr>
        <w:ind w:left="1320" w:right="479" w:firstLine="646"/>
        <w:spacing w:after="0" w:line="282" w:lineRule="auto"/>
        <w:tabs>
          <w:tab w:leader="none" w:pos="2188"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and the transactions contemplated thereby, including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5" w:name="page356"/>
    <w:bookmarkEnd w:id="3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firstLine="646"/>
        <w:spacing w:after="0" w:line="258" w:lineRule="auto"/>
        <w:tabs>
          <w:tab w:leader="none" w:pos="2249"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15" w:lineRule="exact"/>
        <w:rPr>
          <w:rFonts w:ascii="Times New Roman" w:cs="Times New Roman" w:eastAsia="Times New Roman" w:hAnsi="Times New Roman"/>
          <w:sz w:val="18"/>
          <w:szCs w:val="18"/>
          <w:color w:val="auto"/>
        </w:rPr>
      </w:pPr>
    </w:p>
    <w:p>
      <w:pPr>
        <w:jc w:val="both"/>
        <w:ind w:left="1320" w:right="479" w:firstLine="646"/>
        <w:spacing w:after="0" w:line="261" w:lineRule="auto"/>
        <w:tabs>
          <w:tab w:leader="none" w:pos="236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12" w:lineRule="exact"/>
        <w:rPr>
          <w:rFonts w:ascii="Times New Roman" w:cs="Times New Roman" w:eastAsia="Times New Roman" w:hAnsi="Times New Roman"/>
          <w:sz w:val="18"/>
          <w:szCs w:val="18"/>
          <w:color w:val="auto"/>
        </w:rPr>
      </w:pPr>
    </w:p>
    <w:p>
      <w:pPr>
        <w:jc w:val="both"/>
        <w:ind w:left="1320" w:right="459" w:firstLine="646"/>
        <w:spacing w:after="0" w:line="258" w:lineRule="auto"/>
        <w:tabs>
          <w:tab w:leader="none" w:pos="2279"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those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6" w:name="page357"/>
    <w:bookmarkEnd w:id="3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060" w:hanging="174"/>
        <w:spacing w:after="0"/>
        <w:tabs>
          <w:tab w:leader="none" w:pos="10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indemnification provisions that are contemplated to survive the agreement marked with an asterisk (*)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Stockholder shall deliver to Parent a duly executed copy of that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Registration Rights Agreement, by and among Parent, the Company and the Specified Company Securityholders party thereto, in substantially the form attached as Exhibit F to the Merger Agreement and</w:t>
      </w:r>
    </w:p>
    <w:p>
      <w:pPr>
        <w:ind w:left="460" w:right="459" w:hanging="6"/>
        <w:spacing w:after="0" w:line="260" w:lineRule="auto"/>
        <w:tabs>
          <w:tab w:leader="none" w:pos="732"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Voting Agreement, by and among Parent, the Company and the Specified Company Securityholders party thereto, in substantially the form attached as Exhibit D to the Merger Agreement.</w:t>
      </w:r>
    </w:p>
    <w:p>
      <w:pPr>
        <w:spacing w:after="0" w:line="113" w:lineRule="exact"/>
        <w:rPr>
          <w:rFonts w:ascii="Times New Roman" w:cs="Times New Roman" w:eastAsia="Times New Roman" w:hAnsi="Times New Roman"/>
          <w:sz w:val="18"/>
          <w:szCs w:val="18"/>
          <w:color w:val="auto"/>
        </w:rPr>
      </w:pPr>
    </w:p>
    <w:p>
      <w:pPr>
        <w:ind w:left="1080" w:hanging="194"/>
        <w:spacing w:after="0"/>
        <w:tabs>
          <w:tab w:leader="none" w:pos="108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w:t>
      </w:r>
      <w:r>
        <w:rPr>
          <w:rFonts w:ascii="Times New Roman" w:cs="Times New Roman" w:eastAsia="Times New Roman" w:hAnsi="Times New Roman"/>
          <w:sz w:val="18"/>
          <w:szCs w:val="18"/>
          <w:color w:val="auto"/>
        </w:rPr>
        <w:t>. Each Stockholder represents and warrants to Parent as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39"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0"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9"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4"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3"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7" w:name="page358"/>
    <w:bookmarkEnd w:id="3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21" w:lineRule="exact"/>
        <w:rPr>
          <w:sz w:val="20"/>
          <w:szCs w:val="20"/>
          <w:color w:val="auto"/>
        </w:rPr>
      </w:pPr>
    </w:p>
    <w:p>
      <w:pPr>
        <w:jc w:val="both"/>
        <w:ind w:left="460" w:right="459" w:firstLine="858"/>
        <w:spacing w:after="0" w:line="252" w:lineRule="auto"/>
        <w:tabs>
          <w:tab w:leader="none" w:pos="1590"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5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trust, proxy or other Contract with respect to the voting or Transfer of any of the Subject Company Shares.</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79"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4"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8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purchase right, or other Contract that would (either alone or in connection with one or more events or developments (including the satisfaction or waiver of any conditions precedent)) require such Stockholder to Transfer the Subject Company Shares or (ii) 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8" w:name="page359"/>
    <w:bookmarkEnd w:id="3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12" w:lineRule="exact"/>
        <w:rPr>
          <w:sz w:val="20"/>
          <w:szCs w:val="20"/>
          <w:color w:val="auto"/>
        </w:rPr>
      </w:pPr>
    </w:p>
    <w:p>
      <w:pPr>
        <w:jc w:val="both"/>
        <w:ind w:left="460" w:right="459" w:firstLine="426"/>
        <w:spacing w:after="0" w:line="258" w:lineRule="auto"/>
        <w:tabs>
          <w:tab w:leader="none" w:pos="107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 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a Stockholder, to the address specified by such Stockholder in writing.</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Attention:</w:t>
      </w: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Mitchell S. Bloom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mbloom@goodwinlaw.com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despinoza@goodwinlaw.com</w:t>
      </w:r>
    </w:p>
    <w:p>
      <w:pPr>
        <w:spacing w:after="0" w:line="137" w:lineRule="exact"/>
        <w:rPr>
          <w:sz w:val="20"/>
          <w:szCs w:val="20"/>
          <w:color w:val="auto"/>
        </w:rPr>
      </w:pPr>
    </w:p>
    <w:p>
      <w:pPr>
        <w:sectPr>
          <w:pgSz w:w="11900" w:h="16838" w:orient="portrait"/>
          <w:cols w:equalWidth="0" w:num="2">
            <w:col w:w="2040" w:space="300"/>
            <w:col w:w="6679"/>
          </w:cols>
          <w:pgMar w:left="1440" w:top="270" w:right="1440" w:bottom="1440" w:gutter="0" w:footer="0" w:header="0"/>
          <w:type w:val="continuous"/>
        </w:sect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9" w:name="page360"/>
    <w:bookmarkEnd w:id="3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61" w:lineRule="auto"/>
        <w:tabs>
          <w:tab w:leader="none" w:pos="109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21"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7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19"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17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15"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8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0" w:name="page361"/>
    <w:bookmarkEnd w:id="3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and delivered this Company Support Agreement as of the date first above written.</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8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51435</wp:posOffset>
            </wp:positionV>
            <wp:extent cx="231457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1" w:name="page362"/>
    <w:bookmarkEnd w:id="3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2" w:name="page363"/>
    <w:bookmarkEnd w:id="3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3" w:name="page364"/>
    <w:bookmarkEnd w:id="3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By: Atlas Venture Associates X, LLC</w:t>
      </w:r>
    </w:p>
    <w:p>
      <w:pPr>
        <w:spacing w:after="0" w:line="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4" w:name="page365"/>
    <w:bookmarkEnd w:id="3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5" w:name="page366"/>
    <w:bookmarkEnd w:id="3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under</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Convertible</w:t>
            </w:r>
          </w:p>
        </w:tc>
      </w:t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r>
      <w:tr>
        <w:trPr>
          <w:trHeight w:val="46"/>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11,653,137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976,931</w:t>
            </w: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1,587,559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133,112</w:t>
            </w:r>
          </w:p>
        </w:tc>
        <w:tc>
          <w:tcPr>
            <w:tcW w:w="1040" w:type="dxa"/>
            <w:vAlign w:val="bottom"/>
          </w:tcPr>
          <w:p>
            <w:pPr>
              <w:spacing w:after="0"/>
              <w:rPr>
                <w:sz w:val="21"/>
                <w:szCs w:val="21"/>
                <w:color w:val="auto"/>
              </w:rPr>
            </w:pPr>
          </w:p>
        </w:tc>
      </w:tr>
      <w:tr>
        <w:trPr>
          <w:trHeight w:val="41"/>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3,700,139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5,180,196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6" w:name="page367"/>
    <w:bookmarkEnd w:id="3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8" w:lineRule="exact"/>
        <w:rPr>
          <w:sz w:val="20"/>
          <w:szCs w:val="20"/>
          <w:color w:val="auto"/>
        </w:rPr>
      </w:pPr>
    </w:p>
    <w:p>
      <w:pPr>
        <w:jc w:val="both"/>
        <w:ind w:left="880" w:right="459" w:hanging="426"/>
        <w:spacing w:after="0" w:line="266" w:lineRule="auto"/>
        <w:tabs>
          <w:tab w:leader="none" w:pos="95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08"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92"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26, 2019, by and among the Company and the Investors.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7" w:name="page368"/>
    <w:bookmarkEnd w:id="3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0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07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2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4"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48"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8" w:name="page369"/>
    <w:bookmarkEnd w:id="3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which is then in effect and has the effect of making consummation of the transactions contemplated hereby illegal or otherwise restraining or prohibiting consummation of the transactions contemplated hereby;</w:t>
      </w:r>
    </w:p>
    <w:p>
      <w:pPr>
        <w:spacing w:after="0" w:line="108" w:lineRule="exact"/>
        <w:rPr>
          <w:sz w:val="20"/>
          <w:szCs w:val="20"/>
          <w:color w:val="auto"/>
        </w:rPr>
      </w:pPr>
    </w:p>
    <w:p>
      <w:pPr>
        <w:jc w:val="both"/>
        <w:ind w:left="1320" w:right="459" w:firstLine="1078"/>
        <w:spacing w:after="0" w:line="266" w:lineRule="auto"/>
        <w:tabs>
          <w:tab w:leader="none" w:pos="2669"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64"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94" w:lineRule="exact"/>
        <w:rPr>
          <w:rFonts w:ascii="Times New Roman" w:cs="Times New Roman" w:eastAsia="Times New Roman" w:hAnsi="Times New Roman"/>
          <w:sz w:val="18"/>
          <w:szCs w:val="18"/>
          <w:color w:val="auto"/>
        </w:rPr>
      </w:pPr>
    </w:p>
    <w:p>
      <w:pPr>
        <w:ind w:left="2700" w:hanging="302"/>
        <w:spacing w:after="0"/>
        <w:tabs>
          <w:tab w:leader="none" w:pos="270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12"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9"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0"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19"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67"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56"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94" w:lineRule="exact"/>
        <w:rPr>
          <w:rFonts w:ascii="Times New Roman" w:cs="Times New Roman" w:eastAsia="Times New Roman" w:hAnsi="Times New Roman"/>
          <w:sz w:val="18"/>
          <w:szCs w:val="18"/>
          <w:color w:val="auto"/>
        </w:rPr>
      </w:pPr>
    </w:p>
    <w:p>
      <w:pPr>
        <w:jc w:val="both"/>
        <w:ind w:left="1320" w:right="479" w:firstLine="1078"/>
        <w:spacing w:after="0" w:line="266" w:lineRule="auto"/>
        <w:tabs>
          <w:tab w:leader="none" w:pos="2753"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1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1"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9" w:name="page370"/>
    <w:bookmarkEnd w:id="3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6" w:lineRule="auto"/>
        <w:tabs>
          <w:tab w:leader="none" w:pos="159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57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7"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0" w:name="page371"/>
    <w:bookmarkEnd w:id="3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0" w:lineRule="exact"/>
        <w:rPr>
          <w:sz w:val="20"/>
          <w:szCs w:val="20"/>
          <w:color w:val="auto"/>
        </w:rPr>
      </w:pPr>
    </w:p>
    <w:p>
      <w:pPr>
        <w:jc w:val="both"/>
        <w:ind w:left="460" w:right="459" w:firstLine="858"/>
        <w:spacing w:after="0" w:line="258" w:lineRule="auto"/>
        <w:tabs>
          <w:tab w:leader="none" w:pos="1544"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3"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80"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decree, injunction, ruling or order of any governmental entity or arbitrator outstanding against FSD.</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1"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8"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8"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71"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1" w:name="page372"/>
    <w:bookmarkEnd w:id="3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2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2" w:name="page373"/>
    <w:bookmarkEnd w:id="3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5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4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7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2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3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3" w:name="page374"/>
    <w:bookmarkEnd w:id="3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58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60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4" w:name="page375"/>
    <w:bookmarkEnd w:id="3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sz w:val="20"/>
          <w:szCs w:val="20"/>
          <w:color w:val="auto"/>
        </w:rPr>
      </w:pPr>
    </w:p>
    <w:p>
      <w:pPr>
        <w:jc w:val="both"/>
        <w:ind w:left="460" w:right="459" w:firstLine="858"/>
        <w:spacing w:after="0" w:line="251" w:lineRule="auto"/>
        <w:tabs>
          <w:tab w:leader="none" w:pos="16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5" w:name="page376"/>
    <w:bookmarkEnd w:id="3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0" w:lineRule="exact"/>
        <w:rPr>
          <w:sz w:val="20"/>
          <w:szCs w:val="20"/>
          <w:color w:val="auto"/>
        </w:rPr>
      </w:pPr>
    </w:p>
    <w:p>
      <w:pPr>
        <w:jc w:val="both"/>
        <w:ind w:left="460" w:right="459" w:firstLine="858"/>
        <w:spacing w:after="0" w:line="252" w:lineRule="auto"/>
        <w:tabs>
          <w:tab w:leader="none" w:pos="156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0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07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Waiver.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6" w:name="page377"/>
    <w:bookmarkEnd w:id="3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6" w:lineRule="exact"/>
        <w:rPr>
          <w:sz w:val="20"/>
          <w:szCs w:val="20"/>
          <w:color w:val="auto"/>
        </w:rPr>
      </w:pPr>
    </w:p>
    <w:p>
      <w:pPr>
        <w:ind w:left="1160" w:hanging="274"/>
        <w:spacing w:after="0"/>
        <w:tabs>
          <w:tab w:leader="none" w:pos="11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8"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21"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4"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08"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7" w:name="page378"/>
    <w:bookmarkEnd w:id="3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8" w:lineRule="auto"/>
        <w:tabs>
          <w:tab w:leader="none" w:pos="159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1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5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858"/>
        <w:spacing w:after="0" w:line="261" w:lineRule="auto"/>
        <w:tabs>
          <w:tab w:leader="none" w:pos="163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8" w:name="page379"/>
    <w:bookmarkEnd w:id="3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Times New Roman" w:cs="Times New Roman" w:eastAsia="Times New Roman" w:hAnsi="Times New Roman"/>
          <w:sz w:val="18"/>
          <w:szCs w:val="18"/>
          <w:u w:val="single" w:color="auto"/>
          <w:color w:val="auto"/>
        </w:rPr>
        <w:t>joel.rubinstein@whitecase.com</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426"/>
        <w:spacing w:after="0" w:line="252" w:lineRule="auto"/>
        <w:tabs>
          <w:tab w:leader="none" w:pos="118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2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1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9" w:name="page380"/>
    <w:bookmarkEnd w:id="3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ectPr>
          <w:pgSz w:w="11900" w:h="16838" w:orient="portrait"/>
          <w:cols w:equalWidth="0" w:num="1">
            <w:col w:w="9019"/>
          </w:cols>
          <w:pgMar w:left="1440" w:top="270" w:right="1440" w:bottom="1440" w:gutter="0" w:footer="0" w:header="0"/>
        </w:sect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Investor: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_______________________________</w:t>
      </w:r>
    </w:p>
    <w:p>
      <w:pPr>
        <w:spacing w:after="0" w:line="198"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Name in which Shares are to be registered (if different):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EIN: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subscribed for: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Aggregate Subscription Amount: $</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Address-Street (if different):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$10</w:t>
      </w:r>
    </w:p>
    <w:p>
      <w:pPr>
        <w:spacing w:after="0" w:line="200"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spacing w:after="0" w:line="3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0" w:name="page381"/>
    <w:bookmarkEnd w:id="3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1" w:name="page382"/>
    <w:bookmarkEnd w:id="3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16" w:lineRule="exact"/>
        <w:rPr>
          <w:sz w:val="20"/>
          <w:szCs w:val="20"/>
          <w:color w:val="auto"/>
        </w:rPr>
      </w:pPr>
    </w:p>
    <w:p>
      <w:pPr>
        <w:ind w:left="880" w:right="4419" w:hanging="426"/>
        <w:spacing w:after="0" w:line="395" w:lineRule="auto"/>
        <w:tabs>
          <w:tab w:leader="none" w:pos="88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100" w:hanging="214"/>
        <w:spacing w:after="0"/>
        <w:tabs>
          <w:tab w:leader="none" w:pos="1100" w:val="left"/>
        </w:tabs>
        <w:numPr>
          <w:ilvl w:val="1"/>
          <w:numId w:val="3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25" w:lineRule="exact"/>
        <w:rPr>
          <w:rFonts w:ascii="MS PGothic" w:cs="MS PGothic" w:eastAsia="MS PGothic" w:hAnsi="MS PGothic"/>
          <w:sz w:val="18"/>
          <w:szCs w:val="18"/>
          <w:color w:val="auto"/>
        </w:rPr>
      </w:pPr>
    </w:p>
    <w:p>
      <w:pPr>
        <w:ind w:left="880" w:right="3979" w:hanging="426"/>
        <w:spacing w:after="0" w:line="360" w:lineRule="auto"/>
        <w:tabs>
          <w:tab w:leader="none" w:pos="8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66" w:lineRule="exact"/>
        <w:rPr>
          <w:sz w:val="20"/>
          <w:szCs w:val="20"/>
          <w:color w:val="auto"/>
        </w:rPr>
      </w:pPr>
    </w:p>
    <w:p>
      <w:pPr>
        <w:jc w:val="both"/>
        <w:ind w:left="1320" w:right="459" w:hanging="434"/>
        <w:spacing w:after="0" w:line="228" w:lineRule="exact"/>
        <w:tabs>
          <w:tab w:leader="none" w:pos="1306" w:val="left"/>
        </w:tabs>
        <w:numPr>
          <w:ilvl w:val="0"/>
          <w:numId w:val="3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1"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17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880" w:right="459" w:firstLine="6"/>
        <w:spacing w:after="0" w:line="282" w:lineRule="auto"/>
        <w:tabs>
          <w:tab w:leader="none" w:pos="1109"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MS PGothic" w:cs="MS PGothic" w:eastAsia="MS PGothic" w:hAnsi="MS PGothic"/>
          <w:sz w:val="18"/>
          <w:szCs w:val="18"/>
          <w:color w:val="auto"/>
        </w:rPr>
      </w:pPr>
    </w:p>
    <w:p>
      <w:pPr>
        <w:jc w:val="both"/>
        <w:ind w:left="880" w:right="459" w:firstLine="6"/>
        <w:spacing w:after="0" w:line="266" w:lineRule="auto"/>
        <w:tabs>
          <w:tab w:leader="none" w:pos="115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94" w:lineRule="exact"/>
        <w:rPr>
          <w:rFonts w:ascii="MS PGothic" w:cs="MS PGothic" w:eastAsia="MS PGothic" w:hAnsi="MS PGothic"/>
          <w:sz w:val="18"/>
          <w:szCs w:val="18"/>
          <w:color w:val="auto"/>
        </w:rPr>
      </w:pPr>
    </w:p>
    <w:p>
      <w:pPr>
        <w:jc w:val="both"/>
        <w:ind w:left="880" w:right="479" w:firstLine="6"/>
        <w:spacing w:after="0" w:line="266" w:lineRule="auto"/>
        <w:tabs>
          <w:tab w:leader="none" w:pos="1101"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08" w:lineRule="exact"/>
        <w:rPr>
          <w:rFonts w:ascii="MS PGothic" w:cs="MS PGothic" w:eastAsia="MS PGothic" w:hAnsi="MS PGothic"/>
          <w:sz w:val="18"/>
          <w:szCs w:val="18"/>
          <w:color w:val="auto"/>
        </w:rPr>
      </w:pPr>
    </w:p>
    <w:p>
      <w:pPr>
        <w:jc w:val="both"/>
        <w:ind w:left="880" w:right="459" w:firstLine="6"/>
        <w:spacing w:after="0" w:line="266" w:lineRule="auto"/>
        <w:tabs>
          <w:tab w:leader="none" w:pos="111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8" w:lineRule="exact"/>
        <w:rPr>
          <w:rFonts w:ascii="MS PGothic" w:cs="MS PGothic" w:eastAsia="MS PGothic" w:hAnsi="MS PGothic"/>
          <w:sz w:val="18"/>
          <w:szCs w:val="18"/>
          <w:color w:val="auto"/>
        </w:rPr>
      </w:pPr>
    </w:p>
    <w:p>
      <w:pPr>
        <w:ind w:left="880" w:right="479" w:firstLine="6"/>
        <w:spacing w:after="0" w:line="282" w:lineRule="auto"/>
        <w:tabs>
          <w:tab w:leader="none" w:pos="1116"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80" w:lineRule="exact"/>
        <w:rPr>
          <w:rFonts w:ascii="MS PGothic" w:cs="MS PGothic" w:eastAsia="MS PGothic" w:hAnsi="MS PGothic"/>
          <w:sz w:val="18"/>
          <w:szCs w:val="18"/>
          <w:color w:val="auto"/>
        </w:rPr>
      </w:pPr>
    </w:p>
    <w:p>
      <w:pPr>
        <w:ind w:left="880" w:right="479" w:firstLine="6"/>
        <w:spacing w:after="0" w:line="282" w:lineRule="auto"/>
        <w:tabs>
          <w:tab w:leader="none" w:pos="109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9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100" w:hanging="214"/>
        <w:spacing w:after="0"/>
        <w:tabs>
          <w:tab w:leader="none" w:pos="1100" w:val="left"/>
        </w:tabs>
        <w:numPr>
          <w:ilvl w:val="1"/>
          <w:numId w:val="3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4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9" w:lineRule="exact"/>
        <w:rPr>
          <w:sz w:val="20"/>
          <w:szCs w:val="20"/>
          <w:color w:val="auto"/>
        </w:rPr>
      </w:pPr>
    </w:p>
    <w:p>
      <w:pPr>
        <w:jc w:val="both"/>
        <w:ind w:left="1320" w:right="459" w:hanging="434"/>
        <w:spacing w:after="0" w:line="228" w:lineRule="exact"/>
        <w:tabs>
          <w:tab w:leader="none" w:pos="1347" w:val="left"/>
        </w:tabs>
        <w:numPr>
          <w:ilvl w:val="0"/>
          <w:numId w:val="36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88"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18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2" w:name="page383"/>
    <w:bookmarkEnd w:id="3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8" w:lineRule="exact"/>
        <w:rPr>
          <w:sz w:val="20"/>
          <w:szCs w:val="20"/>
          <w:color w:val="auto"/>
        </w:rPr>
      </w:pPr>
    </w:p>
    <w:p>
      <w:pPr>
        <w:ind w:left="880" w:right="459" w:firstLine="6"/>
        <w:spacing w:after="0" w:line="282" w:lineRule="auto"/>
        <w:tabs>
          <w:tab w:leader="none" w:pos="1098"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MS PGothic" w:cs="MS PGothic" w:eastAsia="MS PGothic" w:hAnsi="MS PGothic"/>
          <w:sz w:val="18"/>
          <w:szCs w:val="18"/>
          <w:color w:val="auto"/>
        </w:rPr>
      </w:pPr>
    </w:p>
    <w:p>
      <w:pPr>
        <w:jc w:val="both"/>
        <w:ind w:left="880" w:right="459" w:firstLine="6"/>
        <w:spacing w:after="0" w:line="254" w:lineRule="auto"/>
        <w:tabs>
          <w:tab w:leader="none" w:pos="1088"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07" w:lineRule="exact"/>
        <w:rPr>
          <w:rFonts w:ascii="MS PGothic" w:cs="MS PGothic" w:eastAsia="MS PGothic" w:hAnsi="MS PGothic"/>
          <w:sz w:val="18"/>
          <w:szCs w:val="18"/>
          <w:color w:val="auto"/>
        </w:rPr>
      </w:pPr>
    </w:p>
    <w:p>
      <w:pPr>
        <w:jc w:val="both"/>
        <w:ind w:left="880" w:right="459" w:firstLine="6"/>
        <w:spacing w:after="0" w:line="266" w:lineRule="auto"/>
        <w:tabs>
          <w:tab w:leader="none" w:pos="1088"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3" w:name="page384"/>
    <w:bookmarkEnd w:id="3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PARENT SUPPORT AGREEMENT, dated as of October __,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each of the stockholders of Parent whose names appear on the signature pages of this Agreement (each, a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Capitalized terms used herein and not otherwise defined will have the meaning given such terms in the Merger Agreement (as defined below).</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WHEREAS,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and the Company to enter into the Merger Agreement, the Founders are executing and delivering this Agreement to Parent and the Company.</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95" w:lineRule="exact"/>
        <w:rPr>
          <w:sz w:val="20"/>
          <w:szCs w:val="20"/>
          <w:color w:val="auto"/>
        </w:rPr>
      </w:pPr>
    </w:p>
    <w:p>
      <w:pPr>
        <w:jc w:val="both"/>
        <w:ind w:left="460" w:right="459" w:firstLine="426"/>
        <w:spacing w:after="0" w:line="255" w:lineRule="auto"/>
        <w:tabs>
          <w:tab w:leader="none" w:pos="1072"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4" w:name="page385"/>
    <w:bookmarkEnd w:id="3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6" w:lineRule="auto"/>
        <w:tabs>
          <w:tab w:leader="none" w:pos="11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8"/>
          <w:szCs w:val="18"/>
          <w:u w:val="single" w:color="auto"/>
          <w:color w:val="auto"/>
        </w:rPr>
        <w:t>Maximum Liability Amount</w:t>
      </w:r>
      <w:r>
        <w:rPr>
          <w:rFonts w:ascii="Times New Roman" w:cs="Times New Roman" w:eastAsia="Times New Roman" w:hAnsi="Times New Roman"/>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Founder, severally and not jointly, represents and warrants to the Company as follows: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3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of such Founder) or (iv) conflict with or result in a breach of or constitute a default under any provision of such Founder’s Organizational Documents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7"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5"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Founder has the power, authority and capacity to execute, deliver and perform this Agreement and that this Agreement has been duly authorized, executed and delivered by such Founder.</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9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06"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14"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5" w:name="page386"/>
    <w:bookmarkEnd w:id="3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26"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if to a Founder, to the address or facsimile number set forth for Founder on the signature page hereof.</w:t>
      </w:r>
    </w:p>
    <w:p>
      <w:pPr>
        <w:spacing w:after="0" w:line="94" w:lineRule="exact"/>
        <w:rPr>
          <w:sz w:val="20"/>
          <w:szCs w:val="20"/>
          <w:color w:val="auto"/>
        </w:rPr>
      </w:pPr>
    </w:p>
    <w:p>
      <w:pPr>
        <w:jc w:val="both"/>
        <w:ind w:left="460" w:right="479" w:firstLine="858"/>
        <w:spacing w:after="0" w:line="254" w:lineRule="auto"/>
        <w:tabs>
          <w:tab w:leader="none" w:pos="156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6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6" w:name="page387"/>
    <w:bookmarkEnd w:id="3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16" w:lineRule="exact"/>
        <w:rPr>
          <w:sz w:val="20"/>
          <w:szCs w:val="20"/>
          <w:color w:val="auto"/>
        </w:rPr>
      </w:pPr>
    </w:p>
    <w:p>
      <w:pPr>
        <w:jc w:val="both"/>
        <w:ind w:left="460" w:right="459" w:firstLine="858"/>
        <w:spacing w:after="0" w:line="261" w:lineRule="auto"/>
        <w:tabs>
          <w:tab w:leader="none" w:pos="1597"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5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58"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the Company, Sponsor or any Founder until such time as the Merger Agreement is executed.</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9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7" w:name="page388"/>
    <w:bookmarkEnd w:id="3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8" w:name="page389"/>
    <w:bookmarkEnd w:id="3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FOUNDERS: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Robert Carey</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Daniel Dubin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Deepa Pakianathan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9" w:name="page390"/>
    <w:bookmarkEnd w:id="3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FOUNDERS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4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Parent Class B</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12"/>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Founder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6"/>
        </w:trPr>
        <w:tc>
          <w:tcPr>
            <w:tcW w:w="5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Holdings, LLC</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1"/>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0" w:name="page391"/>
    <w:bookmarkEnd w:id="3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VOTING AGREEMENT dated as of [•],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FS Development Holdings, LLC, a Delaware limited liability company (“</w:t>
      </w:r>
      <w:r>
        <w:rPr>
          <w:rFonts w:ascii="Times New Roman" w:cs="Times New Roman" w:eastAsia="Times New Roman" w:hAnsi="Times New Roman"/>
          <w:sz w:val="18"/>
          <w:szCs w:val="18"/>
          <w:u w:val="single" w:color="auto"/>
          <w:color w:val="auto"/>
        </w:rPr>
        <w:t>FS Sponsor</w:t>
      </w:r>
      <w:r>
        <w:rPr>
          <w:rFonts w:ascii="Times New Roman" w:cs="Times New Roman" w:eastAsia="Times New Roman" w:hAnsi="Times New Roman"/>
          <w:sz w:val="18"/>
          <w:szCs w:val="18"/>
          <w:color w:val="auto"/>
        </w:rPr>
        <w:t>”), Gemini Therapeutics, Inc., a Delaware corporation formerly known as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individuals and entities executing a counterpart signature page to this Agreement (each, a “</w:t>
      </w:r>
      <w:r>
        <w:rPr>
          <w:rFonts w:ascii="Times New Roman" w:cs="Times New Roman" w:eastAsia="Times New Roman" w:hAnsi="Times New Roman"/>
          <w:sz w:val="18"/>
          <w:szCs w:val="18"/>
          <w:u w:val="single" w:color="auto"/>
          <w:color w:val="auto"/>
        </w:rPr>
        <w:t>Voting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dated as of October [•],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all capitalized terms used, but not otherwise defined herein, shall have the meanings ascribed to such terms in the Merger Agreement;</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is a condition to the closing of the Merger and the other transactions contemplated by the Merger Agreement.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58" w:lineRule="exact"/>
        <w:rPr>
          <w:sz w:val="20"/>
          <w:szCs w:val="20"/>
          <w:color w:val="auto"/>
        </w:rPr>
      </w:pPr>
    </w:p>
    <w:p>
      <w:pPr>
        <w:jc w:val="both"/>
        <w:ind w:left="460" w:right="479" w:firstLine="426"/>
        <w:spacing w:after="0" w:line="262" w:lineRule="auto"/>
        <w:tabs>
          <w:tab w:leader="none" w:pos="108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During the Term (as defined below), each Voting Party agrees to vote all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that it owns from time to time and may vote in the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this Agreement, whether at a regular or special meeting of stockholders or by written consent.</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full seven (7) member Board will be comprised of Jason Meyenberg, Jim Tananbaum, Carl Gordon and four (4) other members of the Gemini board of directors.</w:t>
      </w:r>
    </w:p>
    <w:p>
      <w:pPr>
        <w:spacing w:after="0" w:line="94"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2.2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1" w:name="page392"/>
    <w:bookmarkEnd w:id="3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12"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2.3 Provisions relating to authority to appoint four (4) of the Gemini directors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be determined by Gemini’s current board of directors at its sole discretion.</w:t>
      </w:r>
    </w:p>
    <w:p>
      <w:pPr>
        <w:spacing w:after="0" w:line="94"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02"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23" w:lineRule="exact"/>
        <w:rPr>
          <w:sz w:val="20"/>
          <w:szCs w:val="20"/>
          <w:color w:val="auto"/>
        </w:rPr>
      </w:pPr>
    </w:p>
    <w:p>
      <w:pPr>
        <w:jc w:val="both"/>
        <w:ind w:left="460" w:right="479" w:firstLine="426"/>
        <w:spacing w:after="0" w:line="262"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in Interest of the Voting Parties and the Company</w:t>
      </w:r>
      <w:r>
        <w:rPr>
          <w:rFonts w:ascii="Times New Roman" w:cs="Times New Roman" w:eastAsia="Times New Roman" w:hAnsi="Times New Roman"/>
          <w:sz w:val="18"/>
          <w:szCs w:val="18"/>
          <w:color w:val="auto"/>
        </w:rPr>
        <w:t>. The provisions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binding upon the successors in 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Proxy</w:t>
      </w:r>
      <w:r>
        <w:rPr>
          <w:rFonts w:ascii="Times New Roman" w:cs="Times New Roman" w:eastAsia="Times New Roman" w:hAnsi="Times New Roman"/>
          <w:sz w:val="18"/>
          <w:szCs w:val="18"/>
          <w:color w:val="auto"/>
        </w:rPr>
        <w:t>. The parties agree that this Agreement does not constitute the granting of a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party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9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Enforcement</w:t>
      </w:r>
      <w:r>
        <w:rPr>
          <w:rFonts w:ascii="Times New Roman" w:cs="Times New Roman" w:eastAsia="Times New Roman" w:hAnsi="Times New Roman"/>
          <w:sz w:val="18"/>
          <w:szCs w:val="18"/>
          <w:color w:val="auto"/>
        </w:rPr>
        <w:t>. It is agreed and understood that (a) monetary damages would not 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compensate an injured party for the breach of this Agreement by any party hereto, (b) this Agreement shall be specifically enforceable and (c) any breach of this Agreement shall be the proper subject of a temporary or permanent injunction or restraining order.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Manner of Voting</w:t>
      </w:r>
      <w:r>
        <w:rPr>
          <w:rFonts w:ascii="Times New Roman" w:cs="Times New Roman" w:eastAsia="Times New Roman" w:hAnsi="Times New Roman"/>
          <w:sz w:val="18"/>
          <w:szCs w:val="18"/>
          <w:color w:val="auto"/>
        </w:rPr>
        <w:t>. The voting of the Voting Shares pursuant to this Agreement may be effected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by proxy, by written consent or in any other manner permitted by applicable law.</w:t>
      </w:r>
    </w:p>
    <w:p>
      <w:pPr>
        <w:spacing w:after="0" w:line="8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on the last day of the Term.</w:t>
      </w:r>
    </w:p>
    <w:p>
      <w:pPr>
        <w:spacing w:after="0" w:line="144"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Except as otherwise provided herein, any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the observance thereof may be waived (either generally or in a particular instance and either retroactively or prospectively) only with the written consent of the Company, FS Sponsor and [•].</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0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Splits, Stock Dividends, etc</w:t>
      </w:r>
      <w:r>
        <w:rPr>
          <w:rFonts w:ascii="Times New Roman" w:cs="Times New Roman" w:eastAsia="Times New Roman" w:hAnsi="Times New Roman"/>
          <w:sz w:val="18"/>
          <w:szCs w:val="18"/>
          <w:color w:val="auto"/>
        </w:rPr>
        <w:t>. In the event of any stock split, stock dividend, recapitalization,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or the like, any securities issued with respect to Voting Shares held by the Voting Parties shall become Voting Shares for purposes of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2" w:name="page393"/>
    <w:bookmarkEnd w:id="3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68" w:lineRule="auto"/>
        <w:tabs>
          <w:tab w:leader="none" w:pos="122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any provision of the Agreement shall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the validity, legality and enforceability of the remaining provisions shall not in any way be affected or impaired thereby.</w:t>
      </w:r>
    </w:p>
    <w:p>
      <w:pPr>
        <w:spacing w:after="0" w:line="103"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16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legal relations between the parties arising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by and interpreted in accordance with the laws of the State of Delaware without reference to its conflicts of law provisions.</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16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Electronic Execution or Delivery</w:t>
      </w:r>
      <w:r>
        <w:rPr>
          <w:rFonts w:ascii="Times New Roman" w:cs="Times New Roman" w:eastAsia="Times New Roman" w:hAnsi="Times New Roman"/>
          <w:sz w:val="18"/>
          <w:szCs w:val="18"/>
          <w:color w:val="auto"/>
        </w:rPr>
        <w:t>. This Agreement may be executed in two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98"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17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in this Agreement,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inure to the benefit of, and be binding upon, the successors and assigns of the parties hereto.</w:t>
      </w:r>
    </w:p>
    <w:p>
      <w:pPr>
        <w:spacing w:after="0" w:line="87"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18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full and entire understanding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supersedes any prior 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3" w:name="page394"/>
    <w:bookmarkEnd w:id="3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this Voting Agreement is hereby executed effective as of the date first set forth above.</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1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corporation f/k/a FS Development Corp.</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4" w:name="page395"/>
    <w:bookmarkEnd w:id="3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5" w:name="page396"/>
    <w:bookmarkEnd w:id="3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6" w:name="page397"/>
    <w:bookmarkEnd w:id="39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ESCROW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FS Development Holdings, LLC, a Delaware limited liability company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of the Company Securityholders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solely in its capacity as the representative, agent and attorney-in-fact of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Continental Stock Transfer &amp; Trust Company, a New York corporation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FSG Merger Sub Inc., a Delaware corporation and a wholly-owned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Stockholder Representative entered into an Agreement and Plan of Merger, dated October [•], 2020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0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4.1(i) of the Merger Agreement, Parent is required to deposit 2,150,000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Class A Shares, par value $0.0001 per share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covenants hereinafter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as follows:</w:t>
      </w:r>
    </w:p>
    <w:p>
      <w:pPr>
        <w:spacing w:after="0" w:line="87" w:lineRule="exact"/>
        <w:rPr>
          <w:sz w:val="20"/>
          <w:szCs w:val="20"/>
          <w:color w:val="auto"/>
        </w:rPr>
      </w:pPr>
    </w:p>
    <w:p>
      <w:pPr>
        <w:ind w:left="1060" w:hanging="174"/>
        <w:spacing w:after="0"/>
        <w:tabs>
          <w:tab w:leader="none" w:pos="10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Defined Terms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6"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04"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20" w:right="459" w:firstLine="1078"/>
        <w:spacing w:after="0" w:line="258" w:lineRule="auto"/>
        <w:tabs>
          <w:tab w:leader="none" w:pos="2628"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102"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3"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paid with respect to the Escrow Shares (collectively, the “</w:t>
      </w:r>
      <w:r>
        <w:rPr>
          <w:rFonts w:ascii="Times New Roman" w:cs="Times New Roman" w:eastAsia="Times New Roman" w:hAnsi="Times New Roman"/>
          <w:sz w:val="18"/>
          <w:szCs w:val="18"/>
          <w:u w:val="single" w:color="auto"/>
          <w:color w:val="auto"/>
        </w:rPr>
        <w:t>Escrowed Dividends</w:t>
      </w:r>
      <w:r>
        <w:rPr>
          <w:rFonts w:ascii="Times New Roman" w:cs="Times New Roman" w:eastAsia="Times New Roman" w:hAnsi="Times New Roman"/>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7" w:name="page398"/>
    <w:bookmarkEnd w:id="3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firstLine="1078"/>
        <w:spacing w:after="0" w:line="258" w:lineRule="auto"/>
        <w:tabs>
          <w:tab w:leader="none" w:pos="2809" w:val="left"/>
        </w:tabs>
        <w:numPr>
          <w:ilvl w:val="2"/>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shall be appropriately adjusted on a pro rata basis.</w:t>
      </w:r>
    </w:p>
    <w:p>
      <w:pPr>
        <w:spacing w:after="0" w:line="111"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Disposition and Termination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8"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7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Escrow Agent has been able to satisfy any applicable security procedures as may be required hereunder and as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3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11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1"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resignation shall not take effect until a successor escrow agent has been appointed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the parties hereto have jointly failed to appoint a successor escrow agent prior to the expiration of thirty (30) days following receipt of the notice of resignation, the Escrow Agent may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8" w:name="page399"/>
    <w:bookmarkEnd w:id="3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27" w:lineRule="exact"/>
        <w:rPr>
          <w:sz w:val="20"/>
          <w:szCs w:val="20"/>
          <w:color w:val="auto"/>
        </w:rPr>
      </w:pPr>
    </w:p>
    <w:p>
      <w:pPr>
        <w:jc w:val="both"/>
        <w:ind w:left="460" w:right="479" w:firstLine="858"/>
        <w:spacing w:after="0" w:line="266" w:lineRule="auto"/>
        <w:tabs>
          <w:tab w:leader="none" w:pos="159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04"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9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and Reimbursement. </w:t>
      </w:r>
      <w:r>
        <w:rPr>
          <w:rFonts w:ascii="Times New Roman" w:cs="Times New Roman" w:eastAsia="Times New Roman" w:hAnsi="Times New Roman"/>
          <w:sz w:val="18"/>
          <w:szCs w:val="18"/>
          <w:color w:val="auto"/>
        </w:rPr>
        <w:t>The Escrow Agent shall be entitled to compensation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under this Agreement as Escrow Agent and for reimbursement for its reasonable and documented out-of-pocket costs and expenses, in the amounts and payable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such compensation, expenses, disbursements and advances shall not be paid from the Escrow Shares. The obligations of Parent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resignation, replacement or removal of the Escrow Agent or the termination of this Agreement.</w:t>
      </w:r>
    </w:p>
    <w:p>
      <w:pPr>
        <w:spacing w:after="0" w:line="103"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7"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9"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termination of this Agreement or the resignation, replacement or removal of the Escrow Agent for any reason.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9" w:name="page400"/>
    <w:bookmarkEnd w:id="3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060" w:hanging="174"/>
        <w:spacing w:after="0"/>
        <w:tabs>
          <w:tab w:leader="none" w:pos="106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Disclosure/Taxpayer Identification Numbers/Tax Reporting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2"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w:t>
      </w:r>
      <w:r>
        <w:rPr>
          <w:rFonts w:ascii="Times New Roman" w:cs="Times New Roman" w:eastAsia="Times New Roman" w:hAnsi="Times New Roman"/>
          <w:sz w:val="18"/>
          <w:szCs w:val="18"/>
          <w:color w:val="auto"/>
        </w:rPr>
        <w:t>. Section 326 of the Uniting and Strengthening America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Tools Required to Intercept and Obstruct Terrorism Act of 2001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8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5"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49"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07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communications hereunder shall be deemed to have been duly given and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 writing and if (i) served by personal delivery upon the party for whom it is intended, (ii) delivered by registered or certified mail, return receipt requested, or by Federal Express or similar overnight courier, or</w:t>
      </w:r>
    </w:p>
    <w:p>
      <w:pPr>
        <w:jc w:val="both"/>
        <w:ind w:left="460" w:right="459" w:hanging="6"/>
        <w:spacing w:after="0" w:line="255" w:lineRule="auto"/>
        <w:tabs>
          <w:tab w:leader="none" w:pos="78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Sponsor:</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Stockholder Representative:</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Escrow Agent: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Continental Stock Transfer and Trust</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One State Street —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No: (212) 616-7615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George Dalton</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0" w:name="page401"/>
    <w:bookmarkEnd w:id="4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54" w:lineRule="auto"/>
        <w:tabs>
          <w:tab w:leader="none" w:pos="120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Notwithstanding anything to the contrary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setting forth, claiming, containing, objecting to, or in any way related to the transfer or distribution, including but not limited to any transfer instructions that may otherwise be set forth in a written instruction permitted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as further evidenced by a confirmed transmittal to that number.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2"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9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Court Orders. </w:t>
      </w:r>
      <w:r>
        <w:rPr>
          <w:rFonts w:ascii="Times New Roman" w:cs="Times New Roman" w:eastAsia="Times New Roman" w:hAnsi="Times New Roman"/>
          <w:sz w:val="18"/>
          <w:szCs w:val="18"/>
          <w:color w:val="auto"/>
        </w:rPr>
        <w:t>In the event that any escrow property shall be attached, garnished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levied upon by any court order, or the 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2"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Except for changes to transfer instructions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waived, altered, 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1" w:name="page402"/>
    <w:bookmarkEnd w:id="4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 left blank]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2" w:name="page403"/>
    <w:bookmarkEnd w:id="4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executed this Agreement as of the date set forth above.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solely in its capacity as the representative of the Company Securityholders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CONTINENTAL STOCK TRANSFER AND TRUST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Escrow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3" w:name="page404"/>
    <w:bookmarkEnd w:id="4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Schedule l</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Person(s) Designated by Sponsor to give Escrow Shares Transfer Instructions</w:t>
      </w:r>
    </w:p>
    <w:p>
      <w:pPr>
        <w:spacing w:after="0" w:line="209" w:lineRule="exact"/>
        <w:rPr>
          <w:sz w:val="20"/>
          <w:szCs w:val="20"/>
          <w:color w:val="auto"/>
        </w:rPr>
      </w:pPr>
    </w:p>
    <w:p>
      <w:pPr>
        <w:jc w:val="both"/>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be completed by Sponsor]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4" w:name="page405"/>
    <w:bookmarkEnd w:id="4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Person(s) Designated by Stockholder Representative to give Escrow Shares Transfer Instructions</w:t>
      </w:r>
    </w:p>
    <w:p>
      <w:pPr>
        <w:spacing w:after="0" w:line="221" w:lineRule="exact"/>
        <w:rPr>
          <w:sz w:val="20"/>
          <w:szCs w:val="20"/>
          <w:color w:val="auto"/>
        </w:rPr>
      </w:pPr>
    </w:p>
    <w:p>
      <w:pPr>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#1</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#2</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#3</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#4</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5" w:name="page406"/>
    <w:bookmarkEnd w:id="4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6" w:name="page407"/>
    <w:bookmarkEnd w:id="4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 2020, by and among FS Development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parties listed as Investors on Schedule I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 and Gemini Therapeutics, Inc., a Delaware company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WHEREAS, the Company, FSG Merger Sub, Inc., a Delaware corporation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pursuant to which, among other things: (a) Merger Sub will merge with and into Gemini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Gemini surviving the Merger as a wholly-owned subsidiary of Company;</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Investors listed as Company Investors on Schedule I hereto (collectively, the “</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are parties to that certain Registration Rights Agreement, dated August 11, 2020 (the “</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0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WHEREAS, the Company Investors and Gemini Investors listed on Schedule I hereto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subscribed to purchase shares of Common Stock in the Private Placement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in connection with the consummation of the Merger; and</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DEFINITIONS. The following capitalized terms used herein have the following meanings: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Addendum Agreement</w:t>
      </w:r>
      <w:r>
        <w:rPr>
          <w:rFonts w:ascii="Times New Roman" w:cs="Times New Roman" w:eastAsia="Times New Roman" w:hAnsi="Times New Roman"/>
          <w:sz w:val="18"/>
          <w:szCs w:val="18"/>
          <w:color w:val="auto"/>
        </w:rPr>
        <w:t>” is defined in Section 7.2.</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Bylaws</w:t>
      </w:r>
      <w:r>
        <w:rPr>
          <w:rFonts w:ascii="Times New Roman" w:cs="Times New Roman" w:eastAsia="Times New Roman" w:hAnsi="Times New Roman"/>
          <w:sz w:val="18"/>
          <w:szCs w:val="18"/>
          <w:color w:val="auto"/>
        </w:rPr>
        <w:t>” means the bylaws of the Company, as amended, modified, supplemented or restated and in effect from time to time.</w:t>
      </w:r>
    </w:p>
    <w:p>
      <w:pPr>
        <w:spacing w:after="0" w:line="7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is defined in Section 3.1.3.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7" w:name="page408"/>
    <w:bookmarkEnd w:id="4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S-1</w:t>
      </w:r>
      <w:r>
        <w:rPr>
          <w:rFonts w:ascii="Times New Roman" w:cs="Times New Roman" w:eastAsia="Times New Roman" w:hAnsi="Times New Roman"/>
          <w:sz w:val="18"/>
          <w:szCs w:val="18"/>
          <w:color w:val="auto"/>
        </w:rPr>
        <w:t>” means a Registration Statement on Form S-1.</w:t>
      </w:r>
    </w:p>
    <w:p>
      <w:pPr>
        <w:spacing w:after="0" w:line="158"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means a Registration Statement on Form S-3 or any similar short-form registration that may be available at such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 Investors</w:t>
      </w:r>
      <w:r>
        <w:rPr>
          <w:rFonts w:ascii="Times New Roman" w:cs="Times New Roman" w:eastAsia="Times New Roman" w:hAnsi="Times New Roman"/>
          <w:sz w:val="18"/>
          <w:szCs w:val="18"/>
          <w:color w:val="auto"/>
        </w:rPr>
        <w:t>” is defined in the recitals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Investor” and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2.2.4.</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w:t>
      </w:r>
    </w:p>
    <w:p>
      <w:pPr>
        <w:ind w:left="780" w:hanging="326"/>
        <w:spacing w:after="0"/>
        <w:tabs>
          <w:tab w:leader="none" w:pos="7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issued to any Investor with respect to such securities referred to in clauses</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67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1" w:lineRule="exact"/>
        <w:rPr>
          <w:rFonts w:ascii="Times New Roman" w:cs="Times New Roman" w:eastAsia="Times New Roman" w:hAnsi="Times New Roman"/>
          <w:sz w:val="18"/>
          <w:szCs w:val="18"/>
          <w:color w:val="auto"/>
        </w:rPr>
      </w:pPr>
    </w:p>
    <w:p>
      <w:pPr>
        <w:jc w:val="both"/>
        <w:ind w:left="46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8" w:name="page409"/>
    <w:bookmarkEnd w:id="4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Requesting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Subsequent Shelf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(i) sell, offer to sell, contract or agree to sell, hypothecate, pledge, grant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make any short sale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Takedown</w:t>
      </w:r>
      <w:r>
        <w:rPr>
          <w:rFonts w:ascii="Times New Roman" w:cs="Times New Roman" w:eastAsia="Times New Roman" w:hAnsi="Times New Roman"/>
          <w:sz w:val="18"/>
          <w:szCs w:val="18"/>
          <w:color w:val="auto"/>
        </w:rPr>
        <w:t>” shall mean an underwritten public offering of Registrable Securities pursuant to the Resale Shelf Registration Statement, as amended or supplemented.</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Demand Registration</w:t>
      </w:r>
      <w:r>
        <w:rPr>
          <w:rFonts w:ascii="Times New Roman" w:cs="Times New Roman" w:eastAsia="Times New Roman" w:hAnsi="Times New Roman"/>
          <w:sz w:val="18"/>
          <w:szCs w:val="18"/>
          <w:color w:val="auto"/>
        </w:rPr>
        <w:t>” shall mean an underwritten public offering of Registrable Securities pursuant to a Demand Registration, as amended or supplemented.</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REGISTRATION RIGHTS.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The Company shall prepare and file or cause to be prepared and filed with the Commission as soon as practicable after the Closing Date (as such term is defined in the Merger Agreement), but in any event no later than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days after the Closing Date (the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331"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680" w:right="459" w:hanging="226"/>
        <w:spacing w:after="0" w:line="243" w:lineRule="auto"/>
        <w:tabs>
          <w:tab w:leader="none" w:pos="716" w:val="left"/>
        </w:tabs>
        <w:numPr>
          <w:ilvl w:val="0"/>
          <w:numId w:val="38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track the date that the shares issued in the PIPE must be registered pursuant to the PIPE subscription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9" w:name="page410"/>
    <w:bookmarkEnd w:id="4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Amendments and Supplements; Subsequent Shelf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Times New Roman" w:cs="Times New Roman" w:eastAsia="Times New Roman" w:hAnsi="Times New Roman"/>
          <w:sz w:val="18"/>
          <w:szCs w:val="18"/>
          <w:u w:val="single" w:color="auto"/>
          <w:color w:val="auto"/>
        </w:rPr>
        <w:t>Subsequent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20"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2.1.4 Notwithstanding the registration obligations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6"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06" w:lineRule="exact"/>
        <w:rPr>
          <w:sz w:val="20"/>
          <w:szCs w:val="20"/>
          <w:color w:val="auto"/>
        </w:rPr>
      </w:pPr>
    </w:p>
    <w:p>
      <w:pPr>
        <w:jc w:val="both"/>
        <w:ind w:left="460" w:right="459" w:firstLine="1074"/>
        <w:spacing w:after="0" w:line="251" w:lineRule="auto"/>
        <w:tabs>
          <w:tab w:leader="none" w:pos="181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receive a request from the holders of Registrable Securities with an estimated market value of at least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requesting holder(s) shall be referred to herein as the “</w:t>
      </w:r>
      <w:r>
        <w:rPr>
          <w:rFonts w:ascii="Times New Roman" w:cs="Times New Roman" w:eastAsia="Times New Roman" w:hAnsi="Times New Roman"/>
          <w:sz w:val="18"/>
          <w:szCs w:val="18"/>
          <w:b w:val="1"/>
          <w:bCs w:val="1"/>
          <w:u w:val="single" w:color="auto"/>
          <w:color w:val="auto"/>
        </w:rPr>
        <w:t>Requesting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that the Company effect the Underwritten Takedown of all or any portion of the Requesting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20" w:lineRule="exact"/>
        <w:rPr>
          <w:rFonts w:ascii="Times New Roman" w:cs="Times New Roman" w:eastAsia="Times New Roman" w:hAnsi="Times New Roman"/>
          <w:sz w:val="18"/>
          <w:szCs w:val="18"/>
          <w:color w:val="auto"/>
        </w:rPr>
      </w:pPr>
    </w:p>
    <w:p>
      <w:pPr>
        <w:ind w:left="460" w:right="479" w:firstLine="1290"/>
        <w:spacing w:after="0" w:line="261" w:lineRule="auto"/>
        <w:tabs>
          <w:tab w:leader="none" w:pos="197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all Registrable Securities for which the Requesting Holder has requested such offering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ind w:left="660" w:hanging="206"/>
        <w:spacing w:after="0" w:line="236" w:lineRule="auto"/>
        <w:tabs>
          <w:tab w:leader="none" w:pos="660" w:val="left"/>
        </w:tabs>
        <w:numPr>
          <w:ilvl w:val="0"/>
          <w:numId w:val="3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 xml:space="preserve">Note to Draft: </w:t>
      </w:r>
      <w:r>
        <w:rPr>
          <w:rFonts w:ascii="Times New Roman" w:cs="Times New Roman" w:eastAsia="Times New Roman" w:hAnsi="Times New Roman"/>
          <w:sz w:val="16"/>
          <w:szCs w:val="16"/>
          <w:color w:val="auto"/>
        </w:rPr>
        <w:t>Amount TBD based on post-Closing market cap and pro forma capitalization table.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0" w:name="page411"/>
    <w:bookmarkEnd w:id="4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6" w:lineRule="auto"/>
        <w:tabs>
          <w:tab w:leader="none" w:pos="2041"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all other Registrable Securities that any holders of Registrable Securities (all such holders, together with the Requesting Holder, the “</w:t>
      </w:r>
      <w:r>
        <w:rPr>
          <w:rFonts w:ascii="Times New Roman" w:cs="Times New Roman" w:eastAsia="Times New Roman" w:hAnsi="Times New Roman"/>
          <w:sz w:val="18"/>
          <w:szCs w:val="18"/>
          <w:b w:val="1"/>
          <w:bCs w:val="1"/>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have requested the Company to offer by request received by the Company within seven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19" w:lineRule="exact"/>
        <w:rPr>
          <w:rFonts w:ascii="Times New Roman" w:cs="Times New Roman" w:eastAsia="Times New Roman" w:hAnsi="Times New Roman"/>
          <w:sz w:val="18"/>
          <w:szCs w:val="18"/>
          <w:color w:val="auto"/>
        </w:rPr>
      </w:pPr>
    </w:p>
    <w:p>
      <w:pPr>
        <w:jc w:val="both"/>
        <w:ind w:left="460" w:right="459" w:firstLine="1074"/>
        <w:spacing w:after="0" w:line="266" w:lineRule="auto"/>
        <w:tabs>
          <w:tab w:leader="none" w:pos="179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expiration of the seven-Business Day-period referred to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will notify all Selling Holders of the identities of the other Selling Holders and the number of shares of Registrable Securities requested to be included therein.</w:t>
      </w:r>
    </w:p>
    <w:p>
      <w:pPr>
        <w:spacing w:after="0" w:line="108" w:lineRule="exact"/>
        <w:rPr>
          <w:rFonts w:ascii="Times New Roman" w:cs="Times New Roman" w:eastAsia="Times New Roman" w:hAnsi="Times New Roman"/>
          <w:sz w:val="18"/>
          <w:szCs w:val="18"/>
          <w:color w:val="auto"/>
        </w:rPr>
      </w:pPr>
    </w:p>
    <w:p>
      <w:pPr>
        <w:jc w:val="both"/>
        <w:ind w:left="460" w:right="459" w:firstLine="1074"/>
        <w:spacing w:after="0" w:line="244" w:lineRule="auto"/>
        <w:tabs>
          <w:tab w:leader="none" w:pos="179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only be required to effectuate: (i) one Underwritten Takedown within any six-month period; (ii) no more than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Underwritten Takedowns in respect of all Registrable Securities held by the Company Investors after giving effect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and (iii) no more than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Underwritten Takedowns in respect of all Registrable Securities held by Gemini Investors after giving effect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jc w:val="both"/>
        <w:ind w:left="460" w:right="459" w:firstLine="1074"/>
        <w:spacing w:after="0" w:line="254" w:lineRule="auto"/>
        <w:tabs>
          <w:tab w:leader="none" w:pos="182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2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2.1.7 Registrations effected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49"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after the expiration of a lock-up to which such shares are subject, if any, (i) Company Investors who hold a majority in interest of the Registrable Securities held by all Company Investors or (ii) Company Investors who hold [•]</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the provisos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(c) more than [•]</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Underwritten Demand Registrations in respect 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3</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4</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5</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6</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TBD based on post-Closing pro forma capitalization.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5"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1" w:name="page412"/>
    <w:bookmarkEnd w:id="4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all Registrable Securities held by the Company Investors, each of which will also count as an Underwritten Takedown of the Company Investors under </w:t>
      </w:r>
      <w:r>
        <w:rPr>
          <w:rFonts w:ascii="Times New Roman" w:cs="Times New Roman" w:eastAsia="Times New Roman" w:hAnsi="Times New Roman"/>
          <w:sz w:val="18"/>
          <w:szCs w:val="18"/>
          <w:u w:val="single" w:color="auto"/>
          <w:color w:val="auto"/>
        </w:rPr>
        <w:t>Section 2.1.5(c)(ii)</w:t>
      </w:r>
      <w:r>
        <w:rPr>
          <w:rFonts w:ascii="Times New Roman" w:cs="Times New Roman" w:eastAsia="Times New Roman" w:hAnsi="Times New Roman"/>
          <w:sz w:val="18"/>
          <w:szCs w:val="18"/>
          <w:color w:val="auto"/>
        </w:rPr>
        <w:t>; or (d) more than [•]</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Underwritten Demand Registrations in respect of all Registrable Securities held by Gemini Investors, each of which will also count as an Underwritten Takedown of Gemini Investors under </w:t>
      </w:r>
      <w:r>
        <w:rPr>
          <w:rFonts w:ascii="Times New Roman" w:cs="Times New Roman" w:eastAsia="Times New Roman" w:hAnsi="Times New Roman"/>
          <w:sz w:val="18"/>
          <w:szCs w:val="18"/>
          <w:u w:val="single" w:color="auto"/>
          <w:color w:val="auto"/>
        </w:rPr>
        <w:t>Section 2.1.5(c)(iii)</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2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115"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2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7</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Amount TBD based on post-Closing market cap and pro forma capitalization table.</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2" w:name="page413"/>
    <w:bookmarkEnd w:id="4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w:t>
      </w:r>
    </w:p>
    <w:p>
      <w:pPr>
        <w:spacing w:after="0" w:line="5" w:lineRule="exact"/>
        <w:rPr>
          <w:sz w:val="20"/>
          <w:szCs w:val="20"/>
          <w:color w:val="auto"/>
        </w:rPr>
      </w:pPr>
    </w:p>
    <w:p>
      <w:pPr>
        <w:jc w:val="both"/>
        <w:ind w:left="460" w:right="459" w:hanging="6"/>
        <w:spacing w:after="0" w:line="250" w:lineRule="auto"/>
        <w:tabs>
          <w:tab w:leader="none" w:pos="7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The rights provided under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shall not be available to any Investor at such time as (i) there is an effective Resale Shelf Registration Statement available for the resale of the Registerable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exceeds the Maximum Number of Shares, then the Company shall include in any such registration:</w:t>
      </w:r>
    </w:p>
    <w:p>
      <w:pPr>
        <w:spacing w:after="0" w:line="108" w:lineRule="exact"/>
        <w:rPr>
          <w:sz w:val="20"/>
          <w:szCs w:val="20"/>
          <w:color w:val="auto"/>
        </w:rPr>
      </w:pPr>
    </w:p>
    <w:p>
      <w:pPr>
        <w:jc w:val="both"/>
        <w:ind w:left="460" w:right="459" w:firstLine="1074"/>
        <w:spacing w:after="0" w:line="254" w:lineRule="auto"/>
        <w:tabs>
          <w:tab w:leader="none" w:pos="179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20" w:lineRule="exact"/>
        <w:rPr>
          <w:rFonts w:ascii="Times New Roman" w:cs="Times New Roman" w:eastAsia="Times New Roman" w:hAnsi="Times New Roman"/>
          <w:sz w:val="18"/>
          <w:szCs w:val="18"/>
          <w:color w:val="auto"/>
        </w:rPr>
      </w:pPr>
    </w:p>
    <w:p>
      <w:pPr>
        <w:jc w:val="both"/>
        <w:ind w:left="460" w:right="459" w:firstLine="1074"/>
        <w:spacing w:after="0" w:line="253" w:lineRule="auto"/>
        <w:tabs>
          <w:tab w:leader="none" w:pos="1803"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3" w:name="page414"/>
    <w:bookmarkEnd w:id="4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REGISTRATION PROCEDURES.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xml:space="preserve">. Whenever the Company is required to effect the registration of any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99"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xml:space="preserve">. The Company shall use its reasonable best efforts to, as expeditiously as possible after receipt of a request for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Times New Roman" w:cs="Times New Roman" w:eastAsia="Times New Roman" w:hAnsi="Times New Roman"/>
          <w:sz w:val="18"/>
          <w:szCs w:val="18"/>
          <w:b w:val="1"/>
          <w:bCs w:val="1"/>
          <w:u w:val="single" w:color="auto"/>
          <w:color w:val="auto"/>
        </w:rPr>
        <w:t>Company Board</w:t>
      </w:r>
      <w:r>
        <w:rPr>
          <w:rFonts w:ascii="Times New Roman" w:cs="Times New Roman" w:eastAsia="Times New Roman" w:hAnsi="Times New Roman"/>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w:t>
      </w:r>
    </w:p>
    <w:p>
      <w:pPr>
        <w:spacing w:after="0" w:line="1" w:lineRule="exact"/>
        <w:rPr>
          <w:sz w:val="20"/>
          <w:szCs w:val="20"/>
          <w:color w:val="auto"/>
        </w:rPr>
      </w:pPr>
    </w:p>
    <w:p>
      <w:pPr>
        <w:ind w:left="460" w:right="479" w:hanging="6"/>
        <w:spacing w:after="0" w:line="260" w:lineRule="auto"/>
        <w:tabs>
          <w:tab w:leader="none" w:pos="83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calendar days, or more than one hundred twenty (120) total calendar days in any 365-day period.</w:t>
      </w:r>
    </w:p>
    <w:p>
      <w:pPr>
        <w:spacing w:after="0" w:line="11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Until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59" w:hanging="6"/>
        <w:spacing w:after="0" w:line="252" w:lineRule="auto"/>
        <w:tabs>
          <w:tab w:leader="none" w:pos="75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4" w:name="page415"/>
    <w:bookmarkEnd w:id="4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21"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07"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12"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21"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113"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5" w:name="page416"/>
    <w:bookmarkEnd w:id="4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12"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xml:space="preserve">.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Underwritten Takedown pursuant to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any Piggy-Back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any registration on Form S-3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 INDEMNIFICATION AND CONTRIBUTION.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6" w:name="page417"/>
    <w:bookmarkEnd w:id="4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7" w:name="page418"/>
    <w:bookmarkEnd w:id="4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4.4.1 If the indemnification provided for in the foregoing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11"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 xml:space="preserve">4.4.2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the immediately preceding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 UNDERWRITING AND DISTRIBUTION.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 LOCK-UP AGREEMENTS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Investor Lock-Up</w:t>
      </w:r>
      <w:r>
        <w:rPr>
          <w:rFonts w:ascii="Times New Roman" w:cs="Times New Roman" w:eastAsia="Times New Roman" w:hAnsi="Times New Roman"/>
          <w:sz w:val="18"/>
          <w:szCs w:val="18"/>
          <w:color w:val="auto"/>
        </w:rPr>
        <w:t>.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8" w:name="page419"/>
    <w:bookmarkEnd w:id="4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MISCELLANEOUS.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Registration Rights and Arrangements</w:t>
      </w:r>
      <w:r>
        <w:rPr>
          <w:rFonts w:ascii="Times New Roman" w:cs="Times New Roman" w:eastAsia="Times New Roman" w:hAnsi="Times New Roman"/>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8"/>
          <w:szCs w:val="18"/>
          <w:b w:val="1"/>
          <w:bCs w:val="1"/>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transferor shall have delivered to the Company no later than thirty (30) days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79" w:hanging="6"/>
        <w:spacing w:after="0" w:line="251" w:lineRule="auto"/>
        <w:tabs>
          <w:tab w:leader="none" w:pos="75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survive such termination.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9" w:name="page420"/>
    <w:bookmarkEnd w:id="4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Attn:</w:t>
        <w:tab/>
        <w:t>Mitchell S. Bloom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Company:</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3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to an Investor, to the address set forth under such Investor’s signature to this Agreement or to such Investor’s address as found in the Company’s books and records.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0" w:name="page421"/>
    <w:bookmarkEnd w:id="4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1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1" w:name="page422"/>
    <w:bookmarkEnd w:id="4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FS DEVELOPMENT CORP.</w:t>
      </w:r>
    </w:p>
    <w:p>
      <w:pPr>
        <w:spacing w:after="0" w:line="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20148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2" w:name="page423"/>
    <w:bookmarkEnd w:id="4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222885</wp:posOffset>
            </wp:positionV>
            <wp:extent cx="230568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Address: [__________]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3" w:name="page424"/>
    <w:bookmarkEnd w:id="4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Addendum Agreement (“</w:t>
      </w:r>
      <w:r>
        <w:rPr>
          <w:rFonts w:ascii="Times New Roman" w:cs="Times New Roman" w:eastAsia="Times New Roman" w:hAnsi="Times New Roman"/>
          <w:sz w:val="18"/>
          <w:szCs w:val="18"/>
          <w:u w:val="single" w:color="auto"/>
          <w:color w:val="auto"/>
        </w:rPr>
        <w:t>Addendum Agreement</w:t>
      </w:r>
      <w:r>
        <w:rPr>
          <w:rFonts w:ascii="Times New Roman" w:cs="Times New Roman" w:eastAsia="Times New Roman" w:hAnsi="Times New Roman"/>
          <w:sz w:val="18"/>
          <w:szCs w:val="18"/>
          <w:color w:val="auto"/>
        </w:rPr>
        <w:t>”) is executed on __________________, 20___, by</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u w:val="single" w:color="auto"/>
          <w:color w:val="auto"/>
        </w:rPr>
        <w:t>New Holder</w:t>
      </w:r>
      <w:r>
        <w:rPr>
          <w:rFonts w:ascii="Times New Roman" w:cs="Times New Roman" w:eastAsia="Times New Roman" w:hAnsi="Times New Roman"/>
          <w:sz w:val="18"/>
          <w:szCs w:val="18"/>
          <w:color w:val="auto"/>
        </w:rPr>
        <w:t>”) pursuant to the terms of that certain Registration Rights Agreement dated as of [•],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19" w:lineRule="exact"/>
        <w:rPr>
          <w:sz w:val="20"/>
          <w:szCs w:val="20"/>
          <w:color w:val="auto"/>
        </w:rPr>
      </w:pPr>
    </w:p>
    <w:p>
      <w:pPr>
        <w:jc w:val="both"/>
        <w:ind w:left="460" w:right="459" w:firstLine="426"/>
        <w:spacing w:after="0" w:line="261" w:lineRule="auto"/>
        <w:tabs>
          <w:tab w:leader="none" w:pos="107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New Holder acknowledges that New Holder is acquiring certain shares of common stock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07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New Holder at the address or facsimile number listed below New Holder’s signature below.</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ACCEPTED AND AGREED:</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FS DEVELOPMENT CORP.</w:t>
            </w:r>
          </w:p>
        </w:tc>
        <w:tc>
          <w:tcPr>
            <w:tcW w:w="0" w:type="dxa"/>
            <w:vAlign w:val="bottom"/>
          </w:tcPr>
          <w:p>
            <w:pPr>
              <w:spacing w:after="0"/>
              <w:rPr>
                <w:sz w:val="1"/>
                <w:szCs w:val="1"/>
                <w:color w:val="auto"/>
              </w:rPr>
            </w:pPr>
          </w:p>
        </w:tc>
      </w:tr>
      <w:tr>
        <w:trPr>
          <w:trHeight w:val="4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2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5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12"/>
        </w:trPr>
        <w:tc>
          <w:tcPr>
            <w:tcW w:w="12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Annex A-124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4" w:name="page425"/>
    <w:bookmarkEnd w:id="4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Atlas Venture Fund X,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Singapore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(A), 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OrbiMed Private Investments VI,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Wu Capital Investment LLC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5" w:name="page426"/>
    <w:bookmarkEnd w:id="4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601"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6" w:name="page427"/>
    <w:bookmarkEnd w:id="4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58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any authorized committee thereof; and</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6"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94"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26"/>
        <w:spacing w:after="0" w:line="254" w:lineRule="auto"/>
        <w:tabs>
          <w:tab w:leader="none" w:pos="1072"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48" w:lineRule="exact"/>
        <w:rPr>
          <w:sz w:val="20"/>
          <w:szCs w:val="20"/>
          <w:color w:val="auto"/>
        </w:rPr>
      </w:pPr>
    </w:p>
    <w:p>
      <w:pPr>
        <w:ind w:left="460" w:right="459" w:firstLine="426"/>
        <w:spacing w:after="0" w:line="282" w:lineRule="auto"/>
        <w:tabs>
          <w:tab w:leader="none" w:pos="107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08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7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7" w:name="page428"/>
    <w:bookmarkEnd w:id="4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072"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47"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8" w:name="page429"/>
    <w:bookmarkEnd w:id="4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48" w:lineRule="exact"/>
        <w:rPr>
          <w:sz w:val="20"/>
          <w:szCs w:val="20"/>
          <w:color w:val="auto"/>
        </w:rPr>
      </w:pPr>
    </w:p>
    <w:p>
      <w:pPr>
        <w:jc w:val="both"/>
        <w:ind w:left="460" w:right="479" w:firstLine="426"/>
        <w:spacing w:after="0" w:line="257" w:lineRule="auto"/>
        <w:tabs>
          <w:tab w:leader="none" w:pos="1085"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3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01"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4"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59" w:firstLine="426"/>
        <w:spacing w:after="0" w:line="266" w:lineRule="auto"/>
        <w:tabs>
          <w:tab w:leader="none" w:pos="1072"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060" w:hanging="174"/>
        <w:spacing w:after="0"/>
        <w:tabs>
          <w:tab w:leader="none" w:pos="106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2"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9" w:name="page430"/>
    <w:bookmarkEnd w:id="4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0" w:name="page431"/>
    <w:bookmarkEnd w:id="4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43180</wp:posOffset>
            </wp:positionV>
            <wp:extent cx="192024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1" w:name="page432"/>
    <w:bookmarkEnd w:id="4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140" w:hanging="254"/>
        <w:spacing w:after="0"/>
        <w:tabs>
          <w:tab w:leader="none" w:pos="11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15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47" w:lineRule="auto"/>
        <w:tabs>
          <w:tab w:leader="none" w:pos="115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2" w:name="page433"/>
    <w:bookmarkEnd w:id="4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0" w:lineRule="exact"/>
        <w:rPr>
          <w:sz w:val="20"/>
          <w:szCs w:val="20"/>
          <w:color w:val="auto"/>
        </w:rPr>
      </w:pPr>
    </w:p>
    <w:p>
      <w:pPr>
        <w:jc w:val="both"/>
        <w:ind w:left="880" w:right="459" w:firstLine="438"/>
        <w:spacing w:after="0" w:line="252" w:lineRule="auto"/>
        <w:tabs>
          <w:tab w:leader="none" w:pos="162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4" w:lineRule="exact"/>
        <w:rPr>
          <w:rFonts w:ascii="Times New Roman" w:cs="Times New Roman" w:eastAsia="Times New Roman" w:hAnsi="Times New Roman"/>
          <w:sz w:val="18"/>
          <w:szCs w:val="18"/>
          <w:color w:val="auto"/>
        </w:rPr>
      </w:pPr>
    </w:p>
    <w:p>
      <w:pPr>
        <w:jc w:val="both"/>
        <w:ind w:left="880" w:right="459" w:firstLine="438"/>
        <w:spacing w:after="0" w:line="261" w:lineRule="auto"/>
        <w:tabs>
          <w:tab w:leader="none" w:pos="163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8" w:lineRule="exact"/>
        <w:rPr>
          <w:rFonts w:ascii="Times New Roman" w:cs="Times New Roman" w:eastAsia="Times New Roman" w:hAnsi="Times New Roman"/>
          <w:sz w:val="18"/>
          <w:szCs w:val="18"/>
          <w:color w:val="auto"/>
        </w:rPr>
      </w:pPr>
    </w:p>
    <w:p>
      <w:pPr>
        <w:jc w:val="both"/>
        <w:ind w:left="880" w:right="459" w:firstLine="438"/>
        <w:spacing w:after="0" w:line="251" w:lineRule="auto"/>
        <w:tabs>
          <w:tab w:leader="none" w:pos="165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3" w:name="page434"/>
    <w:bookmarkEnd w:id="43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627"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5" w:lineRule="auto"/>
        <w:tabs>
          <w:tab w:leader="none" w:pos="163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12" w:lineRule="exact"/>
        <w:rPr>
          <w:sz w:val="20"/>
          <w:szCs w:val="20"/>
          <w:color w:val="auto"/>
        </w:rPr>
      </w:pPr>
    </w:p>
    <w:p>
      <w:pPr>
        <w:jc w:val="both"/>
        <w:ind w:left="460" w:right="459" w:firstLine="426"/>
        <w:spacing w:after="0" w:line="247" w:lineRule="auto"/>
        <w:tabs>
          <w:tab w:leader="none" w:pos="1158"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5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4" w:name="page435"/>
    <w:bookmarkEnd w:id="43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140" w:hanging="254"/>
        <w:spacing w:after="0"/>
        <w:tabs>
          <w:tab w:leader="none" w:pos="114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88"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8"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8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5" w:name="page436"/>
    <w:bookmarkEnd w:id="43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4" w:lineRule="auto"/>
        <w:tabs>
          <w:tab w:leader="none" w:pos="1142"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5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37"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06"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6" w:name="page437"/>
    <w:bookmarkEnd w:id="43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0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7" w:name="page438"/>
    <w:bookmarkEnd w:id="43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8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8" w:name="page439"/>
    <w:bookmarkEnd w:id="43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9" w:name="page440"/>
    <w:bookmarkEnd w:id="43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 time.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0" w:name="page441"/>
    <w:bookmarkEnd w:id="44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3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1" w:name="page442"/>
    <w:bookmarkEnd w:id="44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131" w:lineRule="exact"/>
        <w:rPr>
          <w:sz w:val="20"/>
          <w:szCs w:val="20"/>
          <w:color w:val="auto"/>
        </w:rPr>
      </w:pPr>
    </w:p>
    <w:p>
      <w:pPr>
        <w:jc w:val="both"/>
        <w:ind w:left="460" w:right="459" w:firstLine="426"/>
        <w:spacing w:after="0" w:line="253" w:lineRule="auto"/>
        <w:tabs>
          <w:tab w:leader="none" w:pos="113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81"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6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1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6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1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67"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8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0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8" w:lineRule="auto"/>
        <w:tabs>
          <w:tab w:leader="none" w:pos="1137"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2" w:name="page443"/>
    <w:bookmarkEnd w:id="44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56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56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59" w:firstLine="438"/>
        <w:spacing w:after="0" w:line="266" w:lineRule="auto"/>
        <w:tabs>
          <w:tab w:leader="none" w:pos="156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63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3" w:name="page444"/>
    <w:bookmarkEnd w:id="44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5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0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2"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38"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0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26"/>
        <w:spacing w:after="0" w:line="254" w:lineRule="auto"/>
        <w:tabs>
          <w:tab w:leader="none" w:pos="113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3" w:lineRule="auto"/>
        <w:tabs>
          <w:tab w:leader="none" w:pos="115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4" w:name="page445"/>
    <w:bookmarkEnd w:id="44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08" w:lineRule="exact"/>
        <w:rPr>
          <w:sz w:val="20"/>
          <w:szCs w:val="20"/>
          <w:color w:val="auto"/>
        </w:rPr>
      </w:pPr>
    </w:p>
    <w:p>
      <w:pPr>
        <w:jc w:val="both"/>
        <w:ind w:left="460" w:right="459" w:firstLine="426"/>
        <w:spacing w:after="0" w:line="253" w:lineRule="auto"/>
        <w:tabs>
          <w:tab w:leader="none" w:pos="117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2"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5" w:name="page446"/>
    <w:bookmarkEnd w:id="44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26"/>
        <w:spacing w:after="0" w:line="266" w:lineRule="auto"/>
        <w:tabs>
          <w:tab w:leader="none" w:pos="115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6" w:name="page447"/>
    <w:bookmarkEnd w:id="44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7" w:name="page448"/>
    <w:bookmarkEnd w:id="44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15"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8" w:name="page449"/>
    <w:bookmarkEnd w:id="44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SECTION 2. ADMINISTRATION OF PLAN; ADMINISTRATOR AUTHORITY TO SELECT GRANTEES AND DETERMINE AWARDS</w:t>
      </w:r>
    </w:p>
    <w:p>
      <w:pPr>
        <w:spacing w:after="0" w:line="94" w:lineRule="exact"/>
        <w:rPr>
          <w:sz w:val="20"/>
          <w:szCs w:val="20"/>
          <w:color w:val="auto"/>
        </w:rPr>
      </w:pPr>
    </w:p>
    <w:p>
      <w:pPr>
        <w:ind w:left="1140" w:hanging="254"/>
        <w:spacing w:after="0"/>
        <w:tabs>
          <w:tab w:leader="none" w:pos="11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7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640" w:hanging="322"/>
        <w:spacing w:after="0"/>
        <w:tabs>
          <w:tab w:leader="none" w:pos="1640"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35"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62"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8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19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9" w:name="page450"/>
    <w:bookmarkEnd w:id="44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3. STOCK ISSUABLE UNDER THE PLAN; MERGERS; SUBSTITUTION</w:t>
      </w:r>
    </w:p>
    <w:p>
      <w:pPr>
        <w:spacing w:after="0" w:line="158" w:lineRule="exact"/>
        <w:rPr>
          <w:sz w:val="20"/>
          <w:szCs w:val="20"/>
          <w:color w:val="auto"/>
        </w:rPr>
      </w:pPr>
    </w:p>
    <w:p>
      <w:pPr>
        <w:jc w:val="both"/>
        <w:ind w:left="460" w:right="459" w:firstLine="426"/>
        <w:spacing w:after="0" w:line="252" w:lineRule="auto"/>
        <w:tabs>
          <w:tab w:leader="none" w:pos="113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147"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0" w:name="page451"/>
    <w:bookmarkEnd w:id="45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13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 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5. STOCK OPTIONS</w:t>
      </w:r>
    </w:p>
    <w:p>
      <w:pPr>
        <w:spacing w:after="0" w:line="158" w:lineRule="exact"/>
        <w:rPr>
          <w:sz w:val="20"/>
          <w:szCs w:val="20"/>
          <w:color w:val="auto"/>
        </w:rPr>
      </w:pPr>
    </w:p>
    <w:p>
      <w:pPr>
        <w:ind w:left="460" w:right="479" w:firstLine="426"/>
        <w:spacing w:after="0" w:line="282" w:lineRule="auto"/>
        <w:tabs>
          <w:tab w:leader="none" w:pos="116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59" w:firstLine="426"/>
        <w:spacing w:after="0" w:line="261" w:lineRule="auto"/>
        <w:tabs>
          <w:tab w:leader="none" w:pos="114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1" w:name="page452"/>
    <w:bookmarkEnd w:id="45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79" w:firstLine="426"/>
        <w:spacing w:after="0" w:line="261" w:lineRule="auto"/>
        <w:tabs>
          <w:tab w:leader="none" w:pos="113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7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7"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55"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7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59" w:firstLine="426"/>
        <w:spacing w:after="0" w:line="256" w:lineRule="auto"/>
        <w:tabs>
          <w:tab w:leader="none" w:pos="111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2" w:name="page453"/>
    <w:bookmarkEnd w:id="45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6. STOCK APPRECIATION RIGHTS</w:t>
      </w:r>
    </w:p>
    <w:p>
      <w:pPr>
        <w:spacing w:after="0" w:line="158" w:lineRule="exact"/>
        <w:rPr>
          <w:sz w:val="20"/>
          <w:szCs w:val="20"/>
          <w:color w:val="auto"/>
        </w:rPr>
      </w:pPr>
    </w:p>
    <w:p>
      <w:pPr>
        <w:jc w:val="both"/>
        <w:ind w:left="460" w:right="459" w:firstLine="426"/>
        <w:spacing w:after="0" w:line="256" w:lineRule="auto"/>
        <w:tabs>
          <w:tab w:leader="none" w:pos="115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1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5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7. RESTRICTED STOCK AWARDS</w:t>
      </w:r>
    </w:p>
    <w:p>
      <w:pPr>
        <w:spacing w:after="0" w:line="144" w:lineRule="exact"/>
        <w:rPr>
          <w:sz w:val="20"/>
          <w:szCs w:val="20"/>
          <w:color w:val="auto"/>
        </w:rPr>
      </w:pPr>
    </w:p>
    <w:p>
      <w:pPr>
        <w:jc w:val="both"/>
        <w:ind w:left="460" w:right="459" w:firstLine="426"/>
        <w:spacing w:after="0" w:line="261" w:lineRule="auto"/>
        <w:tabs>
          <w:tab w:leader="none" w:pos="115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53" w:lineRule="auto"/>
        <w:tabs>
          <w:tab w:leader="none" w:pos="1147"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91"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20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3" w:name="page454"/>
    <w:bookmarkEnd w:id="45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8. RESTRICTED STOCK UNITS</w:t>
      </w:r>
    </w:p>
    <w:p>
      <w:pPr>
        <w:spacing w:after="0" w:line="158" w:lineRule="exact"/>
        <w:rPr>
          <w:sz w:val="20"/>
          <w:szCs w:val="20"/>
          <w:color w:val="auto"/>
        </w:rPr>
      </w:pPr>
    </w:p>
    <w:p>
      <w:pPr>
        <w:jc w:val="both"/>
        <w:ind w:left="460" w:right="459" w:firstLine="426"/>
        <w:spacing w:after="0" w:line="253" w:lineRule="auto"/>
        <w:tabs>
          <w:tab w:leader="none" w:pos="113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5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0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9. 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10. 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11. DIVIDEND EQUIVALENT RIGHTS</w:t>
      </w:r>
    </w:p>
    <w:p>
      <w:pPr>
        <w:spacing w:after="0" w:line="158" w:lineRule="exact"/>
        <w:rPr>
          <w:sz w:val="20"/>
          <w:szCs w:val="20"/>
          <w:color w:val="auto"/>
        </w:rPr>
      </w:pPr>
    </w:p>
    <w:p>
      <w:pPr>
        <w:jc w:val="both"/>
        <w:ind w:left="460" w:right="459" w:firstLine="426"/>
        <w:spacing w:after="0" w:line="258" w:lineRule="auto"/>
        <w:tabs>
          <w:tab w:leader="none" w:pos="113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4" w:name="page455"/>
    <w:bookmarkEnd w:id="45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201"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163"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7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4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1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5" w:name="page456"/>
    <w:bookmarkEnd w:id="45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1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8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67"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6" w:name="page457"/>
    <w:bookmarkEnd w:id="45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7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2"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7" w:name="page458"/>
    <w:bookmarkEnd w:id="45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8" w:name="page459"/>
    <w:bookmarkEnd w:id="45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FIRPTA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Treasury Regulations Section 1.1445-2(c)(3) and Section 1.897-2(h)</w:t>
      </w:r>
    </w:p>
    <w:p>
      <w:pPr>
        <w:spacing w:after="0" w:line="13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95" w:lineRule="exact"/>
        <w:rPr>
          <w:sz w:val="20"/>
          <w:szCs w:val="20"/>
          <w:color w:val="auto"/>
        </w:rPr>
      </w:pPr>
    </w:p>
    <w:p>
      <w:pPr>
        <w:ind w:left="1060" w:hanging="174"/>
        <w:spacing w:after="0"/>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and is treated as a corporation for U.S. federal income tax purposes.</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employer identification number is [•].</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address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0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89"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this certification may be disclosed to the Internal Revenue Service by Transferee and that any false statement contained herein could be punished by fine, imprisonment or both.</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Attached hereto is a notice, dated as of the date hereof, from the Company to the Internal Revenue Service to the effect that the Company has determined equity interests in the Company are not USRPIs.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9" w:name="page460"/>
    <w:bookmarkEnd w:id="45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[date]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GEMINI THERAPEUTICS, INC.,</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19456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0" w:name="page461"/>
    <w:bookmarkEnd w:id="46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CERTIFIED MAIL</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RECEIPT REQUESTED]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 Center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 Box 409101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Ogden, UT 84409</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 Notice Required Under Treasury Regulations Section 1.897-2(h)(2)</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Sir/Madam:</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notice is provided pursuant to the requirements of Treasury Regulations Section 1.897-2(h)(2).</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information relates to the corporation providing the notice:</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300 One Kendall Square, 3</w:t>
      </w:r>
      <w:r>
        <w:rPr>
          <w:rFonts w:ascii="Times New Roman" w:cs="Times New Roman" w:eastAsia="Times New Roman" w:hAnsi="Times New Roman"/>
          <w:sz w:val="9"/>
          <w:szCs w:val="9"/>
          <w:color w:val="auto"/>
        </w:rPr>
        <w:t>rd</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9019"/>
          </w:cols>
          <w:pgMar w:left="1440" w:top="270" w:right="1440" w:bottom="1440" w:gutter="0" w:footer="0" w:header="0"/>
          <w:type w:val="continuous"/>
        </w:sectPr>
      </w:pP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600 Montgomery Street, Suite 4500</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interests in question (equity interests in the Company) are not “U.S. real property interests,” as that term is defined in section 897(c)(1) of the Internal Revenue Code of 1986, as amended.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1" w:name="page462"/>
    <w:bookmarkEnd w:id="46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183451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2" w:name="page463"/>
    <w:bookmarkEnd w:id="46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October [•], 2020 and is between FS Development Corp., a Delaware corporation (“</w:t>
      </w:r>
      <w:r>
        <w:rPr>
          <w:rFonts w:ascii="Times New Roman" w:cs="Times New Roman" w:eastAsia="Times New Roman" w:hAnsi="Times New Roman"/>
          <w:sz w:val="18"/>
          <w:szCs w:val="18"/>
          <w:b w:val="1"/>
          <w:bCs w:val="1"/>
          <w:u w:val="single" w:color="auto"/>
          <w:color w:val="auto"/>
        </w:rPr>
        <w:t>FSD</w:t>
      </w:r>
      <w:r>
        <w:rPr>
          <w:rFonts w:ascii="Times New Roman" w:cs="Times New Roman" w:eastAsia="Times New Roman" w:hAnsi="Times New Roman"/>
          <w:sz w:val="18"/>
          <w:szCs w:val="18"/>
          <w:color w:val="auto"/>
        </w:rPr>
        <w:t xml:space="preserve">”), and each of the stockholder parties identified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and the other persons who enter into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with FSD in order to become a “Stockholder Party” for purposes of this Agreement (collectively, the “</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Capitalized terms used but not defined herein shall have the meanings assigned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Agreement and Plan of Merger, dated as of October [•], 2020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FSG Merger Sub Inc., a Delaware corporation and a direct, wholly owned subsidiary of FSD, will merge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with Gemini surviving the Merger as a wholly owned subsidiary of FSD;</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owns the number and type of Equity Interest in Gemini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opposite of such Stockholder 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Equity Interests, the “</w:t>
      </w:r>
      <w:r>
        <w:rPr>
          <w:rFonts w:ascii="Times New Roman" w:cs="Times New Roman" w:eastAsia="Times New Roman" w:hAnsi="Times New Roman"/>
          <w:sz w:val="18"/>
          <w:szCs w:val="18"/>
          <w:b w:val="1"/>
          <w:bCs w:val="1"/>
          <w:u w:val="single" w:color="auto"/>
          <w:color w:val="auto"/>
        </w:rPr>
        <w:t>Gemini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Interests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will receive a certain number of shares of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$0.0001 par value per share, of FSD and/or options to purchase such shares of Class A common stock (the “</w:t>
      </w:r>
      <w:r>
        <w:rPr>
          <w:rFonts w:ascii="Times New Roman" w:cs="Times New Roman" w:eastAsia="Times New Roman" w:hAnsi="Times New Roman"/>
          <w:sz w:val="18"/>
          <w:szCs w:val="18"/>
          <w:b w:val="1"/>
          <w:bCs w:val="1"/>
          <w:u w:val="single" w:color="auto"/>
          <w:color w:val="auto"/>
        </w:rPr>
        <w:t>FSD Equity Interests</w:t>
      </w:r>
      <w:r>
        <w:rPr>
          <w:rFonts w:ascii="Times New Roman" w:cs="Times New Roman" w:eastAsia="Times New Roman" w:hAnsi="Times New Roman"/>
          <w:sz w:val="18"/>
          <w:szCs w:val="18"/>
          <w:color w:val="auto"/>
        </w:rPr>
        <w:t>”, together with the Gemini Equity Interests, and together with any of the foregoing acquired after the date hereof, the “</w:t>
      </w:r>
      <w:r>
        <w:rPr>
          <w:rFonts w:ascii="Times New Roman" w:cs="Times New Roman" w:eastAsia="Times New Roman" w:hAnsi="Times New Roman"/>
          <w:sz w:val="18"/>
          <w:szCs w:val="18"/>
          <w:b w:val="1"/>
          <w:bCs w:val="1"/>
          <w:u w:val="single" w:color="auto"/>
          <w:color w:val="auto"/>
        </w:rPr>
        <w:t>Covered Equity Interest</w:t>
      </w:r>
      <w:r>
        <w:rPr>
          <w:rFonts w:ascii="Times New Roman" w:cs="Times New Roman" w:eastAsia="Times New Roman" w:hAnsi="Times New Roman"/>
          <w:sz w:val="18"/>
          <w:szCs w:val="18"/>
          <w:color w:val="auto"/>
        </w:rPr>
        <w:t>”), pursuant to the terms of the Merger Agreement;</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Party under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and as a 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9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acknowledge and agree that FSD would not have entered into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consummate the transactions contemplated by the Merger Agreement without each Stockholder Party entering into this Agreement and agreeing to be bound by the agreements, covenants and obligations contained in this Agreement;</w:t>
      </w:r>
    </w:p>
    <w:p>
      <w:pPr>
        <w:spacing w:after="0" w:line="109"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FSD entering into the Merger Agreement, the parties hereto wish to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certain understandings between such parties with respect to restrictions on transfer of the Covered Equity Interest.</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hereto,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 when used herein with initial capital letters:</w:t>
      </w:r>
    </w:p>
    <w:p>
      <w:pPr>
        <w:spacing w:after="0" w:line="8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Lockup Agreement, as the same may be amended, supplemented, restated or otherwise modified from time to time in accordance with the terms hereof.</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3" w:name="page464"/>
    <w:bookmarkEnd w:id="46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59" w:hanging="434"/>
        <w:spacing w:after="0" w:line="251" w:lineRule="auto"/>
        <w:tabs>
          <w:tab w:leader="none" w:pos="137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3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4" w:name="page465"/>
    <w:bookmarkEnd w:id="46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 PARTIES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Stockholder Representations and Warranties</w:t>
      </w:r>
      <w:r>
        <w:rPr>
          <w:rFonts w:ascii="Times New Roman" w:cs="Times New Roman" w:eastAsia="Times New Roman" w:hAnsi="Times New Roman"/>
          <w:sz w:val="18"/>
          <w:szCs w:val="18"/>
          <w:color w:val="auto"/>
        </w:rPr>
        <w:t>. Each Stockholder Party represents and warrants to</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 as follows:</w:t>
      </w:r>
    </w:p>
    <w:p>
      <w:pPr>
        <w:spacing w:after="0" w:line="139" w:lineRule="exact"/>
        <w:rPr>
          <w:sz w:val="20"/>
          <w:szCs w:val="20"/>
          <w:color w:val="auto"/>
        </w:rPr>
      </w:pPr>
    </w:p>
    <w:p>
      <w:pPr>
        <w:jc w:val="both"/>
        <w:ind w:left="1320" w:right="459" w:hanging="434"/>
        <w:spacing w:after="0" w:line="258" w:lineRule="auto"/>
        <w:tabs>
          <w:tab w:leader="none" w:pos="1398"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3"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is the record and beneficial owner of the Gemini Equity Interests set forth opposite such Stockholder Party’s name on Exhibit A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the obligations of each Stockholder Party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FSD’s address is: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6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5" w:name="page466"/>
    <w:bookmarkEnd w:id="46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such address as such Stockholder Party shall furnish to FSD in writing.</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79" w:hanging="434"/>
        <w:spacing w:after="0" w:line="258" w:lineRule="auto"/>
        <w:tabs>
          <w:tab w:leader="none" w:pos="140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9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resolutions passed, exercise their votes and do and perform and cause to be done such further acts and things necessary, proper or advisable in order to give full effect to this Agreement and every provision hereof.</w:t>
      </w:r>
    </w:p>
    <w:p>
      <w:pPr>
        <w:spacing w:after="0" w:line="103"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may not be assigned without the express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hereto, and any attempted assignment, without such consents, will be null and void. This Agreement will inure to the benefit of and be binding on the parties hereto and their respective successors and permitted assigns.</w:t>
      </w:r>
    </w:p>
    <w:p>
      <w:pPr>
        <w:spacing w:after="0" w:line="9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Except with respect to any Non-Recourse Party, this Agreement does not create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claims or benefits inuring to any person that is not a party hereto nor create or establish any third party beneficiary hereto.</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ARISING HEREUNDER SHALL BE GOVERNED BY AND INTERPRETED IN ACCORDANCE WITH THE LAWS OF THE STATE OF DELAWARE WITHOUT REFERENCE TO ITS CONFLICTS OF LAW PROVISIONS.</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 All Actions arising out of or relating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6" w:name="page467"/>
    <w:bookmarkEnd w:id="46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Table of Contents, Headings and Captions</w:t>
      </w:r>
      <w:r>
        <w:rPr>
          <w:rFonts w:ascii="Times New Roman" w:cs="Times New Roman" w:eastAsia="Times New Roman" w:hAnsi="Times New Roman"/>
          <w:sz w:val="18"/>
          <w:szCs w:val="18"/>
          <w:color w:val="auto"/>
        </w:rPr>
        <w:t>. The table of contents, headings, subheadings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contained in this Agreement are included for convenience of reference only, and in no way define, limit or describe the scope of this Agreement or the intent of any provision hereof.</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shall be deemed an original, but all of which taken together shall constitute one agreement (or amendment, as applicable).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Agreement shall be valid and enforceable as of the date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revoked by any party hereto.</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7" w:name="page468"/>
    <w:bookmarkEnd w:id="46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Lockup Agreement on the day and year first above written.</w:t>
      </w:r>
    </w:p>
    <w:p>
      <w:pPr>
        <w:spacing w:after="0" w:line="1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8" w:name="page469"/>
    <w:bookmarkEnd w:id="46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9" w:name="page470"/>
    <w:bookmarkEnd w:id="46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0" w:name="page471"/>
    <w:bookmarkEnd w:id="47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LIGHSTONE SINGAPORE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1" w:name="page472"/>
    <w:bookmarkEnd w:id="47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2" w:name="page473"/>
    <w:bookmarkEnd w:id="47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ATLAS VENTURE FUND X,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3" w:name="page474"/>
    <w:bookmarkEnd w:id="47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WU CAPITAL</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4" w:name="page475"/>
    <w:bookmarkEnd w:id="47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5" w:name="page476"/>
    <w:bookmarkEnd w:id="47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6" w:name="page477"/>
    <w:bookmarkEnd w:id="47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7" w:name="page478"/>
    <w:bookmarkEnd w:id="47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8" w:name="page479"/>
    <w:bookmarkEnd w:id="47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PARTIES</w:t>
      </w:r>
      <w:r>
        <w:rPr>
          <w:rFonts w:ascii="Times New Roman" w:cs="Times New Roman" w:eastAsia="Times New Roman" w:hAnsi="Times New Roman"/>
          <w:sz w:val="20"/>
          <w:szCs w:val="20"/>
          <w:b w:val="1"/>
          <w:bCs w:val="1"/>
          <w:color w:val="auto"/>
          <w:vertAlign w:val="superscript"/>
        </w:rPr>
        <w:t>[10]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Options</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11,653,137</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976,931</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1,587,559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133,112</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Lighstone Singapore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3,700,139</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5,180,196</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Wu Capital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James McLaughlin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Steve Squinto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396,803</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3,285,939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Suresh Katti</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Strapps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 w:lineRule="exact"/>
        <w:rPr>
          <w:sz w:val="20"/>
          <w:szCs w:val="20"/>
          <w:color w:val="auto"/>
        </w:rPr>
      </w:pPr>
    </w:p>
    <w:p>
      <w:pPr>
        <w:ind w:left="880" w:hanging="426"/>
        <w:spacing w:after="0"/>
        <w:tabs>
          <w:tab w:leader="none" w:pos="880" w:val="left"/>
        </w:tabs>
        <w:numPr>
          <w:ilvl w:val="0"/>
          <w:numId w:val="4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be confirmed whether any other members of Gemini management owns shares of Gemini.</w:t>
      </w:r>
    </w:p>
    <w:p>
      <w:pPr>
        <w:sectPr>
          <w:pgSz w:w="11900" w:h="16838" w:orient="portrait"/>
          <w:cols w:equalWidth="0" w:num="1">
            <w:col w:w="9019"/>
          </w:cols>
          <w:pgMar w:left="1440" w:top="269"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479" w:name="page480"/>
    <w:bookmarkEnd w:id="47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TO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Capitalized terms used but not otherwise defined herein shall have the meanings ascribed to such terms in the Lockup Agreement.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of FSD and each undersigned holder of shares of FSD (each, a “</w:t>
      </w:r>
      <w:r>
        <w:rPr>
          <w:rFonts w:ascii="Times New Roman" w:cs="Times New Roman" w:eastAsia="Times New Roman" w:hAnsi="Times New Roman"/>
          <w:sz w:val="18"/>
          <w:szCs w:val="18"/>
          <w:u w:val="single" w:color="auto"/>
          <w:color w:val="auto"/>
        </w:rPr>
        <w:t>New Stockholder Party</w:t>
      </w:r>
      <w:r>
        <w:rPr>
          <w:rFonts w:ascii="Times New Roman" w:cs="Times New Roman" w:eastAsia="Times New Roman" w:hAnsi="Times New Roman"/>
          <w:sz w:val="18"/>
          <w:szCs w:val="18"/>
          <w:color w:val="auto"/>
        </w:rPr>
        <w:t>”) agrees that this Joinder to the Lockup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9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0" w:name="page481"/>
    <w:bookmarkEnd w:id="48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undersigned have duly executed this joinder as of the date first set forth above.</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STOCKHOLDER PARTY]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7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1" w:name="page482"/>
    <w:bookmarkEnd w:id="48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251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Gemini Therapeutics, Inc., a corporation organized and existing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the following information relating to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FSG Merger Sub, Inc., a corporation organized and existing under the laws of Delaware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as the surviving corporation of the Merger:</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the constituent corporations to the Merger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are as follows:</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r>
      <w:tr>
        <w:trPr>
          <w:trHeight w:val="46"/>
        </w:trPr>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Gemini Therapeutics, Inc.</w:t>
            </w:r>
          </w:p>
        </w:tc>
        <w:tc>
          <w:tcPr>
            <w:tcW w:w="1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FSG Merger Sub, Inc.</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October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FS Development Corp., 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name of the surviving corporation, upon the effectiveness of the Merger, shall be Gemini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w:t>
      </w:r>
    </w:p>
    <w:p>
      <w:pPr>
        <w:spacing w:after="0" w:line="74"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of the Company, as in effect prior to the filing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Merger, shall be amended as of the filing of this Certificate of Merger so as to contain the provisions, and only the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and, as so amended, shall be the Certificate of Incorporation of the surviving corporation.</w:t>
      </w:r>
    </w:p>
    <w:p>
      <w:pPr>
        <w:spacing w:after="0" w:line="10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Merger and the Merger shall become effective immediately upon the filing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Certificate of Merger with the Secretary of State of the State of Delaware.</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 executed Agreement is on file at the principal place of business of the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principal place of business of the surviving corporation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9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A copy of the Agreement will be furnished by the surviving corporation on request,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to any stockholder of either of the Constituent Corporations.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BLANK INTENTIONALLY]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2" w:name="page483"/>
    <w:bookmarkEnd w:id="48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surviving corporation has caused this certificate to be signed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the _____ day of _____, 2020.</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Delaware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3" w:name="page484"/>
    <w:bookmarkEnd w:id="48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4" w:name="page485"/>
    <w:bookmarkEnd w:id="48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State of Delaware, 19808. The name of its registered agent at such address is Corporation Service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Two Hundred and Sixty Million (260,000,000) of which (i) Two Hundred and Fifty Million (250,000,000) shares shall be a 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83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10"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91"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5" w:name="page486"/>
    <w:bookmarkEnd w:id="48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858"/>
        <w:spacing w:after="0" w:line="282" w:lineRule="auto"/>
        <w:tabs>
          <w:tab w:leader="none" w:pos="180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Undesignated Preferred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98"/>
        <w:spacing w:after="0" w:line="254" w:lineRule="auto"/>
        <w:tabs>
          <w:tab w:leader="none" w:pos="1369"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78"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ind w:left="460" w:right="459" w:firstLine="426"/>
        <w:spacing w:after="0" w:line="282" w:lineRule="auto"/>
        <w:tabs>
          <w:tab w:leader="none" w:pos="133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351"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8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553"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2021,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2021,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Jean George and Dr. Carl Gordon; the initial Class II Directors of the Corporation shall be David Lubner, Dr. Tuyen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6" w:name="page487"/>
    <w:bookmarkEnd w:id="48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Ong and Jason Rhodes; and the initial Class III Directors of the Corporation shall be Jason Meyenburg and Dr. Jim Tananbaum.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31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472"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62" w:lineRule="exact"/>
        <w:rPr>
          <w:sz w:val="20"/>
          <w:szCs w:val="20"/>
          <w:color w:val="auto"/>
        </w:rPr>
      </w:pPr>
    </w:p>
    <w:p>
      <w:pPr>
        <w:jc w:val="both"/>
        <w:ind w:left="460" w:right="479" w:firstLine="426"/>
        <w:spacing w:after="0" w:line="257" w:lineRule="auto"/>
        <w:tabs>
          <w:tab w:leader="none" w:pos="1351"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31"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7" w:name="page488"/>
    <w:bookmarkEnd w:id="48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limiting the personal liability of Directors, then the liability of a Director of the Corporation shall be eliminated or limited to the fullest extent permitted by the DGCL, as so amended.</w:t>
      </w:r>
    </w:p>
    <w:p>
      <w:pPr>
        <w:spacing w:after="0" w:line="94" w:lineRule="exact"/>
        <w:rPr>
          <w:sz w:val="20"/>
          <w:szCs w:val="20"/>
          <w:color w:val="auto"/>
        </w:rPr>
      </w:pPr>
    </w:p>
    <w:p>
      <w:pPr>
        <w:jc w:val="both"/>
        <w:ind w:left="460" w:right="459" w:firstLine="426"/>
        <w:spacing w:after="0" w:line="258" w:lineRule="auto"/>
        <w:tabs>
          <w:tab w:leader="none" w:pos="1361"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79" w:firstLine="426"/>
        <w:spacing w:after="0" w:line="266" w:lineRule="auto"/>
        <w:tabs>
          <w:tab w:leader="none" w:pos="1297"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1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300" w:hanging="414"/>
        <w:spacing w:after="0"/>
        <w:tabs>
          <w:tab w:leader="none" w:pos="13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1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8" w:name="page489"/>
    <w:bookmarkEnd w:id="48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2021.</w:t>
      </w:r>
    </w:p>
    <w:p>
      <w:pPr>
        <w:spacing w:after="0" w:line="20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51435</wp:posOffset>
            </wp:positionV>
            <wp:extent cx="248602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Name: James Meyenburg</w:t>
      </w:r>
    </w:p>
    <w:p>
      <w:pPr>
        <w:spacing w:after="0" w:line="7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9" w:name="page490"/>
    <w:bookmarkEnd w:id="48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1. Annual Meeting.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Notice of Stockholder Business and Nominations.</w:t>
      </w:r>
    </w:p>
    <w:p>
      <w:pPr>
        <w:spacing w:after="0" w:line="144" w:lineRule="exact"/>
        <w:rPr>
          <w:sz w:val="20"/>
          <w:szCs w:val="20"/>
          <w:color w:val="auto"/>
        </w:rPr>
      </w:pPr>
    </w:p>
    <w:p>
      <w:pPr>
        <w:ind w:left="1320" w:hanging="434"/>
        <w:spacing w:after="0"/>
        <w:tabs>
          <w:tab w:leader="none" w:pos="132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314"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77"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42" w:lineRule="auto"/>
        <w:tabs>
          <w:tab w:leader="none" w:pos="779"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0" w:name="page491"/>
    <w:bookmarkEnd w:id="49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1" w:lineRule="auto"/>
        <w:rPr>
          <w:sz w:val="20"/>
          <w:szCs w:val="20"/>
          <w:color w:val="auto"/>
        </w:rPr>
      </w:pPr>
      <w:r>
        <w:rPr>
          <w:rFonts w:ascii="Times New Roman" w:cs="Times New Roman" w:eastAsia="Times New Roman" w:hAnsi="Times New Roman"/>
          <w:sz w:val="18"/>
          <w:szCs w:val="18"/>
          <w:color w:val="auto"/>
        </w:rPr>
        <w:t>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3" w:lineRule="exact"/>
        <w:rPr>
          <w:sz w:val="20"/>
          <w:szCs w:val="20"/>
          <w:color w:val="auto"/>
        </w:rPr>
      </w:pPr>
    </w:p>
    <w:p>
      <w:pPr>
        <w:jc w:val="both"/>
        <w:ind w:left="1760" w:right="459" w:firstLine="422"/>
        <w:spacing w:after="0" w:line="252" w:lineRule="auto"/>
        <w:tabs>
          <w:tab w:leader="none" w:pos="2893"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0" w:lineRule="exact"/>
        <w:rPr>
          <w:rFonts w:ascii="Times New Roman" w:cs="Times New Roman" w:eastAsia="Times New Roman" w:hAnsi="Times New Roman"/>
          <w:sz w:val="18"/>
          <w:szCs w:val="18"/>
          <w:color w:val="auto"/>
        </w:rPr>
      </w:pPr>
    </w:p>
    <w:p>
      <w:pPr>
        <w:jc w:val="both"/>
        <w:ind w:left="1760" w:right="459" w:firstLine="422"/>
        <w:spacing w:after="0" w:line="258" w:lineRule="auto"/>
        <w:tabs>
          <w:tab w:leader="none" w:pos="3002"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2" w:lineRule="exact"/>
        <w:rPr>
          <w:rFonts w:ascii="Times New Roman" w:cs="Times New Roman" w:eastAsia="Times New Roman" w:hAnsi="Times New Roman"/>
          <w:sz w:val="18"/>
          <w:szCs w:val="18"/>
          <w:color w:val="auto"/>
        </w:rPr>
      </w:pPr>
    </w:p>
    <w:p>
      <w:pPr>
        <w:jc w:val="both"/>
        <w:ind w:left="1760" w:right="459" w:firstLine="422"/>
        <w:spacing w:after="0" w:line="251" w:lineRule="auto"/>
        <w:tabs>
          <w:tab w:leader="none" w:pos="281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1" w:name="page492"/>
    <w:bookmarkEnd w:id="49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jc w:val="both"/>
        <w:ind w:left="1760" w:right="459" w:hanging="10"/>
        <w:spacing w:after="0" w:line="253" w:lineRule="auto"/>
        <w:tabs>
          <w:tab w:leader="none" w:pos="210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1" w:lineRule="exact"/>
        <w:rPr>
          <w:rFonts w:ascii="Times New Roman" w:cs="Times New Roman" w:eastAsia="Times New Roman" w:hAnsi="Times New Roman"/>
          <w:sz w:val="18"/>
          <w:szCs w:val="18"/>
          <w:color w:val="auto"/>
        </w:rPr>
      </w:pPr>
    </w:p>
    <w:p>
      <w:pPr>
        <w:jc w:val="both"/>
        <w:ind w:left="1760" w:right="459" w:firstLine="422"/>
        <w:spacing w:after="0" w:line="253" w:lineRule="auto"/>
        <w:tabs>
          <w:tab w:leader="none" w:pos="2988"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6" w:lineRule="exact"/>
        <w:rPr>
          <w:rFonts w:ascii="Times New Roman" w:cs="Times New Roman" w:eastAsia="Times New Roman" w:hAnsi="Times New Roman"/>
          <w:sz w:val="18"/>
          <w:szCs w:val="18"/>
          <w:color w:val="auto"/>
        </w:rPr>
      </w:pPr>
    </w:p>
    <w:p>
      <w:pPr>
        <w:jc w:val="both"/>
        <w:ind w:left="1760" w:right="459" w:firstLine="422"/>
        <w:spacing w:after="0" w:line="254" w:lineRule="auto"/>
        <w:tabs>
          <w:tab w:leader="none" w:pos="2895"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26" w:lineRule="exact"/>
        <w:rPr>
          <w:sz w:val="20"/>
          <w:szCs w:val="20"/>
          <w:color w:val="auto"/>
        </w:rPr>
      </w:pPr>
    </w:p>
    <w:p>
      <w:pPr>
        <w:jc w:val="both"/>
        <w:ind w:left="460" w:right="459" w:firstLine="426"/>
        <w:spacing w:after="0" w:line="247" w:lineRule="auto"/>
        <w:tabs>
          <w:tab w:leader="none" w:pos="12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8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2" w:name="page493"/>
    <w:bookmarkEnd w:id="49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8" w:lineRule="auto"/>
        <w:rPr>
          <w:sz w:val="20"/>
          <w:szCs w:val="20"/>
          <w:color w:val="auto"/>
        </w:rPr>
      </w:pPr>
      <w:r>
        <w:rPr>
          <w:rFonts w:ascii="Times New Roman" w:cs="Times New Roman" w:eastAsia="Times New Roman" w:hAnsi="Times New Roman"/>
          <w:sz w:val="18"/>
          <w:szCs w:val="18"/>
          <w:color w:val="auto"/>
        </w:rPr>
        <w:t>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51" w:lineRule="exact"/>
        <w:rPr>
          <w:sz w:val="20"/>
          <w:szCs w:val="20"/>
          <w:color w:val="auto"/>
        </w:rPr>
      </w:pPr>
    </w:p>
    <w:p>
      <w:pPr>
        <w:ind w:left="1280" w:hanging="394"/>
        <w:spacing w:after="0"/>
        <w:tabs>
          <w:tab w:leader="none" w:pos="12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39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2021,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37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93"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2"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98"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298"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3" w:name="page494"/>
    <w:bookmarkEnd w:id="49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413"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Notice of Meetings; Adjournments.</w:t>
      </w:r>
    </w:p>
    <w:p>
      <w:pPr>
        <w:spacing w:after="0" w:line="158" w:lineRule="exact"/>
        <w:rPr>
          <w:sz w:val="20"/>
          <w:szCs w:val="20"/>
          <w:color w:val="auto"/>
        </w:rPr>
      </w:pPr>
    </w:p>
    <w:p>
      <w:pPr>
        <w:jc w:val="both"/>
        <w:ind w:left="460" w:right="459" w:firstLine="426"/>
        <w:spacing w:after="0" w:line="254" w:lineRule="auto"/>
        <w:tabs>
          <w:tab w:leader="none" w:pos="136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378"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4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13"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4" w:name="page495"/>
    <w:bookmarkEnd w:id="49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2" w:lineRule="auto"/>
        <w:tabs>
          <w:tab w:leader="none" w:pos="1368"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5" w:name="page496"/>
    <w:bookmarkEnd w:id="49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Powers.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w:t>
        <w:tab/>
        <w:t>Qualification.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4. Vacancies.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Removal.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6" w:name="page497"/>
    <w:bookmarkEnd w:id="49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7" w:name="page498"/>
    <w:bookmarkEnd w:id="49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3. Qualification. No officer need be a stockholder or a director. Any person may occupy more than one office of the Corporation at any time.</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7. Absence or Disability.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8. Vacancies. Any vacancy in any office may be filled for the unexpired portion of the term by the Board of Directors.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9. President. The President shall, subject to the direction of the Board of Directors,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10. Chairman of the Board.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11. Chief Executive Officer. The Chief Executive Officer,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8" w:name="page499"/>
    <w:bookmarkEnd w:id="49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9" w:name="page500"/>
    <w:bookmarkEnd w:id="49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6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w:t>
        <w:tab/>
        <w:t>Definitions. For purposes of this Article:</w:t>
      </w:r>
    </w:p>
    <w:p>
      <w:pPr>
        <w:spacing w:after="0" w:line="144" w:lineRule="exact"/>
        <w:rPr>
          <w:sz w:val="20"/>
          <w:szCs w:val="20"/>
          <w:color w:val="auto"/>
        </w:rPr>
      </w:pPr>
    </w:p>
    <w:p>
      <w:pPr>
        <w:jc w:val="both"/>
        <w:ind w:left="460" w:right="459" w:firstLine="426"/>
        <w:spacing w:after="0" w:line="261" w:lineRule="auto"/>
        <w:tabs>
          <w:tab w:leader="none" w:pos="1344"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Non-Officer Employee of the Corporation, or</w:t>
      </w:r>
    </w:p>
    <w:p>
      <w:pPr>
        <w:jc w:val="both"/>
        <w:ind w:left="460" w:right="459" w:hanging="6"/>
        <w:spacing w:after="0" w:line="251" w:lineRule="auto"/>
        <w:tabs>
          <w:tab w:leader="none" w:pos="797"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82"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75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6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2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519"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9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80"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45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95"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0" w:name="page501"/>
    <w:bookmarkEnd w:id="50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327"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1"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Indemnification of Directors and Officers.</w:t>
      </w:r>
    </w:p>
    <w:p>
      <w:pPr>
        <w:spacing w:after="0" w:line="158" w:lineRule="exact"/>
        <w:rPr>
          <w:sz w:val="20"/>
          <w:szCs w:val="20"/>
          <w:color w:val="auto"/>
        </w:rPr>
      </w:pPr>
    </w:p>
    <w:p>
      <w:pPr>
        <w:jc w:val="both"/>
        <w:ind w:left="460" w:right="479" w:firstLine="426"/>
        <w:spacing w:after="0" w:line="258" w:lineRule="auto"/>
        <w:tabs>
          <w:tab w:leader="none" w:pos="136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880" w:right="459" w:firstLine="438"/>
        <w:spacing w:after="0" w:line="254" w:lineRule="auto"/>
        <w:tabs>
          <w:tab w:leader="none" w:pos="183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79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79" w:firstLine="438"/>
        <w:spacing w:after="0" w:line="266" w:lineRule="auto"/>
        <w:tabs>
          <w:tab w:leader="none" w:pos="1729"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86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Indemnification of Non-Officer Employees.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1" w:name="page502"/>
    <w:bookmarkEnd w:id="50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4. Determination.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27"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Advancement of Expenses to Directors Prior to Final Disposition.</w:t>
      </w:r>
    </w:p>
    <w:p>
      <w:pPr>
        <w:spacing w:after="0" w:line="144" w:lineRule="exact"/>
        <w:rPr>
          <w:sz w:val="20"/>
          <w:szCs w:val="20"/>
          <w:color w:val="auto"/>
        </w:rPr>
      </w:pPr>
    </w:p>
    <w:p>
      <w:pPr>
        <w:jc w:val="both"/>
        <w:ind w:left="460" w:right="459" w:firstLine="426"/>
        <w:spacing w:after="0" w:line="252" w:lineRule="auto"/>
        <w:tabs>
          <w:tab w:leader="none" w:pos="134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51"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6"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6. Advancement of Expenses to Officers and Non-Officer Employees Prior to Final Disposition.</w:t>
      </w:r>
    </w:p>
    <w:p>
      <w:pPr>
        <w:spacing w:after="0" w:line="94" w:lineRule="exact"/>
        <w:rPr>
          <w:sz w:val="20"/>
          <w:szCs w:val="20"/>
          <w:color w:val="auto"/>
        </w:rPr>
      </w:pPr>
    </w:p>
    <w:p>
      <w:pPr>
        <w:jc w:val="both"/>
        <w:ind w:left="460" w:right="459" w:firstLine="426"/>
        <w:spacing w:after="0" w:line="254" w:lineRule="auto"/>
        <w:tabs>
          <w:tab w:leader="none" w:pos="1435"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8"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2" w:name="page503"/>
    <w:bookmarkEnd w:id="50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w:t>
        <w:tab/>
        <w:t>Contractual Nature of Rights.</w:t>
      </w:r>
    </w:p>
    <w:p>
      <w:pPr>
        <w:spacing w:after="0" w:line="158" w:lineRule="exact"/>
        <w:rPr>
          <w:sz w:val="20"/>
          <w:szCs w:val="20"/>
          <w:color w:val="auto"/>
        </w:rPr>
      </w:pPr>
    </w:p>
    <w:p>
      <w:pPr>
        <w:jc w:val="both"/>
        <w:ind w:left="460" w:right="459" w:firstLine="426"/>
        <w:spacing w:after="0" w:line="252" w:lineRule="auto"/>
        <w:tabs>
          <w:tab w:leader="none" w:pos="13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2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42"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5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Non-Exclusivity of Rights.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3" w:name="page504"/>
    <w:bookmarkEnd w:id="50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Fiscal Year. The fiscal year of the Corporation shall be determined by the Board of Directors.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2. Seal. The Board of Directors shall have power to adopt and alter the seal of the Corporation.</w:t>
      </w:r>
    </w:p>
    <w:p>
      <w:pPr>
        <w:spacing w:after="0" w:line="3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Resident Agent.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color w:val="auto"/>
        </w:rPr>
        <w:t>Amendment of By-laws.</w:t>
      </w:r>
    </w:p>
    <w:p>
      <w:pPr>
        <w:spacing w:after="0" w:line="144" w:lineRule="exact"/>
        <w:rPr>
          <w:sz w:val="20"/>
          <w:szCs w:val="20"/>
          <w:color w:val="auto"/>
        </w:rPr>
      </w:pPr>
    </w:p>
    <w:p>
      <w:pPr>
        <w:jc w:val="both"/>
        <w:ind w:left="460" w:right="459" w:firstLine="426"/>
        <w:spacing w:after="0" w:line="266" w:lineRule="auto"/>
        <w:tabs>
          <w:tab w:leader="none" w:pos="133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6" w:lineRule="auto"/>
        <w:tabs>
          <w:tab w:leader="none" w:pos="1322"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4" w:name="page505"/>
    <w:bookmarkEnd w:id="50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5" w:name="page506"/>
    <w:bookmarkEnd w:id="50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2021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2021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 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7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6" w:name="page507"/>
    <w:bookmarkEnd w:id="50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market quotations. If there are no market quotations for such date, the determination shall be made by reference to the last date preceding such date for which there are market quotations.</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7" w:name="page508"/>
    <w:bookmarkEnd w:id="50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40" w:right="479" w:hanging="1187"/>
        <w:spacing w:after="0" w:line="282" w:lineRule="auto"/>
        <w:tabs>
          <w:tab w:leader="none" w:pos="16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94" w:lineRule="exact"/>
        <w:rPr>
          <w:sz w:val="20"/>
          <w:szCs w:val="20"/>
          <w:color w:val="auto"/>
        </w:rPr>
      </w:pPr>
    </w:p>
    <w:p>
      <w:pPr>
        <w:ind w:left="1260" w:hanging="374"/>
        <w:spacing w:after="0"/>
        <w:tabs>
          <w:tab w:leader="none" w:pos="126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63"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802"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21"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8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56"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4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29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8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319"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8" w:name="page509"/>
    <w:bookmarkEnd w:id="50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58" w:lineRule="exact"/>
        <w:rPr>
          <w:sz w:val="20"/>
          <w:szCs w:val="20"/>
          <w:color w:val="auto"/>
        </w:rPr>
      </w:pPr>
    </w:p>
    <w:p>
      <w:pPr>
        <w:jc w:val="both"/>
        <w:ind w:left="460" w:right="459" w:firstLine="426"/>
        <w:spacing w:after="0" w:line="252" w:lineRule="auto"/>
        <w:tabs>
          <w:tab w:leader="none" w:pos="1298"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525"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5"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 outstanding Awards under the Plan,</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9" w:name="page510"/>
    <w:bookmarkEnd w:id="50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271"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63"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2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OPTIONS</w:t>
      </w:r>
    </w:p>
    <w:p>
      <w:pPr>
        <w:spacing w:after="0" w:line="158" w:lineRule="exact"/>
        <w:rPr>
          <w:sz w:val="20"/>
          <w:szCs w:val="20"/>
          <w:color w:val="auto"/>
        </w:rPr>
      </w:pPr>
    </w:p>
    <w:p>
      <w:pPr>
        <w:ind w:left="460" w:right="479" w:firstLine="426"/>
        <w:spacing w:after="0" w:line="282" w:lineRule="auto"/>
        <w:tabs>
          <w:tab w:leader="none" w:pos="1339"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79" w:firstLine="426"/>
        <w:spacing w:after="0" w:line="261" w:lineRule="auto"/>
        <w:tabs>
          <w:tab w:leader="none" w:pos="1403"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0" w:name="page511"/>
    <w:bookmarkEnd w:id="51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59" w:firstLine="426"/>
        <w:spacing w:after="0" w:line="261"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7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79"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76"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96"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8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79" w:firstLine="426"/>
        <w:spacing w:after="0" w:line="256" w:lineRule="auto"/>
        <w:tabs>
          <w:tab w:leader="none" w:pos="1387"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1" w:name="page512"/>
    <w:bookmarkEnd w:id="51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58" w:lineRule="exact"/>
        <w:rPr>
          <w:sz w:val="20"/>
          <w:szCs w:val="20"/>
          <w:color w:val="auto"/>
        </w:rPr>
      </w:pPr>
    </w:p>
    <w:p>
      <w:pPr>
        <w:jc w:val="both"/>
        <w:ind w:left="460" w:right="459" w:firstLine="426"/>
        <w:spacing w:after="0" w:line="256" w:lineRule="auto"/>
        <w:tabs>
          <w:tab w:leader="none" w:pos="1285"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95"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85"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2"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44" w:lineRule="exact"/>
        <w:rPr>
          <w:sz w:val="20"/>
          <w:szCs w:val="20"/>
          <w:color w:val="auto"/>
        </w:rPr>
      </w:pPr>
    </w:p>
    <w:p>
      <w:pPr>
        <w:jc w:val="both"/>
        <w:ind w:left="460" w:right="459" w:firstLine="426"/>
        <w:spacing w:after="0" w:line="261" w:lineRule="auto"/>
        <w:tabs>
          <w:tab w:leader="none" w:pos="1271"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430" w:val="left"/>
        </w:tabs>
        <w:numPr>
          <w:ilvl w:val="1"/>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Times New Roman" w:cs="Times New Roman" w:eastAsia="Times New Roman" w:hAnsi="Times New Roman"/>
          <w:sz w:val="17"/>
          <w:szCs w:val="17"/>
          <w:color w:val="auto"/>
        </w:rPr>
      </w:pPr>
    </w:p>
    <w:p>
      <w:pPr>
        <w:jc w:val="both"/>
        <w:ind w:left="460" w:right="459" w:hanging="6"/>
        <w:spacing w:after="0" w:line="252" w:lineRule="auto"/>
        <w:tabs>
          <w:tab w:leader="none" w:pos="691"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22"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2" w:name="page513"/>
    <w:bookmarkEnd w:id="51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58" w:lineRule="exact"/>
        <w:rPr>
          <w:sz w:val="20"/>
          <w:szCs w:val="20"/>
          <w:color w:val="auto"/>
        </w:rPr>
      </w:pPr>
    </w:p>
    <w:p>
      <w:pPr>
        <w:jc w:val="both"/>
        <w:ind w:left="460" w:right="459" w:firstLine="426"/>
        <w:spacing w:after="0" w:line="253" w:lineRule="auto"/>
        <w:tabs>
          <w:tab w:leader="none" w:pos="1352"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09"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29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58" w:lineRule="exact"/>
        <w:rPr>
          <w:sz w:val="20"/>
          <w:szCs w:val="20"/>
          <w:color w:val="auto"/>
        </w:rPr>
      </w:pPr>
    </w:p>
    <w:p>
      <w:pPr>
        <w:jc w:val="both"/>
        <w:ind w:left="460" w:right="459" w:firstLine="426"/>
        <w:spacing w:after="0" w:line="258" w:lineRule="auto"/>
        <w:tabs>
          <w:tab w:leader="none" w:pos="1352"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3" w:name="page514"/>
    <w:bookmarkEnd w:id="51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43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339"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1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6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7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28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4" w:name="page515"/>
    <w:bookmarkEnd w:id="51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322"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325"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95"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44"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62"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5" w:name="page516"/>
    <w:bookmarkEnd w:id="51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44" w:lineRule="exact"/>
        <w:rPr>
          <w:sz w:val="20"/>
          <w:szCs w:val="20"/>
          <w:color w:val="auto"/>
        </w:rPr>
      </w:pPr>
    </w:p>
    <w:p>
      <w:pPr>
        <w:jc w:val="both"/>
        <w:ind w:left="460" w:right="479" w:firstLine="426"/>
        <w:spacing w:after="0" w:line="266" w:lineRule="auto"/>
        <w:tabs>
          <w:tab w:leader="none" w:pos="1298"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33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3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71"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0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6" w:name="page517"/>
    <w:bookmarkEnd w:id="51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7" w:name="page518"/>
    <w:bookmarkEnd w:id="51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22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20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8" w:name="page519"/>
    <w:bookmarkEnd w:id="51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200" w:hanging="314"/>
        <w:spacing w:after="0"/>
        <w:tabs>
          <w:tab w:leader="none" w:pos="120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1"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147"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9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172"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57"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08"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35"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49"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117"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06"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91"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42"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0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229"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8"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88"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91"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9" w:name="page520"/>
    <w:bookmarkEnd w:id="51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8" w:lineRule="auto"/>
        <w:tabs>
          <w:tab w:leader="none" w:pos="1678"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93"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4"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39"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27"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71"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0" w:name="page521"/>
    <w:bookmarkEnd w:id="52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08" w:lineRule="exact"/>
        <w:rPr>
          <w:sz w:val="20"/>
          <w:szCs w:val="20"/>
          <w:color w:val="auto"/>
        </w:rPr>
      </w:pPr>
    </w:p>
    <w:p>
      <w:pPr>
        <w:jc w:val="both"/>
        <w:ind w:left="460" w:right="459" w:firstLine="858"/>
        <w:spacing w:after="0" w:line="252" w:lineRule="auto"/>
        <w:tabs>
          <w:tab w:leader="none" w:pos="1693"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8"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9"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2"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21"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7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1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2"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88"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1" w:name="page522"/>
    <w:bookmarkEnd w:id="52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acknowledgements, representations and agreements herein on behalf of each owner of each such account, and</w:t>
      </w:r>
    </w:p>
    <w:p>
      <w:pPr>
        <w:spacing w:after="0" w:line="27" w:lineRule="exact"/>
        <w:rPr>
          <w:sz w:val="20"/>
          <w:szCs w:val="20"/>
          <w:color w:val="auto"/>
        </w:rPr>
      </w:pPr>
    </w:p>
    <w:p>
      <w:pPr>
        <w:jc w:val="both"/>
        <w:ind w:left="460" w:right="459" w:hanging="6"/>
        <w:spacing w:after="0" w:line="255" w:lineRule="auto"/>
        <w:tabs>
          <w:tab w:leader="none" w:pos="767"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1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96"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38"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86"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99"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06"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65"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2" w:name="page523"/>
    <w:bookmarkEnd w:id="52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683"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8"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2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9"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81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13"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42"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01"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7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3" w:name="page524"/>
    <w:bookmarkEnd w:id="523"/>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675"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1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725"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4" w:name="page525"/>
    <w:bookmarkEnd w:id="524"/>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92"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4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5" w:name="page526"/>
    <w:bookmarkEnd w:id="525"/>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3"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2"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10" w:lineRule="exact"/>
        <w:rPr>
          <w:sz w:val="20"/>
          <w:szCs w:val="20"/>
          <w:color w:val="auto"/>
        </w:rPr>
      </w:pPr>
    </w:p>
    <w:p>
      <w:pPr>
        <w:jc w:val="both"/>
        <w:ind w:left="460" w:right="459" w:firstLine="858"/>
        <w:spacing w:after="0" w:line="253" w:lineRule="auto"/>
        <w:tabs>
          <w:tab w:leader="none" w:pos="166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6" w:name="page527"/>
    <w:bookmarkEnd w:id="526"/>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08" w:lineRule="exact"/>
        <w:rPr>
          <w:sz w:val="20"/>
          <w:szCs w:val="20"/>
          <w:color w:val="auto"/>
        </w:rPr>
      </w:pPr>
    </w:p>
    <w:p>
      <w:pPr>
        <w:jc w:val="both"/>
        <w:ind w:left="460" w:right="459" w:firstLine="858"/>
        <w:spacing w:after="0" w:line="252" w:lineRule="auto"/>
        <w:tabs>
          <w:tab w:leader="none" w:pos="1733"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676"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1"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11"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78"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7" w:name="page528"/>
    <w:bookmarkEnd w:id="527"/>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78"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9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31"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49"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489"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OF THIS SUBSCRIPTION AGREEMENT OR IN SUCH OTHER MANNER AS MAY BE PERMITTED BY LAW SHALL BE VALID AND SUFFICIENT SERVICE THEREOF.</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8" w:name="page529"/>
    <w:bookmarkEnd w:id="528"/>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858"/>
        <w:spacing w:after="0" w:line="252" w:lineRule="auto"/>
        <w:tabs>
          <w:tab w:leader="none" w:pos="1830" w:val="left"/>
        </w:tabs>
        <w:numPr>
          <w:ilvl w:val="2"/>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All communications sent to FSD shall be sent to: FS Development Corp., 600 Montgomery Street, Suite 4500, San Francisco, California 94111, Attn: Jim Tananbaum, email: jim@foresitecapital.com, with a copy to: White</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649"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LLP, 1221 Avenue of the Americas, New York, New York 10020, Attn: Joel L. Rubinstein, Esq., email: joel.rubinstein@whitecase.com.</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371"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472"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9" w:name="page530"/>
    <w:bookmarkEnd w:id="529"/>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pacing w:after="0" w:line="132" w:lineRule="exact"/>
        <w:rPr>
          <w:sz w:val="20"/>
          <w:szCs w:val="20"/>
          <w:color w:val="auto"/>
        </w:rPr>
      </w:pPr>
    </w:p>
    <w:p>
      <w:pPr>
        <w:ind w:left="460"/>
        <w:spacing w:after="0"/>
        <w:tabs>
          <w:tab w:leader="none" w:pos="5200" w:val="left"/>
        </w:tabs>
        <w:rPr>
          <w:sz w:val="20"/>
          <w:szCs w:val="20"/>
          <w:color w:val="auto"/>
        </w:rPr>
      </w:pPr>
      <w:r>
        <w:rPr>
          <w:rFonts w:ascii="Times New Roman" w:cs="Times New Roman" w:eastAsia="Times New Roman" w:hAnsi="Times New Roman"/>
          <w:sz w:val="18"/>
          <w:szCs w:val="18"/>
          <w:color w:val="auto"/>
        </w:rPr>
        <w:t>Name of Investor:</w:t>
      </w:r>
      <w:r>
        <w:rPr>
          <w:sz w:val="20"/>
          <w:szCs w:val="20"/>
          <w:color w:val="auto"/>
        </w:rPr>
        <w:tab/>
      </w:r>
      <w:r>
        <w:rPr>
          <w:rFonts w:ascii="Times New Roman" w:cs="Times New Roman" w:eastAsia="Times New Roman" w:hAnsi="Times New Roman"/>
          <w:sz w:val="17"/>
          <w:szCs w:val="17"/>
          <w:color w:val="auto"/>
        </w:rPr>
        <w:t>State/Country of Formation or Domicile:</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Date: ________, 2020</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Attn:</w:t>
            </w:r>
          </w:p>
        </w:tc>
      </w:tr>
      <w:tr>
        <w:trPr>
          <w:trHeight w:val="41"/>
        </w:trPr>
        <w:tc>
          <w:tcPr>
            <w:tcW w:w="80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47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 No.:</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Facsimile No.:</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Subscription Amount:$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Price Per Share: $10</w:t>
            </w:r>
          </w:p>
        </w:tc>
      </w:tr>
    </w:tbl>
    <w:p>
      <w:pPr>
        <w:spacing w:after="0" w:line="19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0" w:name="page531"/>
    <w:bookmarkEnd w:id="530"/>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43180</wp:posOffset>
            </wp:positionV>
            <wp:extent cx="18084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360"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1" w:name="page532"/>
    <w:bookmarkEnd w:id="531"/>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148" w:lineRule="exact"/>
        <w:rPr>
          <w:sz w:val="20"/>
          <w:szCs w:val="20"/>
          <w:color w:val="auto"/>
        </w:rPr>
      </w:pPr>
    </w:p>
    <w:p>
      <w:pPr>
        <w:ind w:left="880" w:right="4439" w:hanging="426"/>
        <w:spacing w:after="0" w:line="312" w:lineRule="auto"/>
        <w:tabs>
          <w:tab w:leader="none" w:pos="848" w:val="left"/>
        </w:tabs>
        <w:numPr>
          <w:ilvl w:val="0"/>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020" w:hanging="134"/>
        <w:spacing w:after="0"/>
        <w:tabs>
          <w:tab w:leader="none" w:pos="1020" w:val="left"/>
        </w:tabs>
        <w:numPr>
          <w:ilvl w:val="1"/>
          <w:numId w:val="516"/>
        </w:numPr>
        <w:rPr>
          <w:rFonts w:ascii="Arial" w:cs="Arial" w:eastAsia="Arial" w:hAnsi="Arial"/>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1" w:lineRule="exact"/>
        <w:rPr>
          <w:sz w:val="20"/>
          <w:szCs w:val="20"/>
          <w:color w:val="auto"/>
        </w:rPr>
      </w:pPr>
    </w:p>
    <w:p>
      <w:pPr>
        <w:jc w:val="both"/>
        <w:ind w:left="1320" w:right="459" w:hanging="434"/>
        <w:spacing w:after="0" w:line="262" w:lineRule="auto"/>
        <w:tabs>
          <w:tab w:leader="none" w:pos="1275" w:val="left"/>
        </w:tabs>
        <w:numPr>
          <w:ilvl w:val="0"/>
          <w:numId w:val="517"/>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6"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17"/>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not a natural person.</w:t>
      </w:r>
    </w:p>
    <w:p>
      <w:pPr>
        <w:spacing w:after="0" w:line="161"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2" w:lineRule="exact"/>
        <w:rPr>
          <w:sz w:val="20"/>
          <w:szCs w:val="20"/>
          <w:color w:val="auto"/>
        </w:rPr>
      </w:pPr>
    </w:p>
    <w:p>
      <w:pPr>
        <w:ind w:left="1320" w:right="479" w:hanging="2"/>
        <w:spacing w:after="0" w:line="281" w:lineRule="auto"/>
        <w:tabs>
          <w:tab w:leader="none" w:pos="1505" w:val="left"/>
        </w:tabs>
        <w:numPr>
          <w:ilvl w:val="1"/>
          <w:numId w:val="518"/>
        </w:numPr>
        <w:rPr>
          <w:rFonts w:ascii="Arial" w:cs="Arial" w:eastAsia="Arial" w:hAnsi="Arial"/>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Arial" w:cs="Arial" w:eastAsia="Arial" w:hAnsi="Arial"/>
          <w:sz w:val="18"/>
          <w:szCs w:val="18"/>
          <w:color w:val="auto"/>
        </w:rPr>
      </w:pPr>
    </w:p>
    <w:p>
      <w:pPr>
        <w:jc w:val="both"/>
        <w:ind w:left="1320" w:right="459" w:hanging="2"/>
        <w:spacing w:after="0" w:line="265" w:lineRule="auto"/>
        <w:tabs>
          <w:tab w:leader="none" w:pos="1494" w:val="left"/>
        </w:tabs>
        <w:numPr>
          <w:ilvl w:val="1"/>
          <w:numId w:val="518"/>
        </w:numPr>
        <w:rPr>
          <w:rFonts w:ascii="Arial" w:cs="Arial" w:eastAsia="Arial" w:hAnsi="Arial"/>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09" w:lineRule="exact"/>
        <w:rPr>
          <w:rFonts w:ascii="Arial" w:cs="Arial" w:eastAsia="Arial" w:hAnsi="Arial"/>
          <w:sz w:val="18"/>
          <w:szCs w:val="18"/>
          <w:color w:val="auto"/>
        </w:rPr>
      </w:pPr>
    </w:p>
    <w:p>
      <w:pPr>
        <w:jc w:val="both"/>
        <w:ind w:left="1320" w:right="459" w:hanging="2"/>
        <w:spacing w:after="0" w:line="265" w:lineRule="auto"/>
        <w:tabs>
          <w:tab w:leader="none" w:pos="1459" w:val="left"/>
        </w:tabs>
        <w:numPr>
          <w:ilvl w:val="1"/>
          <w:numId w:val="518"/>
        </w:numPr>
        <w:rPr>
          <w:rFonts w:ascii="Arial" w:cs="Arial" w:eastAsia="Arial" w:hAnsi="Arial"/>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6" w:lineRule="exact"/>
        <w:rPr>
          <w:rFonts w:ascii="Arial" w:cs="Arial" w:eastAsia="Arial" w:hAnsi="Arial"/>
          <w:sz w:val="18"/>
          <w:szCs w:val="18"/>
          <w:color w:val="auto"/>
        </w:rPr>
      </w:pPr>
    </w:p>
    <w:p>
      <w:pPr>
        <w:jc w:val="both"/>
        <w:ind w:left="1320" w:right="479" w:hanging="2"/>
        <w:spacing w:after="0" w:line="265" w:lineRule="auto"/>
        <w:tabs>
          <w:tab w:leader="none" w:pos="1496" w:val="left"/>
        </w:tabs>
        <w:numPr>
          <w:ilvl w:val="1"/>
          <w:numId w:val="518"/>
        </w:numPr>
        <w:rPr>
          <w:rFonts w:ascii="Arial" w:cs="Arial" w:eastAsia="Arial" w:hAnsi="Arial"/>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9" w:lineRule="exact"/>
        <w:rPr>
          <w:rFonts w:ascii="Arial" w:cs="Arial" w:eastAsia="Arial" w:hAnsi="Arial"/>
          <w:sz w:val="18"/>
          <w:szCs w:val="18"/>
          <w:color w:val="auto"/>
        </w:rPr>
      </w:pPr>
    </w:p>
    <w:p>
      <w:pPr>
        <w:ind w:left="1320" w:right="479" w:hanging="2"/>
        <w:spacing w:after="0" w:line="281" w:lineRule="auto"/>
        <w:tabs>
          <w:tab w:leader="none" w:pos="1461" w:val="left"/>
        </w:tabs>
        <w:numPr>
          <w:ilvl w:val="1"/>
          <w:numId w:val="518"/>
        </w:numPr>
        <w:rPr>
          <w:rFonts w:ascii="Arial" w:cs="Arial" w:eastAsia="Arial" w:hAnsi="Arial"/>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94" w:lineRule="exact"/>
        <w:rPr>
          <w:rFonts w:ascii="Arial" w:cs="Arial" w:eastAsia="Arial" w:hAnsi="Arial"/>
          <w:sz w:val="18"/>
          <w:szCs w:val="18"/>
          <w:color w:val="auto"/>
        </w:rPr>
      </w:pPr>
    </w:p>
    <w:p>
      <w:pPr>
        <w:ind w:left="1320" w:right="479" w:hanging="2"/>
        <w:spacing w:after="0" w:line="281" w:lineRule="auto"/>
        <w:tabs>
          <w:tab w:leader="none" w:pos="1465" w:val="left"/>
        </w:tabs>
        <w:numPr>
          <w:ilvl w:val="1"/>
          <w:numId w:val="518"/>
        </w:numPr>
        <w:rPr>
          <w:rFonts w:ascii="Arial" w:cs="Arial" w:eastAsia="Arial" w:hAnsi="Arial"/>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81" w:lineRule="exact"/>
        <w:rPr>
          <w:rFonts w:ascii="Arial" w:cs="Arial" w:eastAsia="Arial" w:hAnsi="Arial"/>
          <w:sz w:val="18"/>
          <w:szCs w:val="18"/>
          <w:color w:val="auto"/>
        </w:rPr>
      </w:pPr>
    </w:p>
    <w:p>
      <w:pPr>
        <w:ind w:left="840" w:hanging="386"/>
        <w:spacing w:after="0"/>
        <w:tabs>
          <w:tab w:leader="none" w:pos="8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460" w:hanging="142"/>
        <w:spacing w:after="0"/>
        <w:tabs>
          <w:tab w:leader="none" w:pos="1460" w:val="left"/>
        </w:tabs>
        <w:numPr>
          <w:ilvl w:val="1"/>
          <w:numId w:val="518"/>
        </w:numPr>
        <w:rPr>
          <w:rFonts w:ascii="Arial" w:cs="Arial" w:eastAsia="Arial" w:hAnsi="Arial"/>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53" w:lineRule="exact"/>
        <w:rPr>
          <w:sz w:val="20"/>
          <w:szCs w:val="20"/>
          <w:color w:val="auto"/>
        </w:rPr>
      </w:pPr>
    </w:p>
    <w:p>
      <w:pPr>
        <w:jc w:val="both"/>
        <w:ind w:left="1320" w:right="459" w:hanging="434"/>
        <w:spacing w:after="0" w:line="262" w:lineRule="auto"/>
        <w:tabs>
          <w:tab w:leader="none" w:pos="1315" w:val="left"/>
        </w:tabs>
        <w:numPr>
          <w:ilvl w:val="0"/>
          <w:numId w:val="51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93"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1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 natural person.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2" w:name="page533"/>
    <w:bookmarkEnd w:id="532"/>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1320" w:right="479" w:hanging="2"/>
        <w:spacing w:after="0" w:line="281" w:lineRule="auto"/>
        <w:tabs>
          <w:tab w:leader="none" w:pos="1469" w:val="left"/>
        </w:tabs>
        <w:numPr>
          <w:ilvl w:val="0"/>
          <w:numId w:val="520"/>
        </w:numPr>
        <w:rPr>
          <w:rFonts w:ascii="Arial" w:cs="Arial" w:eastAsia="Arial" w:hAnsi="Arial"/>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Arial" w:cs="Arial" w:eastAsia="Arial" w:hAnsi="Arial"/>
          <w:sz w:val="18"/>
          <w:szCs w:val="18"/>
          <w:color w:val="auto"/>
        </w:rPr>
      </w:pPr>
    </w:p>
    <w:p>
      <w:pPr>
        <w:jc w:val="both"/>
        <w:ind w:left="1320" w:right="459" w:hanging="2"/>
        <w:spacing w:after="0" w:line="260" w:lineRule="auto"/>
        <w:tabs>
          <w:tab w:leader="none" w:pos="1456" w:val="left"/>
        </w:tabs>
        <w:numPr>
          <w:ilvl w:val="0"/>
          <w:numId w:val="520"/>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w:t>
      </w:r>
    </w:p>
    <w:p>
      <w:pPr>
        <w:spacing w:after="0" w:line="1" w:lineRule="exact"/>
        <w:rPr>
          <w:rFonts w:ascii="Arial" w:cs="Arial" w:eastAsia="Arial" w:hAnsi="Arial"/>
          <w:sz w:val="18"/>
          <w:szCs w:val="18"/>
          <w:color w:val="auto"/>
        </w:rPr>
      </w:pPr>
    </w:p>
    <w:p>
      <w:pPr>
        <w:jc w:val="both"/>
        <w:ind w:left="1320" w:right="459"/>
        <w:spacing w:after="0" w:line="250" w:lineRule="auto"/>
        <w:rPr>
          <w:rFonts w:ascii="Arial" w:cs="Arial" w:eastAsia="Arial" w:hAnsi="Arial"/>
          <w:sz w:val="18"/>
          <w:szCs w:val="18"/>
          <w:color w:val="auto"/>
        </w:rPr>
      </w:pPr>
      <w:r>
        <w:rPr>
          <w:rFonts w:ascii="Times New Roman" w:cs="Times New Roman" w:eastAsia="Times New Roman" w:hAnsi="Times New Roman"/>
          <w:sz w:val="18"/>
          <w:szCs w:val="18"/>
          <w:color w:val="auto"/>
        </w:rPr>
        <w:t>(a)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1" w:lineRule="exact"/>
        <w:rPr>
          <w:rFonts w:ascii="Arial" w:cs="Arial" w:eastAsia="Arial" w:hAnsi="Arial"/>
          <w:sz w:val="18"/>
          <w:szCs w:val="18"/>
          <w:color w:val="auto"/>
        </w:rPr>
      </w:pPr>
    </w:p>
    <w:p>
      <w:pPr>
        <w:ind w:left="1320" w:right="459"/>
        <w:spacing w:after="0" w:line="260" w:lineRule="auto"/>
        <w:rPr>
          <w:rFonts w:ascii="Arial" w:cs="Arial" w:eastAsia="Arial" w:hAnsi="Arial"/>
          <w:sz w:val="18"/>
          <w:szCs w:val="18"/>
          <w:color w:val="auto"/>
        </w:rPr>
      </w:pPr>
      <w:r>
        <w:rPr>
          <w:rFonts w:ascii="Times New Roman" w:cs="Times New Roman" w:eastAsia="Times New Roman" w:hAnsi="Times New Roman"/>
          <w:sz w:val="18"/>
          <w:szCs w:val="18"/>
          <w:color w:val="auto"/>
        </w:rPr>
        <w:t>(c) indebtedness that is secured by the person’s primary residence in excess of the estimated fair market value of the residence must be included as a liability; or</w:t>
      </w:r>
    </w:p>
    <w:p>
      <w:pPr>
        <w:spacing w:after="0" w:line="100" w:lineRule="exact"/>
        <w:rPr>
          <w:rFonts w:ascii="Arial" w:cs="Arial" w:eastAsia="Arial" w:hAnsi="Arial"/>
          <w:sz w:val="18"/>
          <w:szCs w:val="18"/>
          <w:color w:val="auto"/>
        </w:rPr>
      </w:pPr>
    </w:p>
    <w:p>
      <w:pPr>
        <w:jc w:val="both"/>
        <w:ind w:left="1320" w:right="459" w:hanging="2"/>
        <w:spacing w:after="0" w:line="265" w:lineRule="auto"/>
        <w:tabs>
          <w:tab w:leader="none" w:pos="1463" w:val="left"/>
        </w:tabs>
        <w:numPr>
          <w:ilvl w:val="0"/>
          <w:numId w:val="520"/>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1F28CD"/>
    <w:multiLevelType w:val="hybridMultilevel"/>
    <w:lvl w:ilvl="0">
      <w:lvlJc w:val="left"/>
      <w:lvlText w:val="(%1)"/>
      <w:numFmt w:val="decimal"/>
      <w:start w:val="1"/>
    </w:lvl>
    <w:lvl w:ilvl="1">
      <w:lvlJc w:val="left"/>
      <w:lvlText w:val="(%2)"/>
      <w:numFmt w:val="lowerLetter"/>
      <w:start w:val="1"/>
    </w:lvl>
  </w:abstractNum>
  <w:abstractNum w:abstractNumId="1">
    <w:nsid w:val="7F65FD16"/>
    <w:multiLevelType w:val="hybridMultilevel"/>
    <w:lvl w:ilvl="0">
      <w:lvlJc w:val="left"/>
      <w:lvlText w:val="%1"/>
      <w:numFmt w:val="decimal"/>
      <w:start w:val="1"/>
    </w:lvl>
    <w:lvl w:ilvl="1">
      <w:lvlJc w:val="left"/>
      <w:lvlText w:val="(%2)"/>
      <w:numFmt w:val="lowerLetter"/>
      <w:start w:val="2"/>
    </w:lvl>
  </w:abstractNum>
  <w:abstractNum w:abstractNumId="2">
    <w:nsid w:val="77C9FD68"/>
    <w:multiLevelType w:val="hybridMultilevel"/>
    <w:lvl w:ilvl="0">
      <w:lvlJc w:val="left"/>
      <w:lvlText w:val="(%1)"/>
      <w:numFmt w:val="decimal"/>
      <w:start w:val="5"/>
    </w:lvl>
    <w:lvl w:ilvl="1">
      <w:lvlJc w:val="left"/>
      <w:lvlText w:val="%2"/>
      <w:numFmt w:val="lowerLetter"/>
      <w:start w:val="1"/>
    </w:lvl>
  </w:abstractNum>
  <w:abstractNum w:abstractNumId="3">
    <w:nsid w:val="298A92BA"/>
    <w:multiLevelType w:val="hybridMultilevel"/>
    <w:lvl w:ilvl="0">
      <w:lvlJc w:val="left"/>
      <w:lvlText w:val="(%1)"/>
      <w:numFmt w:val="lowerRoman"/>
      <w:start w:val="1"/>
    </w:lvl>
  </w:abstractNum>
  <w:abstractNum w:abstractNumId="4">
    <w:nsid w:val="6FE95EAC"/>
    <w:multiLevelType w:val="hybridMultilevel"/>
    <w:lvl w:ilvl="0">
      <w:lvlJc w:val="left"/>
      <w:lvlText w:val="%1."/>
      <w:numFmt w:val="decimal"/>
      <w:start w:val="1"/>
    </w:lvl>
    <w:lvl w:ilvl="1">
      <w:lvlJc w:val="left"/>
      <w:lvlText w:val="(%2)"/>
      <w:numFmt w:val="lowerRoman"/>
      <w:start w:val="1"/>
    </w:lvl>
  </w:abstractNum>
  <w:abstractNum w:abstractNumId="5">
    <w:nsid w:val="4B697C7A"/>
    <w:multiLevelType w:val="hybridMultilevel"/>
    <w:lvl w:ilvl="0">
      <w:lvlJc w:val="left"/>
      <w:lvlText w:val="%1."/>
      <w:numFmt w:val="decimal"/>
      <w:start w:val="2"/>
    </w:lvl>
  </w:abstractNum>
  <w:abstractNum w:abstractNumId="6">
    <w:nsid w:val="51A27AA6"/>
    <w:multiLevelType w:val="hybridMultilevel"/>
    <w:lvl w:ilvl="0">
      <w:lvlJc w:val="left"/>
      <w:lvlText w:val="%1."/>
      <w:numFmt w:val="decimal"/>
      <w:start w:val="4"/>
    </w:lvl>
    <w:lvl w:ilvl="1">
      <w:lvlJc w:val="left"/>
      <w:lvlText w:val="(%2)"/>
      <w:numFmt w:val="lowerLetter"/>
      <w:start w:val="1"/>
    </w:lvl>
  </w:abstractNum>
  <w:abstractNum w:abstractNumId="7">
    <w:nsid w:val="613183F2"/>
    <w:multiLevelType w:val="hybridMultilevel"/>
    <w:lvl w:ilvl="0">
      <w:lvlJc w:val="left"/>
      <w:lvlText w:val="(%1)"/>
      <w:numFmt w:val="lowerLetter"/>
      <w:start w:val="2"/>
    </w:lvl>
  </w:abstractNum>
  <w:abstractNum w:abstractNumId="8">
    <w:nsid w:val="634102B4"/>
    <w:multiLevelType w:val="hybridMultilevel"/>
    <w:lvl w:ilvl="0">
      <w:lvlJc w:val="left"/>
      <w:lvlText w:val="(%1)"/>
      <w:numFmt w:val="lowerLetter"/>
      <w:start w:val="4"/>
    </w:lvl>
  </w:abstractNum>
  <w:abstractNum w:abstractNumId="9">
    <w:nsid w:val="65BF9DA8"/>
    <w:multiLevelType w:val="hybridMultilevel"/>
    <w:lvl w:ilvl="0">
      <w:lvlJc w:val="left"/>
      <w:lvlText w:val="%1."/>
      <w:numFmt w:val="upperLetter"/>
      <w:start w:val="17"/>
    </w:lvl>
  </w:abstractNum>
  <w:abstractNum w:abstractNumId="10">
    <w:nsid w:val="21A2ECCA"/>
    <w:multiLevelType w:val="hybridMultilevel"/>
    <w:lvl w:ilvl="0">
      <w:lvlJc w:val="left"/>
      <w:lvlText w:val="%1."/>
      <w:numFmt w:val="upperLetter"/>
      <w:start w:val="1"/>
    </w:lvl>
  </w:abstractNum>
  <w:abstractNum w:abstractNumId="11">
    <w:nsid w:val="4D5C4899"/>
    <w:multiLevelType w:val="hybridMultilevel"/>
    <w:lvl w:ilvl="0">
      <w:lvlJc w:val="left"/>
      <w:lvlText w:val="%1:"/>
      <w:numFmt w:val="upperLetter"/>
      <w:start w:val="17"/>
    </w:lvl>
  </w:abstractNum>
  <w:abstractNum w:abstractNumId="12">
    <w:nsid w:val="3C3B72B2"/>
    <w:multiLevelType w:val="hybridMultilevel"/>
    <w:lvl w:ilvl="0">
      <w:lvlJc w:val="left"/>
      <w:lvlText w:val="%1:"/>
      <w:numFmt w:val="upperLetter"/>
      <w:start w:val="1"/>
    </w:lvl>
  </w:abstractNum>
  <w:abstractNum w:abstractNumId="13">
    <w:nsid w:val="155EC4C2"/>
    <w:multiLevelType w:val="hybridMultilevel"/>
    <w:lvl w:ilvl="0">
      <w:lvlJc w:val="left"/>
      <w:lvlText w:val="%1:"/>
      <w:numFmt w:val="upperLetter"/>
      <w:start w:val="17"/>
    </w:lvl>
  </w:abstractNum>
  <w:abstractNum w:abstractNumId="14">
    <w:nsid w:val="65D2A13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5">
    <w:nsid w:val="6EBB1F2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6">
    <w:nsid w:val="6FBF29CB"/>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7">
    <w:nsid w:val="550B8808"/>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18">
    <w:nsid w:val="34CC3ACF"/>
    <w:multiLevelType w:val="hybridMultilevel"/>
    <w:lvl w:ilvl="0">
      <w:lvlJc w:val="left"/>
      <w:lvlText w:val="%1:"/>
      <w:numFmt w:val="upperLetter"/>
      <w:start w:val="1"/>
    </w:lvl>
  </w:abstractNum>
  <w:abstractNum w:abstractNumId="19">
    <w:nsid w:val="4E556261"/>
    <w:multiLevelType w:val="hybridMultilevel"/>
    <w:lvl w:ilvl="0">
      <w:lvlJc w:val="left"/>
      <w:lvlText w:val="%1:"/>
      <w:numFmt w:val="upperLetter"/>
      <w:start w:val="17"/>
    </w:lvl>
  </w:abstractNum>
  <w:abstractNum w:abstractNumId="20">
    <w:nsid w:val="4C672FC9"/>
    <w:multiLevelType w:val="hybridMultilevel"/>
    <w:lvl w:ilvl="0">
      <w:lvlJc w:val="left"/>
      <w:lvlText w:val="%1:"/>
      <w:numFmt w:val="upperLetter"/>
      <w:start w:val="1"/>
    </w:lvl>
  </w:abstractNum>
  <w:abstractNum w:abstractNumId="21">
    <w:nsid w:val="52A311C3"/>
    <w:multiLevelType w:val="hybridMultilevel"/>
    <w:lvl w:ilvl="0">
      <w:lvlJc w:val="left"/>
      <w:lvlText w:val="%1:"/>
      <w:numFmt w:val="upperLetter"/>
      <w:start w:val="17"/>
    </w:lvl>
  </w:abstractNum>
  <w:abstractNum w:abstractNumId="22">
    <w:nsid w:val="44EF6B80"/>
    <w:multiLevelType w:val="hybridMultilevel"/>
    <w:lvl w:ilvl="0">
      <w:lvlJc w:val="left"/>
      <w:lvlText w:val="%1:"/>
      <w:numFmt w:val="upperLetter"/>
      <w:start w:val="1"/>
    </w:lvl>
  </w:abstractNum>
  <w:abstractNum w:abstractNumId="23">
    <w:nsid w:val="12FCDE5E"/>
    <w:multiLevelType w:val="hybridMultilevel"/>
    <w:lvl w:ilvl="0">
      <w:lvlJc w:val="left"/>
      <w:lvlText w:val="%1:"/>
      <w:numFmt w:val="upperLetter"/>
      <w:start w:val="17"/>
    </w:lvl>
  </w:abstractNum>
  <w:abstractNum w:abstractNumId="24">
    <w:nsid w:val="4A1D606E"/>
    <w:multiLevelType w:val="hybridMultilevel"/>
    <w:lvl w:ilvl="0">
      <w:lvlJc w:val="left"/>
      <w:lvlText w:val="%1:"/>
      <w:numFmt w:val="upperLetter"/>
      <w:start w:val="1"/>
    </w:lvl>
  </w:abstractNum>
  <w:abstractNum w:abstractNumId="25">
    <w:nsid w:val="4382503"/>
    <w:multiLevelType w:val="hybridMultilevel"/>
    <w:lvl w:ilvl="0">
      <w:lvlJc w:val="left"/>
      <w:lvlText w:val="%1:"/>
      <w:numFmt w:val="upperLetter"/>
      <w:start w:val="17"/>
    </w:lvl>
  </w:abstractNum>
  <w:abstractNum w:abstractNumId="26">
    <w:nsid w:val="59B76E28"/>
    <w:multiLevelType w:val="hybridMultilevel"/>
    <w:lvl w:ilvl="0">
      <w:lvlJc w:val="left"/>
      <w:lvlText w:val="%1:"/>
      <w:numFmt w:val="upperLetter"/>
      <w:start w:val="1"/>
    </w:lvl>
  </w:abstractNum>
  <w:abstractNum w:abstractNumId="27">
    <w:nsid w:val="4252C2DA"/>
    <w:multiLevelType w:val="hybridMultilevel"/>
    <w:lvl w:ilvl="0">
      <w:lvlJc w:val="left"/>
      <w:lvlText w:val="%1:"/>
      <w:numFmt w:val="upperLetter"/>
      <w:start w:val="17"/>
    </w:lvl>
  </w:abstractNum>
  <w:abstractNum w:abstractNumId="28">
    <w:nsid w:val="6A92EF4C"/>
    <w:multiLevelType w:val="hybridMultilevel"/>
    <w:lvl w:ilvl="0">
      <w:lvlJc w:val="left"/>
      <w:lvlText w:val="%1:"/>
      <w:numFmt w:val="upperLetter"/>
      <w:start w:val="1"/>
    </w:lvl>
  </w:abstractNum>
  <w:abstractNum w:abstractNumId="29">
    <w:nsid w:val="41ED20D7"/>
    <w:multiLevelType w:val="hybridMultilevel"/>
    <w:lvl w:ilvl="0">
      <w:lvlJc w:val="left"/>
      <w:lvlText w:val="%1:"/>
      <w:numFmt w:val="upperLetter"/>
      <w:start w:val="17"/>
    </w:lvl>
  </w:abstractNum>
  <w:abstractNum w:abstractNumId="30">
    <w:nsid w:val="E6B3F6A"/>
    <w:multiLevelType w:val="hybridMultilevel"/>
    <w:lvl w:ilvl="0">
      <w:lvlJc w:val="left"/>
      <w:lvlText w:val="%1:"/>
      <w:numFmt w:val="upperLetter"/>
      <w:start w:val="1"/>
    </w:lvl>
    <w:lvl w:ilvl="1">
      <w:lvlJc w:val="left"/>
      <w:lvlText w:val="(%2)"/>
      <w:numFmt w:val="lowerRoman"/>
      <w:start w:val="5"/>
    </w:lvl>
  </w:abstractNum>
  <w:abstractNum w:abstractNumId="31">
    <w:nsid w:val="3EB21819"/>
    <w:multiLevelType w:val="hybridMultilevel"/>
    <w:lvl w:ilvl="0">
      <w:lvlJc w:val="left"/>
      <w:lvlText w:val="%1:"/>
      <w:numFmt w:val="upperLetter"/>
      <w:start w:val="17"/>
    </w:lvl>
  </w:abstractNum>
  <w:abstractNum w:abstractNumId="32">
    <w:nsid w:val="41531DED"/>
    <w:multiLevelType w:val="hybridMultilevel"/>
    <w:lvl w:ilvl="0">
      <w:lvlJc w:val="left"/>
      <w:lvlText w:val="%1:"/>
      <w:numFmt w:val="upperLetter"/>
      <w:start w:val="1"/>
    </w:lvl>
  </w:abstractNum>
  <w:abstractNum w:abstractNumId="33">
    <w:nsid w:val="6353CD2"/>
    <w:multiLevelType w:val="hybridMultilevel"/>
    <w:lvl w:ilvl="0">
      <w:lvlJc w:val="left"/>
      <w:lvlText w:val="%1."/>
      <w:numFmt w:val="upperLetter"/>
      <w:start w:val="17"/>
    </w:lvl>
  </w:abstractNum>
  <w:abstractNum w:abstractNumId="34">
    <w:nsid w:val="683CAAD3"/>
    <w:multiLevelType w:val="hybridMultilevel"/>
    <w:lvl w:ilvl="0">
      <w:lvlJc w:val="left"/>
      <w:lvlText w:val="%1."/>
      <w:numFmt w:val="upperLetter"/>
      <w:start w:val="1"/>
    </w:lvl>
  </w:abstractNum>
  <w:abstractNum w:abstractNumId="35">
    <w:nsid w:val="313C7C99"/>
    <w:multiLevelType w:val="hybridMultilevel"/>
    <w:lvl w:ilvl="0">
      <w:lvlJc w:val="left"/>
      <w:lvlText w:val="%1:"/>
      <w:numFmt w:val="upperLetter"/>
      <w:start w:val="17"/>
    </w:lvl>
  </w:abstractNum>
  <w:abstractNum w:abstractNumId="36">
    <w:nsid w:val="519EB94C"/>
    <w:multiLevelType w:val="hybridMultilevel"/>
    <w:lvl w:ilvl="0">
      <w:lvlJc w:val="left"/>
      <w:lvlText w:val="%1:"/>
      <w:numFmt w:val="upperLetter"/>
      <w:start w:val="1"/>
    </w:lvl>
  </w:abstractNum>
  <w:abstractNum w:abstractNumId="37">
    <w:nsid w:val="39DF2579"/>
    <w:multiLevelType w:val="hybridMultilevel"/>
    <w:lvl w:ilvl="0">
      <w:lvlJc w:val="left"/>
      <w:lvlText w:val="%1:"/>
      <w:numFmt w:val="upperLetter"/>
      <w:start w:val="17"/>
    </w:lvl>
  </w:abstractNum>
  <w:abstractNum w:abstractNumId="38">
    <w:nsid w:val="126E008B"/>
    <w:multiLevelType w:val="hybridMultilevel"/>
    <w:lvl w:ilvl="0">
      <w:lvlJc w:val="left"/>
      <w:lvlText w:val="%1:"/>
      <w:numFmt w:val="upperLetter"/>
      <w:start w:val="1"/>
    </w:lvl>
  </w:abstractNum>
  <w:abstractNum w:abstractNumId="39">
    <w:nsid w:val="34DFBC00"/>
    <w:multiLevelType w:val="hybridMultilevel"/>
    <w:lvl w:ilvl="0">
      <w:lvlJc w:val="left"/>
      <w:lvlText w:val="%1:"/>
      <w:numFmt w:val="upperLetter"/>
      <w:start w:val="17"/>
    </w:lvl>
  </w:abstractNum>
  <w:abstractNum w:abstractNumId="40">
    <w:nsid w:val="1F9EC322"/>
    <w:multiLevelType w:val="hybridMultilevel"/>
    <w:lvl w:ilvl="0">
      <w:lvlJc w:val="left"/>
      <w:lvlText w:val="%1:"/>
      <w:numFmt w:val="upperLetter"/>
      <w:start w:val="1"/>
    </w:lvl>
  </w:abstractNum>
  <w:abstractNum w:abstractNumId="41">
    <w:nsid w:val="3410ED56"/>
    <w:multiLevelType w:val="hybridMultilevel"/>
    <w:lvl w:ilvl="0">
      <w:lvlJc w:val="left"/>
      <w:lvlText w:val="%1:"/>
      <w:numFmt w:val="upperLetter"/>
      <w:start w:val="17"/>
    </w:lvl>
  </w:abstractNum>
  <w:abstractNum w:abstractNumId="42">
    <w:nsid w:val="23C049A"/>
    <w:multiLevelType w:val="hybridMultilevel"/>
    <w:lvl w:ilvl="0">
      <w:lvlJc w:val="left"/>
      <w:lvlText w:val="%1:"/>
      <w:numFmt w:val="upperLetter"/>
      <w:start w:val="1"/>
    </w:lvl>
  </w:abstractNum>
  <w:abstractNum w:abstractNumId="43">
    <w:nsid w:val="5BDA35D4"/>
    <w:multiLevelType w:val="hybridMultilevel"/>
    <w:lvl w:ilvl="0">
      <w:lvlJc w:val="left"/>
      <w:lvlText w:val="%1:"/>
      <w:numFmt w:val="upperLetter"/>
      <w:start w:val="17"/>
    </w:lvl>
  </w:abstractNum>
  <w:abstractNum w:abstractNumId="44">
    <w:nsid w:val="496FB218"/>
    <w:multiLevelType w:val="hybridMultilevel"/>
    <w:lvl w:ilvl="0">
      <w:lvlJc w:val="left"/>
      <w:lvlText w:val="%1:"/>
      <w:numFmt w:val="upperLetter"/>
      <w:start w:val="1"/>
    </w:lvl>
  </w:abstractNum>
  <w:abstractNum w:abstractNumId="45">
    <w:nsid w:val="680EA5D1"/>
    <w:multiLevelType w:val="hybridMultilevel"/>
    <w:lvl w:ilvl="0">
      <w:lvlJc w:val="left"/>
      <w:lvlText w:val="%1:"/>
      <w:numFmt w:val="upperLetter"/>
      <w:start w:val="17"/>
    </w:lvl>
  </w:abstractNum>
  <w:abstractNum w:abstractNumId="46">
    <w:nsid w:val="4A9554FE"/>
    <w:multiLevelType w:val="hybridMultilevel"/>
    <w:lvl w:ilvl="0">
      <w:lvlJc w:val="left"/>
      <w:lvlText w:val="%1:"/>
      <w:numFmt w:val="upperLetter"/>
      <w:start w:val="1"/>
    </w:lvl>
  </w:abstractNum>
  <w:abstractNum w:abstractNumId="47">
    <w:nsid w:val="392EDBE4"/>
    <w:multiLevelType w:val="hybridMultilevel"/>
    <w:lvl w:ilvl="0">
      <w:lvlJc w:val="left"/>
      <w:lvlText w:val="%1:"/>
      <w:numFmt w:val="upperLetter"/>
      <w:start w:val="17"/>
    </w:lvl>
  </w:abstractNum>
  <w:abstractNum w:abstractNumId="48">
    <w:nsid w:val="3D1A2DD9"/>
    <w:multiLevelType w:val="hybridMultilevel"/>
    <w:lvl w:ilvl="0">
      <w:lvlJc w:val="left"/>
      <w:lvlText w:val="%1:"/>
      <w:numFmt w:val="upperLetter"/>
      <w:start w:val="1"/>
    </w:lvl>
    <w:lvl w:ilvl="1">
      <w:lvlJc w:val="left"/>
      <w:lvlText w:val="•"/>
      <w:numFmt w:val="bullet"/>
      <w:start w:val="1"/>
    </w:lvl>
  </w:abstractNum>
  <w:abstractNum w:abstractNumId="49">
    <w:nsid w:val="7F618FCD"/>
    <w:multiLevelType w:val="hybridMultilevel"/>
    <w:lvl w:ilvl="0">
      <w:lvlJc w:val="left"/>
      <w:lvlText w:val="•"/>
      <w:numFmt w:val="bullet"/>
      <w:start w:val="1"/>
    </w:lvl>
  </w:abstractNum>
  <w:abstractNum w:abstractNumId="50">
    <w:nsid w:val="7843E45"/>
    <w:multiLevelType w:val="hybridMultilevel"/>
    <w:lvl w:ilvl="0">
      <w:lvlJc w:val="left"/>
      <w:lvlText w:val="%1:"/>
      <w:numFmt w:val="upperLetter"/>
      <w:start w:val="17"/>
    </w:lvl>
  </w:abstractNum>
  <w:abstractNum w:abstractNumId="51">
    <w:nsid w:val="9815DA3"/>
    <w:multiLevelType w:val="hybridMultilevel"/>
    <w:lvl w:ilvl="0">
      <w:lvlJc w:val="left"/>
      <w:lvlText w:val="%1:"/>
      <w:numFmt w:val="upperLetter"/>
      <w:start w:val="1"/>
    </w:lvl>
  </w:abstractNum>
  <w:abstractNum w:abstractNumId="52">
    <w:nsid w:val="5204A191"/>
    <w:multiLevelType w:val="hybridMultilevel"/>
    <w:lvl w:ilvl="0">
      <w:lvlJc w:val="left"/>
      <w:lvlText w:val="%1:"/>
      <w:numFmt w:val="upperLetter"/>
      <w:start w:val="17"/>
    </w:lvl>
  </w:abstractNum>
  <w:abstractNum w:abstractNumId="53">
    <w:nsid w:val="4C73A9C6"/>
    <w:multiLevelType w:val="hybridMultilevel"/>
    <w:lvl w:ilvl="0">
      <w:lvlJc w:val="left"/>
      <w:lvlText w:val="%1:"/>
      <w:numFmt w:val="upperLetter"/>
      <w:start w:val="17"/>
    </w:lvl>
  </w:abstractNum>
  <w:abstractNum w:abstractNumId="54">
    <w:nsid w:val="1C7E3C01"/>
    <w:multiLevelType w:val="hybridMultilevel"/>
    <w:lvl w:ilvl="0">
      <w:lvlJc w:val="left"/>
      <w:lvlText w:val="%1:"/>
      <w:numFmt w:val="upperLetter"/>
      <w:start w:val="1"/>
    </w:lvl>
  </w:abstractNum>
  <w:abstractNum w:abstractNumId="55">
    <w:nsid w:val="1C2201FF"/>
    <w:multiLevelType w:val="hybridMultilevel"/>
    <w:lvl w:ilvl="0">
      <w:lvlJc w:val="left"/>
      <w:lvlText w:val="%1:"/>
      <w:numFmt w:val="upperLetter"/>
      <w:start w:val="17"/>
    </w:lvl>
  </w:abstractNum>
  <w:abstractNum w:abstractNumId="56">
    <w:nsid w:val="50ABCEC9"/>
    <w:multiLevelType w:val="hybridMultilevel"/>
    <w:lvl w:ilvl="0">
      <w:lvlJc w:val="left"/>
      <w:lvlText w:val="%1:"/>
      <w:numFmt w:val="upperLetter"/>
      <w:start w:val="1"/>
    </w:lvl>
  </w:abstractNum>
  <w:abstractNum w:abstractNumId="57">
    <w:nsid w:val="7635AA2A"/>
    <w:multiLevelType w:val="hybridMultilevel"/>
    <w:lvl w:ilvl="0">
      <w:lvlJc w:val="left"/>
      <w:lvlText w:val="%1:"/>
      <w:numFmt w:val="upperLetter"/>
      <w:start w:val="17"/>
    </w:lvl>
  </w:abstractNum>
  <w:abstractNum w:abstractNumId="58">
    <w:nsid w:val="5E74C4D9"/>
    <w:multiLevelType w:val="hybridMultilevel"/>
    <w:lvl w:ilvl="0">
      <w:lvlJc w:val="left"/>
      <w:lvlText w:val="%1:"/>
      <w:numFmt w:val="upperLetter"/>
      <w:start w:val="1"/>
    </w:lvl>
  </w:abstractNum>
  <w:abstractNum w:abstractNumId="59">
    <w:nsid w:val="3B3EBE15"/>
    <w:multiLevelType w:val="hybridMultilevel"/>
    <w:lvl w:ilvl="0">
      <w:lvlJc w:val="left"/>
      <w:lvlText w:val="%1:"/>
      <w:numFmt w:val="upperLetter"/>
      <w:start w:val="17"/>
    </w:lvl>
  </w:abstractNum>
  <w:abstractNum w:abstractNumId="60">
    <w:nsid w:val="3822CB01"/>
    <w:multiLevelType w:val="hybridMultilevel"/>
    <w:lvl w:ilvl="0">
      <w:lvlJc w:val="left"/>
      <w:lvlText w:val="%1:"/>
      <w:numFmt w:val="upperLetter"/>
      <w:start w:val="1"/>
    </w:lvl>
  </w:abstractNum>
  <w:abstractNum w:abstractNumId="61">
    <w:nsid w:val="6CE00443"/>
    <w:multiLevelType w:val="hybridMultilevel"/>
    <w:lvl w:ilvl="0">
      <w:lvlJc w:val="left"/>
      <w:lvlText w:val="%1:"/>
      <w:numFmt w:val="upperLetter"/>
      <w:start w:val="17"/>
    </w:lvl>
  </w:abstractNum>
  <w:abstractNum w:abstractNumId="62">
    <w:nsid w:val="79F0D62F"/>
    <w:multiLevelType w:val="hybridMultilevel"/>
    <w:lvl w:ilvl="0">
      <w:lvlJc w:val="left"/>
      <w:lvlText w:val="%1:"/>
      <w:numFmt w:val="upperLetter"/>
      <w:start w:val="1"/>
    </w:lvl>
  </w:abstractNum>
  <w:abstractNum w:abstractNumId="63">
    <w:nsid w:val="7975E8EE"/>
    <w:multiLevelType w:val="hybridMultilevel"/>
    <w:lvl w:ilvl="0">
      <w:lvlJc w:val="left"/>
      <w:lvlText w:val="%1:"/>
      <w:numFmt w:val="upperLetter"/>
      <w:start w:val="17"/>
    </w:lvl>
  </w:abstractNum>
  <w:abstractNum w:abstractNumId="64">
    <w:nsid w:val="73154115"/>
    <w:multiLevelType w:val="hybridMultilevel"/>
    <w:lvl w:ilvl="0">
      <w:lvlJc w:val="left"/>
      <w:lvlText w:val="%1:"/>
      <w:numFmt w:val="upperLetter"/>
      <w:start w:val="1"/>
    </w:lvl>
    <w:lvl w:ilvl="1">
      <w:lvlJc w:val="left"/>
      <w:lvlText w:val="•"/>
      <w:numFmt w:val="bullet"/>
      <w:start w:val="1"/>
    </w:lvl>
  </w:abstractNum>
  <w:abstractNum w:abstractNumId="65">
    <w:nsid w:val="622D8102"/>
    <w:multiLevelType w:val="hybridMultilevel"/>
    <w:lvl w:ilvl="0">
      <w:lvlJc w:val="left"/>
      <w:lvlText w:val="%1:"/>
      <w:numFmt w:val="upperLetter"/>
      <w:start w:val="16"/>
    </w:lvl>
    <w:lvl w:ilvl="1">
      <w:lvlJc w:val="left"/>
      <w:lvlText w:val="•"/>
      <w:numFmt w:val="bullet"/>
      <w:start w:val="1"/>
    </w:lvl>
  </w:abstractNum>
  <w:abstractNum w:abstractNumId="66">
    <w:nsid w:val="2AB26587"/>
    <w:multiLevelType w:val="hybridMultilevel"/>
    <w:lvl w:ilvl="0">
      <w:lvlJc w:val="left"/>
      <w:lvlText w:val="%1:"/>
      <w:numFmt w:val="upperLetter"/>
      <w:start w:val="1"/>
    </w:lvl>
  </w:abstractNum>
  <w:abstractNum w:abstractNumId="67">
    <w:nsid w:val="44B3FA61"/>
    <w:multiLevelType w:val="hybridMultilevel"/>
    <w:lvl w:ilvl="0">
      <w:lvlJc w:val="left"/>
      <w:lvlText w:val="%1:"/>
      <w:numFmt w:val="upperLetter"/>
      <w:start w:val="17"/>
    </w:lvl>
  </w:abstractNum>
  <w:abstractNum w:abstractNumId="68">
    <w:nsid w:val="1C0CA67C"/>
    <w:multiLevelType w:val="hybridMultilevel"/>
    <w:lvl w:ilvl="0">
      <w:lvlJc w:val="left"/>
      <w:lvlText w:val="%1:"/>
      <w:numFmt w:val="upperLetter"/>
      <w:start w:val="1"/>
    </w:lvl>
  </w:abstractNum>
  <w:abstractNum w:abstractNumId="69">
    <w:nsid w:val="3D206613"/>
    <w:multiLevelType w:val="hybridMultilevel"/>
    <w:lvl w:ilvl="0">
      <w:lvlJc w:val="left"/>
      <w:lvlText w:val="%1:"/>
      <w:numFmt w:val="upperLetter"/>
      <w:start w:val="17"/>
    </w:lvl>
  </w:abstractNum>
  <w:abstractNum w:abstractNumId="70">
    <w:nsid w:val="7993B662"/>
    <w:multiLevelType w:val="hybridMultilevel"/>
    <w:lvl w:ilvl="0">
      <w:lvlJc w:val="left"/>
      <w:lvlText w:val="%1:"/>
      <w:numFmt w:val="upperLetter"/>
      <w:start w:val="1"/>
    </w:lvl>
  </w:abstractNum>
  <w:abstractNum w:abstractNumId="71">
    <w:nsid w:val="3BAB699E"/>
    <w:multiLevelType w:val="hybridMultilevel"/>
    <w:lvl w:ilvl="0">
      <w:lvlJc w:val="left"/>
      <w:lvlText w:val="%1:"/>
      <w:numFmt w:val="upperLetter"/>
      <w:start w:val="17"/>
    </w:lvl>
  </w:abstractNum>
  <w:abstractNum w:abstractNumId="72">
    <w:nsid w:val="71315369"/>
    <w:multiLevelType w:val="hybridMultilevel"/>
    <w:lvl w:ilvl="0">
      <w:lvlJc w:val="left"/>
      <w:lvlText w:val="%1."/>
      <w:numFmt w:val="upperLetter"/>
      <w:start w:val="1"/>
    </w:lvl>
  </w:abstractNum>
  <w:abstractNum w:abstractNumId="73">
    <w:nsid w:val="7BCFBAFC"/>
    <w:multiLevelType w:val="hybridMultilevel"/>
    <w:lvl w:ilvl="0">
      <w:lvlJc w:val="left"/>
      <w:lvlText w:val="%1:"/>
      <w:numFmt w:val="upperLetter"/>
      <w:start w:val="17"/>
    </w:lvl>
  </w:abstractNum>
  <w:abstractNum w:abstractNumId="74">
    <w:nsid w:val="17859F72"/>
    <w:multiLevelType w:val="hybridMultilevel"/>
    <w:lvl w:ilvl="0">
      <w:lvlJc w:val="left"/>
      <w:lvlText w:val="%1:"/>
      <w:numFmt w:val="upperLetter"/>
      <w:start w:val="1"/>
    </w:lvl>
  </w:abstractNum>
  <w:abstractNum w:abstractNumId="75">
    <w:nsid w:val="3AA10581"/>
    <w:multiLevelType w:val="hybridMultilevel"/>
    <w:lvl w:ilvl="0">
      <w:lvlJc w:val="left"/>
      <w:lvlText w:val="%1:"/>
      <w:numFmt w:val="upperLetter"/>
      <w:start w:val="17"/>
    </w:lvl>
  </w:abstractNum>
  <w:abstractNum w:abstractNumId="76">
    <w:nsid w:val="63DE60CD"/>
    <w:multiLevelType w:val="hybridMultilevel"/>
    <w:lvl w:ilvl="0">
      <w:lvlJc w:val="left"/>
      <w:lvlText w:val="%1:"/>
      <w:numFmt w:val="upperLetter"/>
      <w:start w:val="1"/>
    </w:lvl>
  </w:abstractNum>
  <w:abstractNum w:abstractNumId="77">
    <w:nsid w:val="621AF471"/>
    <w:multiLevelType w:val="hybridMultilevel"/>
    <w:lvl w:ilvl="0">
      <w:lvlJc w:val="left"/>
      <w:lvlText w:val="%1."/>
      <w:numFmt w:val="upperLetter"/>
      <w:start w:val="17"/>
    </w:lvl>
  </w:abstractNum>
  <w:abstractNum w:abstractNumId="78">
    <w:nsid w:val="73CFE165"/>
    <w:multiLevelType w:val="hybridMultilevel"/>
    <w:lvl w:ilvl="0">
      <w:lvlJc w:val="left"/>
      <w:lvlText w:val="%1:"/>
      <w:numFmt w:val="upperLetter"/>
      <w:start w:val="1"/>
    </w:lvl>
  </w:abstractNum>
  <w:abstractNum w:abstractNumId="79">
    <w:nsid w:val="20F88EA6"/>
    <w:multiLevelType w:val="hybridMultilevel"/>
    <w:lvl w:ilvl="0">
      <w:lvlJc w:val="left"/>
      <w:lvlText w:val="%1:"/>
      <w:numFmt w:val="upperLetter"/>
      <w:start w:val="17"/>
    </w:lvl>
  </w:abstractNum>
  <w:abstractNum w:abstractNumId="80">
    <w:nsid w:val="617C843E"/>
    <w:multiLevelType w:val="hybridMultilevel"/>
    <w:lvl w:ilvl="0">
      <w:lvlJc w:val="left"/>
      <w:lvlText w:val="%1:"/>
      <w:numFmt w:val="upperLetter"/>
      <w:start w:val="1"/>
    </w:lvl>
  </w:abstractNum>
  <w:abstractNum w:abstractNumId="81">
    <w:nsid w:val="7B541FAB"/>
    <w:multiLevelType w:val="hybridMultilevel"/>
    <w:lvl w:ilvl="0">
      <w:lvlJc w:val="left"/>
      <w:lvlText w:val="%1:"/>
      <w:numFmt w:val="upperLetter"/>
      <w:start w:val="17"/>
    </w:lvl>
  </w:abstractNum>
  <w:abstractNum w:abstractNumId="82">
    <w:nsid w:val="2A79EC49"/>
    <w:multiLevelType w:val="hybridMultilevel"/>
    <w:lvl w:ilvl="0">
      <w:lvlJc w:val="left"/>
      <w:lvlText w:val="%1:"/>
      <w:numFmt w:val="upperLetter"/>
      <w:start w:val="1"/>
    </w:lvl>
    <w:lvl w:ilvl="1">
      <w:lvlJc w:val="left"/>
      <w:lvlText w:val="•"/>
      <w:numFmt w:val="bullet"/>
      <w:start w:val="1"/>
    </w:lvl>
  </w:abstractNum>
  <w:abstractNum w:abstractNumId="83">
    <w:nsid w:val="338125CF"/>
    <w:multiLevelType w:val="hybridMultilevel"/>
    <w:lvl w:ilvl="0">
      <w:lvlJc w:val="left"/>
      <w:lvlText w:val="%1:"/>
      <w:numFmt w:val="upperLetter"/>
      <w:start w:val="17"/>
    </w:lvl>
  </w:abstractNum>
  <w:abstractNum w:abstractNumId="84">
    <w:nsid w:val="47C7C971"/>
    <w:multiLevelType w:val="hybridMultilevel"/>
    <w:lvl w:ilvl="0">
      <w:lvlJc w:val="left"/>
      <w:lvlText w:val="%1:"/>
      <w:numFmt w:val="upperLetter"/>
      <w:start w:val="1"/>
    </w:lvl>
  </w:abstractNum>
  <w:abstractNum w:abstractNumId="85">
    <w:nsid w:val="46F8284B"/>
    <w:multiLevelType w:val="hybridMultilevel"/>
    <w:lvl w:ilvl="0">
      <w:lvlJc w:val="left"/>
      <w:lvlText w:val="%1:"/>
      <w:numFmt w:val="upperLetter"/>
      <w:start w:val="17"/>
    </w:lvl>
  </w:abstractNum>
  <w:abstractNum w:abstractNumId="86">
    <w:nsid w:val="4FA327CE"/>
    <w:multiLevelType w:val="hybridMultilevel"/>
    <w:lvl w:ilvl="0">
      <w:lvlJc w:val="left"/>
      <w:lvlText w:val="%1:"/>
      <w:numFmt w:val="upperLetter"/>
      <w:start w:val="1"/>
    </w:lvl>
  </w:abstractNum>
  <w:abstractNum w:abstractNumId="87">
    <w:nsid w:val="1873983A"/>
    <w:multiLevelType w:val="hybridMultilevel"/>
    <w:lvl w:ilvl="0">
      <w:lvlJc w:val="left"/>
      <w:lvlText w:val="%1:"/>
      <w:numFmt w:val="upperLetter"/>
      <w:start w:val="17"/>
    </w:lvl>
  </w:abstractNum>
  <w:abstractNum w:abstractNumId="88">
    <w:nsid w:val="3D2DD275"/>
    <w:multiLevelType w:val="hybridMultilevel"/>
    <w:lvl w:ilvl="0">
      <w:lvlJc w:val="left"/>
      <w:lvlText w:val="%1:"/>
      <w:numFmt w:val="upperLetter"/>
      <w:start w:val="1"/>
    </w:lvl>
  </w:abstractNum>
  <w:abstractNum w:abstractNumId="89">
    <w:nsid w:val="2E17ECA7"/>
    <w:multiLevelType w:val="hybridMultilevel"/>
    <w:lvl w:ilvl="0">
      <w:lvlJc w:val="left"/>
      <w:lvlText w:val="%1:"/>
      <w:numFmt w:val="upperLetter"/>
      <w:start w:val="17"/>
    </w:lvl>
  </w:abstractNum>
  <w:abstractNum w:abstractNumId="90">
    <w:nsid w:val="53B2564F"/>
    <w:multiLevelType w:val="hybridMultilevel"/>
    <w:lvl w:ilvl="0">
      <w:lvlJc w:val="left"/>
      <w:lvlText w:val="%1:"/>
      <w:numFmt w:val="upperLetter"/>
      <w:start w:val="1"/>
    </w:lvl>
  </w:abstractNum>
  <w:abstractNum w:abstractNumId="91">
    <w:nsid w:val="75509D76"/>
    <w:multiLevelType w:val="hybridMultilevel"/>
    <w:lvl w:ilvl="0">
      <w:lvlJc w:val="left"/>
      <w:lvlText w:val="•"/>
      <w:numFmt w:val="bullet"/>
      <w:start w:val="1"/>
    </w:lvl>
  </w:abstractNum>
  <w:abstractNum w:abstractNumId="92">
    <w:nsid w:val="1AF7F0EA"/>
    <w:multiLevelType w:val="hybridMultilevel"/>
    <w:lvl w:ilvl="0">
      <w:lvlJc w:val="left"/>
      <w:lvlText w:val="•"/>
      <w:numFmt w:val="bullet"/>
      <w:start w:val="1"/>
    </w:lvl>
  </w:abstractNum>
  <w:abstractNum w:abstractNumId="93">
    <w:nsid w:val="4DA32C7E"/>
    <w:multiLevelType w:val="hybridMultilevel"/>
    <w:lvl w:ilvl="0">
      <w:lvlJc w:val="left"/>
      <w:lvlText w:val="•"/>
      <w:numFmt w:val="bullet"/>
      <w:start w:val="1"/>
    </w:lvl>
  </w:abstractNum>
  <w:abstractNum w:abstractNumId="94">
    <w:nsid w:val="6EC68664"/>
    <w:multiLevelType w:val="hybridMultilevel"/>
    <w:lvl w:ilvl="0">
      <w:lvlJc w:val="left"/>
      <w:lvlText w:val="%1"/>
      <w:numFmt w:val="upperLetter"/>
      <w:start w:val="61"/>
    </w:lvl>
  </w:abstractNum>
  <w:abstractNum w:abstractNumId="95">
    <w:nsid w:val="E0D31FF"/>
    <w:multiLevelType w:val="hybridMultilevel"/>
    <w:lvl w:ilvl="0">
      <w:lvlJc w:val="left"/>
      <w:lvlText w:val="(%1)"/>
      <w:numFmt w:val="lowerLetter"/>
      <w:start w:val="1"/>
    </w:lvl>
  </w:abstractNum>
  <w:abstractNum w:abstractNumId="96">
    <w:nsid w:val="2FD0AD81"/>
    <w:multiLevelType w:val="hybridMultilevel"/>
    <w:lvl w:ilvl="0">
      <w:lvlJc w:val="left"/>
      <w:lvlText w:val="(%1)"/>
      <w:numFmt w:val="lowerLetter"/>
      <w:start w:val="4"/>
    </w:lvl>
  </w:abstractNum>
  <w:abstractNum w:abstractNumId="97">
    <w:nsid w:val="1978EBEB"/>
    <w:multiLevelType w:val="hybridMultilevel"/>
    <w:lvl w:ilvl="0">
      <w:lvlJc w:val="left"/>
      <w:lvlText w:val="•"/>
      <w:numFmt w:val="bullet"/>
      <w:start w:val="1"/>
    </w:lvl>
  </w:abstractNum>
  <w:abstractNum w:abstractNumId="98">
    <w:nsid w:val="52C12C61"/>
    <w:multiLevelType w:val="hybridMultilevel"/>
    <w:lvl w:ilvl="0">
      <w:lvlJc w:val="left"/>
      <w:lvlText w:val="•"/>
      <w:numFmt w:val="bullet"/>
      <w:start w:val="1"/>
    </w:lvl>
  </w:abstractNum>
  <w:abstractNum w:abstractNumId="99">
    <w:nsid w:val="4BDD53FD"/>
    <w:multiLevelType w:val="hybridMultilevel"/>
    <w:lvl w:ilvl="0">
      <w:lvlJc w:val="left"/>
      <w:lvlText w:val="•"/>
      <w:numFmt w:val="bullet"/>
      <w:start w:val="1"/>
    </w:lvl>
  </w:abstractNum>
  <w:abstractNum w:abstractNumId="100">
    <w:nsid w:val="569951FE"/>
    <w:multiLevelType w:val="hybridMultilevel"/>
    <w:lvl w:ilvl="0">
      <w:lvlJc w:val="left"/>
      <w:lvlText w:val="•"/>
      <w:numFmt w:val="bullet"/>
      <w:start w:val="1"/>
    </w:lvl>
  </w:abstractNum>
  <w:abstractNum w:abstractNumId="101">
    <w:nsid w:val="4C54E2C3"/>
    <w:multiLevelType w:val="hybridMultilevel"/>
    <w:lvl w:ilvl="0">
      <w:lvlJc w:val="left"/>
      <w:lvlText w:val="(%1)"/>
      <w:numFmt w:val="lowerRoman"/>
      <w:start w:val="1"/>
    </w:lvl>
  </w:abstractNum>
  <w:abstractNum w:abstractNumId="102">
    <w:nsid w:val="788BD9B"/>
    <w:multiLevelType w:val="hybridMultilevel"/>
    <w:lvl w:ilvl="0">
      <w:lvlJc w:val="left"/>
      <w:lvlText w:val="(%1)"/>
      <w:numFmt w:val="lowerLetter"/>
      <w:start w:val="1"/>
    </w:lvl>
  </w:abstractNum>
  <w:abstractNum w:abstractNumId="103">
    <w:nsid w:val="47CAA567"/>
    <w:multiLevelType w:val="hybridMultilevel"/>
    <w:lvl w:ilvl="0">
      <w:lvlJc w:val="left"/>
      <w:lvlText w:val="•"/>
      <w:numFmt w:val="bullet"/>
      <w:start w:val="1"/>
    </w:lvl>
  </w:abstractNum>
  <w:abstractNum w:abstractNumId="104">
    <w:nsid w:val="48249DBF"/>
    <w:multiLevelType w:val="hybridMultilevel"/>
    <w:lvl w:ilvl="0">
      <w:lvlJc w:val="left"/>
      <w:lvlText w:val="(%1)"/>
      <w:numFmt w:val="decimal"/>
      <w:start w:val="2"/>
    </w:lvl>
  </w:abstractNum>
  <w:abstractNum w:abstractNumId="105">
    <w:nsid w:val="1F0E5D0D"/>
    <w:multiLevelType w:val="hybridMultilevel"/>
    <w:lvl w:ilvl="0">
      <w:lvlJc w:val="left"/>
      <w:lvlText w:val="(%1)"/>
      <w:numFmt w:val="decimal"/>
      <w:start w:val="1"/>
    </w:lvl>
  </w:abstractNum>
  <w:abstractNum w:abstractNumId="106">
    <w:nsid w:val="26BAAE9"/>
    <w:multiLevelType w:val="hybridMultilevel"/>
    <w:lvl w:ilvl="0">
      <w:lvlJc w:val="left"/>
      <w:lvlText w:val="•"/>
      <w:numFmt w:val="bullet"/>
      <w:start w:val="1"/>
    </w:lvl>
  </w:abstractNum>
  <w:abstractNum w:abstractNumId="107">
    <w:nsid w:val="2C02FE8C"/>
    <w:multiLevelType w:val="hybridMultilevel"/>
    <w:lvl w:ilvl="0">
      <w:lvlJc w:val="left"/>
      <w:lvlText w:val="•"/>
      <w:numFmt w:val="bullet"/>
      <w:start w:val="1"/>
    </w:lvl>
  </w:abstractNum>
  <w:abstractNum w:abstractNumId="108">
    <w:nsid w:val="129517E"/>
    <w:multiLevelType w:val="hybridMultilevel"/>
    <w:lvl w:ilvl="0">
      <w:lvlJc w:val="left"/>
      <w:lvlText w:val="•"/>
      <w:numFmt w:val="bullet"/>
      <w:start w:val="1"/>
    </w:lvl>
  </w:abstractNum>
  <w:abstractNum w:abstractNumId="109">
    <w:nsid w:val="763B8C4E"/>
    <w:multiLevelType w:val="hybridMultilevel"/>
    <w:lvl w:ilvl="0">
      <w:lvlJc w:val="left"/>
      <w:lvlText w:val="•"/>
      <w:numFmt w:val="bullet"/>
      <w:start w:val="1"/>
    </w:lvl>
  </w:abstractNum>
  <w:abstractNum w:abstractNumId="110">
    <w:nsid w:val="4CFB8D32"/>
    <w:multiLevelType w:val="hybridMultilevel"/>
    <w:lvl w:ilvl="0">
      <w:lvlJc w:val="left"/>
      <w:lvlText w:val="•"/>
      <w:numFmt w:val="bullet"/>
      <w:start w:val="1"/>
    </w:lvl>
  </w:abstractNum>
  <w:abstractNum w:abstractNumId="111">
    <w:nsid w:val="62A5D5BD"/>
    <w:multiLevelType w:val="hybridMultilevel"/>
    <w:lvl w:ilvl="0">
      <w:lvlJc w:val="left"/>
      <w:lvlText w:val="•"/>
      <w:numFmt w:val="bullet"/>
      <w:start w:val="1"/>
    </w:lvl>
  </w:abstractNum>
  <w:abstractNum w:abstractNumId="112">
    <w:nsid w:val="718FABF9"/>
    <w:multiLevelType w:val="hybridMultilevel"/>
    <w:lvl w:ilvl="0">
      <w:lvlJc w:val="left"/>
      <w:lvlText w:val="•"/>
      <w:numFmt w:val="bullet"/>
      <w:start w:val="1"/>
    </w:lvl>
  </w:abstractNum>
  <w:abstractNum w:abstractNumId="113">
    <w:nsid w:val="7775797C"/>
    <w:multiLevelType w:val="hybridMultilevel"/>
    <w:lvl w:ilvl="0">
      <w:lvlJc w:val="left"/>
      <w:lvlText w:val="•"/>
      <w:numFmt w:val="bullet"/>
      <w:start w:val="1"/>
    </w:lvl>
  </w:abstractNum>
  <w:abstractNum w:abstractNumId="114">
    <w:nsid w:val="1626FB8C"/>
    <w:multiLevelType w:val="hybridMultilevel"/>
    <w:lvl w:ilvl="0">
      <w:lvlJc w:val="left"/>
      <w:lvlText w:val="•"/>
      <w:numFmt w:val="bullet"/>
      <w:start w:val="1"/>
    </w:lvl>
  </w:abstractNum>
  <w:abstractNum w:abstractNumId="115">
    <w:nsid w:val="3957756A"/>
    <w:multiLevelType w:val="hybridMultilevel"/>
    <w:lvl w:ilvl="0">
      <w:lvlJc w:val="left"/>
      <w:lvlText w:val="•"/>
      <w:numFmt w:val="bullet"/>
      <w:start w:val="1"/>
    </w:lvl>
  </w:abstractNum>
  <w:abstractNum w:abstractNumId="116">
    <w:nsid w:val="3E6DA1C7"/>
    <w:multiLevelType w:val="hybridMultilevel"/>
    <w:lvl w:ilvl="0">
      <w:lvlJc w:val="left"/>
      <w:lvlText w:val="•"/>
      <w:numFmt w:val="bullet"/>
      <w:start w:val="1"/>
    </w:lvl>
  </w:abstractNum>
  <w:abstractNum w:abstractNumId="117">
    <w:nsid w:val="65CA235B"/>
    <w:multiLevelType w:val="hybridMultilevel"/>
    <w:lvl w:ilvl="0">
      <w:lvlJc w:val="left"/>
      <w:lvlText w:val="•"/>
      <w:numFmt w:val="bullet"/>
      <w:start w:val="1"/>
    </w:lvl>
  </w:abstractNum>
  <w:abstractNum w:abstractNumId="118">
    <w:nsid w:val="51CB0DA4"/>
    <w:multiLevelType w:val="hybridMultilevel"/>
    <w:lvl w:ilvl="0">
      <w:lvlJc w:val="left"/>
      <w:lvlText w:val="•"/>
      <w:numFmt w:val="bullet"/>
      <w:start w:val="1"/>
    </w:lvl>
  </w:abstractNum>
  <w:abstractNum w:abstractNumId="119">
    <w:nsid w:val="7B9B743C"/>
    <w:multiLevelType w:val="hybridMultilevel"/>
    <w:lvl w:ilvl="0">
      <w:lvlJc w:val="left"/>
      <w:lvlText w:val="•"/>
      <w:numFmt w:val="bullet"/>
      <w:start w:val="1"/>
    </w:lvl>
  </w:abstractNum>
  <w:abstractNum w:abstractNumId="120">
    <w:nsid w:val="13E21002"/>
    <w:multiLevelType w:val="hybridMultilevel"/>
    <w:lvl w:ilvl="0">
      <w:lvlJc w:val="left"/>
      <w:lvlText w:val="•"/>
      <w:numFmt w:val="bullet"/>
      <w:start w:val="1"/>
    </w:lvl>
  </w:abstractNum>
  <w:abstractNum w:abstractNumId="121">
    <w:nsid w:val="257D63F4"/>
    <w:multiLevelType w:val="hybridMultilevel"/>
    <w:lvl w:ilvl="0">
      <w:lvlJc w:val="left"/>
      <w:lvlText w:val="•"/>
      <w:numFmt w:val="bullet"/>
      <w:start w:val="1"/>
    </w:lvl>
  </w:abstractNum>
  <w:abstractNum w:abstractNumId="122">
    <w:nsid w:val="70EC11B2"/>
    <w:multiLevelType w:val="hybridMultilevel"/>
    <w:lvl w:ilvl="0">
      <w:lvlJc w:val="left"/>
      <w:lvlText w:val="•"/>
      <w:numFmt w:val="bullet"/>
      <w:start w:val="1"/>
    </w:lvl>
  </w:abstractNum>
  <w:abstractNum w:abstractNumId="123">
    <w:nsid w:val="2EDA00ED"/>
    <w:multiLevelType w:val="hybridMultilevel"/>
    <w:lvl w:ilvl="0">
      <w:lvlJc w:val="left"/>
      <w:lvlText w:val="•"/>
      <w:numFmt w:val="bullet"/>
      <w:start w:val="1"/>
    </w:lvl>
  </w:abstractNum>
  <w:abstractNum w:abstractNumId="124">
    <w:nsid w:val="73209072"/>
    <w:multiLevelType w:val="hybridMultilevel"/>
    <w:lvl w:ilvl="0">
      <w:lvlJc w:val="left"/>
      <w:lvlText w:val="•"/>
      <w:numFmt w:val="bullet"/>
      <w:start w:val="1"/>
    </w:lvl>
  </w:abstractNum>
  <w:abstractNum w:abstractNumId="125">
    <w:nsid w:val="5FB29816"/>
    <w:multiLevelType w:val="hybridMultilevel"/>
    <w:lvl w:ilvl="0">
      <w:lvlJc w:val="left"/>
      <w:lvlText w:val="•"/>
      <w:numFmt w:val="bullet"/>
      <w:start w:val="1"/>
    </w:lvl>
  </w:abstractNum>
  <w:abstractNum w:abstractNumId="126">
    <w:nsid w:val="3CE732EC"/>
    <w:multiLevelType w:val="hybridMultilevel"/>
    <w:lvl w:ilvl="0">
      <w:lvlJc w:val="left"/>
      <w:lvlText w:val="•"/>
      <w:numFmt w:val="bullet"/>
      <w:start w:val="1"/>
    </w:lvl>
  </w:abstractNum>
  <w:abstractNum w:abstractNumId="127">
    <w:nsid w:val="22F13DF3"/>
    <w:multiLevelType w:val="hybridMultilevel"/>
    <w:lvl w:ilvl="0">
      <w:lvlJc w:val="left"/>
      <w:lvlText w:val="•"/>
      <w:numFmt w:val="bullet"/>
      <w:start w:val="1"/>
    </w:lvl>
  </w:abstractNum>
  <w:abstractNum w:abstractNumId="128">
    <w:nsid w:val="792B8401"/>
    <w:multiLevelType w:val="hybridMultilevel"/>
    <w:lvl w:ilvl="0">
      <w:lvlJc w:val="left"/>
      <w:lvlText w:val="•"/>
      <w:numFmt w:val="bullet"/>
      <w:start w:val="1"/>
    </w:lvl>
  </w:abstractNum>
  <w:abstractNum w:abstractNumId="129">
    <w:nsid w:val="FA85F4D"/>
    <w:multiLevelType w:val="hybridMultilevel"/>
    <w:lvl w:ilvl="0">
      <w:lvlJc w:val="left"/>
      <w:lvlText w:val="•"/>
      <w:numFmt w:val="bullet"/>
      <w:start w:val="1"/>
    </w:lvl>
  </w:abstractNum>
  <w:abstractNum w:abstractNumId="130">
    <w:nsid w:val="6ECE91F0"/>
    <w:multiLevelType w:val="hybridMultilevel"/>
    <w:lvl w:ilvl="0">
      <w:lvlJc w:val="left"/>
      <w:lvlText w:val="(%1)"/>
      <w:numFmt w:val="lowerRoman"/>
      <w:start w:val="2"/>
    </w:lvl>
  </w:abstractNum>
  <w:abstractNum w:abstractNumId="131">
    <w:nsid w:val="4FC4D600"/>
    <w:multiLevelType w:val="hybridMultilevel"/>
    <w:lvl w:ilvl="0">
      <w:lvlJc w:val="left"/>
      <w:lvlText w:val="•"/>
      <w:numFmt w:val="bullet"/>
      <w:start w:val="1"/>
    </w:lvl>
  </w:abstractNum>
  <w:abstractNum w:abstractNumId="132">
    <w:nsid w:val="5BFD4210"/>
    <w:multiLevelType w:val="hybridMultilevel"/>
    <w:lvl w:ilvl="0">
      <w:lvlJc w:val="left"/>
      <w:lvlText w:val="•"/>
      <w:numFmt w:val="bullet"/>
      <w:start w:val="1"/>
    </w:lvl>
  </w:abstractNum>
  <w:abstractNum w:abstractNumId="133">
    <w:nsid w:val="76574F8B"/>
    <w:multiLevelType w:val="hybridMultilevel"/>
    <w:lvl w:ilvl="0">
      <w:lvlJc w:val="left"/>
      <w:lvlText w:val="•"/>
      <w:numFmt w:val="bullet"/>
      <w:start w:val="1"/>
    </w:lvl>
  </w:abstractNum>
  <w:abstractNum w:abstractNumId="134">
    <w:nsid w:val="178F7B67"/>
    <w:multiLevelType w:val="hybridMultilevel"/>
    <w:lvl w:ilvl="0">
      <w:lvlJc w:val="left"/>
      <w:lvlText w:val="•"/>
      <w:numFmt w:val="bullet"/>
      <w:start w:val="1"/>
    </w:lvl>
  </w:abstractNum>
  <w:abstractNum w:abstractNumId="135">
    <w:nsid w:val="2421DFCF"/>
    <w:multiLevelType w:val="hybridMultilevel"/>
    <w:lvl w:ilvl="0">
      <w:lvlJc w:val="left"/>
      <w:lvlText w:val="•"/>
      <w:numFmt w:val="bullet"/>
      <w:start w:val="1"/>
    </w:lvl>
  </w:abstractNum>
  <w:abstractNum w:abstractNumId="136">
    <w:nsid w:val="1565AC99"/>
    <w:multiLevelType w:val="hybridMultilevel"/>
    <w:lvl w:ilvl="0">
      <w:lvlJc w:val="left"/>
      <w:lvlText w:val="•"/>
      <w:numFmt w:val="bullet"/>
      <w:start w:val="1"/>
    </w:lvl>
  </w:abstractNum>
  <w:abstractNum w:abstractNumId="137">
    <w:nsid w:val="19FB2650"/>
    <w:multiLevelType w:val="hybridMultilevel"/>
    <w:lvl w:ilvl="0">
      <w:lvlJc w:val="left"/>
      <w:lvlText w:val="•"/>
      <w:numFmt w:val="bullet"/>
      <w:start w:val="1"/>
    </w:lvl>
  </w:abstractNum>
  <w:abstractNum w:abstractNumId="138">
    <w:nsid w:val="5024DE5B"/>
    <w:multiLevelType w:val="hybridMultilevel"/>
    <w:lvl w:ilvl="0">
      <w:lvlJc w:val="left"/>
      <w:lvlText w:val="•"/>
      <w:numFmt w:val="bullet"/>
      <w:start w:val="1"/>
    </w:lvl>
  </w:abstractNum>
  <w:abstractNum w:abstractNumId="139">
    <w:nsid w:val="168EFE17"/>
    <w:multiLevelType w:val="hybridMultilevel"/>
    <w:lvl w:ilvl="0">
      <w:lvlJc w:val="left"/>
      <w:lvlText w:val="•"/>
      <w:numFmt w:val="bullet"/>
      <w:start w:val="1"/>
    </w:lvl>
  </w:abstractNum>
  <w:abstractNum w:abstractNumId="140">
    <w:nsid w:val="1036B29F"/>
    <w:multiLevelType w:val="hybridMultilevel"/>
    <w:lvl w:ilvl="0">
      <w:lvlJc w:val="left"/>
      <w:lvlText w:val="•"/>
      <w:numFmt w:val="bullet"/>
      <w:start w:val="1"/>
    </w:lvl>
  </w:abstractNum>
  <w:abstractNum w:abstractNumId="141">
    <w:nsid w:val="1D206B8E"/>
    <w:multiLevelType w:val="hybridMultilevel"/>
    <w:lvl w:ilvl="0">
      <w:lvlJc w:val="left"/>
      <w:lvlText w:val="•"/>
      <w:numFmt w:val="bullet"/>
      <w:start w:val="1"/>
    </w:lvl>
  </w:abstractNum>
  <w:abstractNum w:abstractNumId="142">
    <w:nsid w:val="7934D3D4"/>
    <w:multiLevelType w:val="hybridMultilevel"/>
    <w:lvl w:ilvl="0">
      <w:lvlJc w:val="left"/>
      <w:lvlText w:val="•"/>
      <w:numFmt w:val="bullet"/>
      <w:start w:val="1"/>
    </w:lvl>
  </w:abstractNum>
  <w:abstractNum w:abstractNumId="143">
    <w:nsid w:val="1C65E98"/>
    <w:multiLevelType w:val="hybridMultilevel"/>
    <w:lvl w:ilvl="0">
      <w:lvlJc w:val="left"/>
      <w:lvlText w:val="•"/>
      <w:numFmt w:val="bullet"/>
      <w:start w:val="1"/>
    </w:lvl>
  </w:abstractNum>
  <w:abstractNum w:abstractNumId="144">
    <w:nsid w:val="1495E50A"/>
    <w:multiLevelType w:val="hybridMultilevel"/>
    <w:lvl w:ilvl="0">
      <w:lvlJc w:val="left"/>
      <w:lvlText w:val="•"/>
      <w:numFmt w:val="bullet"/>
      <w:start w:val="1"/>
    </w:lvl>
  </w:abstractNum>
  <w:abstractNum w:abstractNumId="145">
    <w:nsid w:val="F5BCF61"/>
    <w:multiLevelType w:val="hybridMultilevel"/>
    <w:lvl w:ilvl="0">
      <w:lvlJc w:val="left"/>
      <w:lvlText w:val="•"/>
      <w:numFmt w:val="bullet"/>
      <w:start w:val="1"/>
    </w:lvl>
  </w:abstractNum>
  <w:abstractNum w:abstractNumId="146">
    <w:nsid w:val="3B1DD403"/>
    <w:multiLevelType w:val="hybridMultilevel"/>
    <w:lvl w:ilvl="0">
      <w:lvlJc w:val="left"/>
      <w:lvlText w:val="•"/>
      <w:numFmt w:val="bullet"/>
      <w:start w:val="1"/>
    </w:lvl>
  </w:abstractNum>
  <w:abstractNum w:abstractNumId="147">
    <w:nsid w:val="530386D1"/>
    <w:multiLevelType w:val="hybridMultilevel"/>
    <w:lvl w:ilvl="0">
      <w:lvlJc w:val="left"/>
      <w:lvlText w:val="(%1)"/>
      <w:numFmt w:val="lowerLetter"/>
      <w:start w:val="1"/>
    </w:lvl>
  </w:abstractNum>
  <w:abstractNum w:abstractNumId="148">
    <w:nsid w:val="7525F2BC"/>
    <w:multiLevelType w:val="hybridMultilevel"/>
    <w:lvl w:ilvl="0">
      <w:lvlJc w:val="left"/>
      <w:lvlText w:val="(%1)"/>
      <w:numFmt w:val="upperLetter"/>
      <w:start w:val="1"/>
    </w:lvl>
  </w:abstractNum>
  <w:abstractNum w:abstractNumId="149">
    <w:nsid w:val="CE8E1A7"/>
    <w:multiLevelType w:val="hybridMultilevel"/>
    <w:lvl w:ilvl="0">
      <w:lvlJc w:val="left"/>
      <w:lvlText w:val="•"/>
      <w:numFmt w:val="bullet"/>
      <w:start w:val="1"/>
    </w:lvl>
  </w:abstractNum>
  <w:abstractNum w:abstractNumId="150">
    <w:nsid w:val="4E9EFB0D"/>
    <w:multiLevelType w:val="hybridMultilevel"/>
    <w:lvl w:ilvl="0">
      <w:lvlJc w:val="left"/>
      <w:lvlText w:val="•"/>
      <w:numFmt w:val="bullet"/>
      <w:start w:val="1"/>
    </w:lvl>
  </w:abstractNum>
  <w:abstractNum w:abstractNumId="151">
    <w:nsid w:val="90802BE"/>
    <w:multiLevelType w:val="hybridMultilevel"/>
    <w:lvl w:ilvl="0">
      <w:lvlJc w:val="left"/>
      <w:lvlText w:val="%1)"/>
      <w:numFmt w:val="lowerLetter"/>
      <w:start w:val="1"/>
    </w:lvl>
  </w:abstractNum>
  <w:abstractNum w:abstractNumId="152">
    <w:nsid w:val="3266459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3">
    <w:nsid w:val="3F8B0CBF"/>
    <w:multiLevelType w:val="hybridMultilevel"/>
    <w:lvl w:ilvl="0">
      <w:lvlJc w:val="left"/>
      <w:lvlText w:val="%1)"/>
      <w:numFmt w:val="lowerLetter"/>
      <w:start w:val="6"/>
    </w:lvl>
  </w:abstractNum>
  <w:abstractNum w:abstractNumId="154">
    <w:nsid w:val="37E203AB"/>
    <w:multiLevelType w:val="hybridMultilevel"/>
    <w:lvl w:ilvl="0">
      <w:lvlJc w:val="left"/>
      <w:lvlText w:val="%1)"/>
      <w:numFmt w:val="lowerLetter"/>
      <w:start w:val="7"/>
    </w:lvl>
  </w:abstractNum>
  <w:abstractNum w:abstractNumId="155">
    <w:nsid w:val="2586D60E"/>
    <w:multiLevelType w:val="hybridMultilevel"/>
    <w:lvl w:ilvl="0">
      <w:lvlJc w:val="left"/>
      <w:lvlText w:val="(%1)"/>
      <w:numFmt w:val="decimal"/>
      <w:start w:val="1"/>
    </w:lvl>
  </w:abstractNum>
  <w:abstractNum w:abstractNumId="156">
    <w:nsid w:val="1F3DA4D5"/>
    <w:multiLevelType w:val="hybridMultilevel"/>
    <w:lvl w:ilvl="0">
      <w:lvlJc w:val="left"/>
      <w:lvlText w:val="(%1)"/>
      <w:numFmt w:val="decimal"/>
      <w:start w:val="2"/>
    </w:lvl>
  </w:abstractNum>
  <w:abstractNum w:abstractNumId="157">
    <w:nsid w:val="74C93698"/>
    <w:multiLevelType w:val="hybridMultilevel"/>
    <w:lvl w:ilvl="0">
      <w:lvlJc w:val="left"/>
      <w:lvlText w:val="(%1)"/>
      <w:numFmt w:val="lowerRoman"/>
      <w:start w:val="2"/>
    </w:lvl>
  </w:abstractNum>
  <w:abstractNum w:abstractNumId="158">
    <w:nsid w:val="48781401"/>
    <w:multiLevelType w:val="hybridMultilevel"/>
    <w:lvl w:ilvl="0">
      <w:lvlJc w:val="left"/>
      <w:lvlText w:val="•"/>
      <w:numFmt w:val="bullet"/>
      <w:start w:val="1"/>
    </w:lvl>
  </w:abstractNum>
  <w:abstractNum w:abstractNumId="159">
    <w:nsid w:val="186928D6"/>
    <w:multiLevelType w:val="hybridMultilevel"/>
    <w:lvl w:ilvl="0">
      <w:lvlJc w:val="left"/>
      <w:lvlText w:val="•"/>
      <w:numFmt w:val="bullet"/>
      <w:start w:val="1"/>
    </w:lvl>
  </w:abstractNum>
  <w:abstractNum w:abstractNumId="160">
    <w:nsid w:val="47195E5"/>
    <w:multiLevelType w:val="hybridMultilevel"/>
    <w:lvl w:ilvl="0">
      <w:lvlJc w:val="left"/>
      <w:lvlText w:val="•"/>
      <w:numFmt w:val="bullet"/>
      <w:start w:val="1"/>
    </w:lvl>
  </w:abstractNum>
  <w:abstractNum w:abstractNumId="161">
    <w:nsid w:val="3746A5F2"/>
    <w:multiLevelType w:val="hybridMultilevel"/>
    <w:lvl w:ilvl="0">
      <w:lvlJc w:val="left"/>
      <w:lvlText w:val="•"/>
      <w:numFmt w:val="bullet"/>
      <w:start w:val="1"/>
    </w:lvl>
  </w:abstractNum>
  <w:abstractNum w:abstractNumId="162">
    <w:nsid w:val="682DFED6"/>
    <w:multiLevelType w:val="hybridMultilevel"/>
    <w:lvl w:ilvl="0">
      <w:lvlJc w:val="left"/>
      <w:lvlText w:val="•"/>
      <w:numFmt w:val="bullet"/>
      <w:start w:val="1"/>
    </w:lvl>
  </w:abstractNum>
  <w:abstractNum w:abstractNumId="163">
    <w:nsid w:val="606ED7F6"/>
    <w:multiLevelType w:val="hybridMultilevel"/>
    <w:lvl w:ilvl="0">
      <w:lvlJc w:val="left"/>
      <w:lvlText w:val="•"/>
      <w:numFmt w:val="bullet"/>
      <w:start w:val="1"/>
    </w:lvl>
  </w:abstractNum>
  <w:abstractNum w:abstractNumId="164">
    <w:nsid w:val="2D9DF57D"/>
    <w:multiLevelType w:val="hybridMultilevel"/>
    <w:lvl w:ilvl="0">
      <w:lvlJc w:val="left"/>
      <w:lvlText w:val="•"/>
      <w:numFmt w:val="bullet"/>
      <w:start w:val="1"/>
    </w:lvl>
  </w:abstractNum>
  <w:abstractNum w:abstractNumId="165">
    <w:nsid w:val="7FBD7A3E"/>
    <w:multiLevelType w:val="hybridMultilevel"/>
    <w:lvl w:ilvl="0">
      <w:lvlJc w:val="left"/>
      <w:lvlText w:val="•"/>
      <w:numFmt w:val="bullet"/>
      <w:start w:val="1"/>
    </w:lvl>
  </w:abstractNum>
  <w:abstractNum w:abstractNumId="166">
    <w:nsid w:val="490B7C5"/>
    <w:multiLevelType w:val="hybridMultilevel"/>
    <w:lvl w:ilvl="0">
      <w:lvlJc w:val="left"/>
      <w:lvlText w:val="•"/>
      <w:numFmt w:val="bullet"/>
      <w:start w:val="1"/>
    </w:lvl>
  </w:abstractNum>
  <w:abstractNum w:abstractNumId="167">
    <w:nsid w:val="4303A216"/>
    <w:multiLevelType w:val="hybridMultilevel"/>
    <w:lvl w:ilvl="0">
      <w:lvlJc w:val="left"/>
      <w:lvlText w:val="•"/>
      <w:numFmt w:val="bullet"/>
      <w:start w:val="1"/>
    </w:lvl>
  </w:abstractNum>
  <w:abstractNum w:abstractNumId="168">
    <w:nsid w:val="19B8A08E"/>
    <w:multiLevelType w:val="hybridMultilevel"/>
    <w:lvl w:ilvl="0">
      <w:lvlJc w:val="left"/>
      <w:lvlText w:val="•"/>
      <w:numFmt w:val="bullet"/>
      <w:start w:val="1"/>
    </w:lvl>
  </w:abstractNum>
  <w:abstractNum w:abstractNumId="169">
    <w:nsid w:val="54B59621"/>
    <w:multiLevelType w:val="hybridMultilevel"/>
    <w:lvl w:ilvl="0">
      <w:lvlJc w:val="left"/>
      <w:lvlText w:val="•"/>
      <w:numFmt w:val="bullet"/>
      <w:start w:val="1"/>
    </w:lvl>
  </w:abstractNum>
  <w:abstractNum w:abstractNumId="170">
    <w:nsid w:val="5992A02E"/>
    <w:multiLevelType w:val="hybridMultilevel"/>
    <w:lvl w:ilvl="0">
      <w:lvlJc w:val="left"/>
      <w:lvlText w:val="(%1)"/>
      <w:numFmt w:val="lowerRoman"/>
      <w:start w:val="3"/>
    </w:lvl>
  </w:abstractNum>
  <w:abstractNum w:abstractNumId="171">
    <w:nsid w:val="29EF532D"/>
    <w:multiLevelType w:val="hybridMultilevel"/>
    <w:lvl w:ilvl="0">
      <w:lvlJc w:val="left"/>
      <w:lvlText w:val="•"/>
      <w:numFmt w:val="bullet"/>
      <w:start w:val="1"/>
    </w:lvl>
  </w:abstractNum>
  <w:abstractNum w:abstractNumId="172">
    <w:nsid w:val="71D601AF"/>
    <w:multiLevelType w:val="hybridMultilevel"/>
    <w:lvl w:ilvl="0">
      <w:lvlJc w:val="left"/>
      <w:lvlText w:val="•"/>
      <w:numFmt w:val="bullet"/>
      <w:start w:val="1"/>
    </w:lvl>
  </w:abstractNum>
  <w:abstractNum w:abstractNumId="173">
    <w:nsid w:val="52C77402"/>
    <w:multiLevelType w:val="hybridMultilevel"/>
    <w:lvl w:ilvl="0">
      <w:lvlJc w:val="left"/>
      <w:lvlText w:val="•"/>
      <w:numFmt w:val="bullet"/>
      <w:start w:val="1"/>
    </w:lvl>
  </w:abstractNum>
  <w:abstractNum w:abstractNumId="174">
    <w:nsid w:val="2BB5B1C6"/>
    <w:multiLevelType w:val="hybridMultilevel"/>
    <w:lvl w:ilvl="0">
      <w:lvlJc w:val="left"/>
      <w:lvlText w:val="•"/>
      <w:numFmt w:val="bullet"/>
      <w:start w:val="1"/>
    </w:lvl>
  </w:abstractNum>
  <w:abstractNum w:abstractNumId="175">
    <w:nsid w:val="66BE6B9"/>
    <w:multiLevelType w:val="hybridMultilevel"/>
    <w:lvl w:ilvl="0">
      <w:lvlJc w:val="left"/>
      <w:lvlText w:val="•"/>
      <w:numFmt w:val="bullet"/>
      <w:start w:val="1"/>
    </w:lvl>
  </w:abstractNum>
  <w:abstractNum w:abstractNumId="176">
    <w:nsid w:val="62234363"/>
    <w:multiLevelType w:val="hybridMultilevel"/>
    <w:lvl w:ilvl="0">
      <w:lvlJc w:val="left"/>
      <w:lvlText w:val="•"/>
      <w:numFmt w:val="bullet"/>
      <w:start w:val="1"/>
    </w:lvl>
  </w:abstractNum>
  <w:abstractNum w:abstractNumId="177">
    <w:nsid w:val="66D385C9"/>
    <w:multiLevelType w:val="hybridMultilevel"/>
    <w:lvl w:ilvl="0">
      <w:lvlJc w:val="left"/>
      <w:lvlText w:val="•"/>
      <w:numFmt w:val="bullet"/>
      <w:start w:val="1"/>
    </w:lvl>
  </w:abstractNum>
  <w:abstractNum w:abstractNumId="178">
    <w:nsid w:val="596F6D8A"/>
    <w:multiLevelType w:val="hybridMultilevel"/>
    <w:lvl w:ilvl="0">
      <w:lvlJc w:val="left"/>
      <w:lvlText w:val="(%1)"/>
      <w:numFmt w:val="lowerLetter"/>
      <w:start w:val="1"/>
    </w:lvl>
  </w:abstractNum>
  <w:abstractNum w:abstractNumId="179">
    <w:nsid w:val="5749361F"/>
    <w:multiLevelType w:val="hybridMultilevel"/>
    <w:lvl w:ilvl="0">
      <w:lvlJc w:val="left"/>
      <w:lvlText w:val="•"/>
      <w:numFmt w:val="bullet"/>
      <w:start w:val="1"/>
    </w:lvl>
  </w:abstractNum>
  <w:abstractNum w:abstractNumId="180">
    <w:nsid w:val="73BC6770"/>
    <w:multiLevelType w:val="hybridMultilevel"/>
    <w:lvl w:ilvl="0">
      <w:lvlJc w:val="left"/>
      <w:lvlText w:val="•"/>
      <w:numFmt w:val="bullet"/>
      <w:start w:val="1"/>
    </w:lvl>
  </w:abstractNum>
  <w:abstractNum w:abstractNumId="181">
    <w:nsid w:val="280E6897"/>
    <w:multiLevelType w:val="hybridMultilevel"/>
    <w:lvl w:ilvl="0">
      <w:lvlJc w:val="left"/>
      <w:lvlText w:val="•"/>
      <w:numFmt w:val="bullet"/>
      <w:start w:val="1"/>
    </w:lvl>
  </w:abstractNum>
  <w:abstractNum w:abstractNumId="182">
    <w:nsid w:val="605138DE"/>
    <w:multiLevelType w:val="hybridMultilevel"/>
    <w:lvl w:ilvl="0">
      <w:lvlJc w:val="left"/>
      <w:lvlText w:val="•"/>
      <w:numFmt w:val="bullet"/>
      <w:start w:val="1"/>
    </w:lvl>
  </w:abstractNum>
  <w:abstractNum w:abstractNumId="183">
    <w:nsid w:val="2622AD0C"/>
    <w:multiLevelType w:val="hybridMultilevel"/>
    <w:lvl w:ilvl="0">
      <w:lvlJc w:val="left"/>
      <w:lvlText w:val="•"/>
      <w:numFmt w:val="bullet"/>
      <w:start w:val="1"/>
    </w:lvl>
  </w:abstractNum>
  <w:abstractNum w:abstractNumId="184">
    <w:nsid w:val="67997556"/>
    <w:multiLevelType w:val="hybridMultilevel"/>
    <w:lvl w:ilvl="0">
      <w:lvlJc w:val="left"/>
      <w:lvlText w:val="•"/>
      <w:numFmt w:val="bullet"/>
      <w:start w:val="1"/>
    </w:lvl>
  </w:abstractNum>
  <w:abstractNum w:abstractNumId="185">
    <w:nsid w:val="18333C89"/>
    <w:multiLevelType w:val="hybridMultilevel"/>
    <w:lvl w:ilvl="0">
      <w:lvlJc w:val="left"/>
      <w:lvlText w:val="(%1)"/>
      <w:numFmt w:val="lowerRoman"/>
      <w:start w:val="2"/>
    </w:lvl>
  </w:abstractNum>
  <w:abstractNum w:abstractNumId="186">
    <w:nsid w:val="4BA9831A"/>
    <w:multiLevelType w:val="hybridMultilevel"/>
    <w:lvl w:ilvl="0">
      <w:lvlJc w:val="left"/>
      <w:lvlText w:val="•"/>
      <w:numFmt w:val="bullet"/>
      <w:start w:val="1"/>
    </w:lvl>
  </w:abstractNum>
  <w:abstractNum w:abstractNumId="187">
    <w:nsid w:val="6D71A2B"/>
    <w:multiLevelType w:val="hybridMultilevel"/>
    <w:lvl w:ilvl="0">
      <w:lvlJc w:val="left"/>
      <w:lvlText w:val="•"/>
      <w:numFmt w:val="bullet"/>
      <w:start w:val="1"/>
    </w:lvl>
  </w:abstractNum>
  <w:abstractNum w:abstractNumId="188">
    <w:nsid w:val="CFC7321"/>
    <w:multiLevelType w:val="hybridMultilevel"/>
    <w:lvl w:ilvl="0">
      <w:lvlJc w:val="left"/>
      <w:lvlText w:val="•"/>
      <w:numFmt w:val="bullet"/>
      <w:start w:val="1"/>
    </w:lvl>
  </w:abstractNum>
  <w:abstractNum w:abstractNumId="189">
    <w:nsid w:val="1421971B"/>
    <w:multiLevelType w:val="hybridMultilevel"/>
    <w:lvl w:ilvl="0">
      <w:lvlJc w:val="left"/>
      <w:lvlText w:val="(%1)"/>
      <w:numFmt w:val="decimal"/>
      <w:start w:val="1"/>
    </w:lvl>
  </w:abstractNum>
  <w:abstractNum w:abstractNumId="190">
    <w:nsid w:val="1F404301"/>
    <w:multiLevelType w:val="hybridMultilevel"/>
    <w:lvl w:ilvl="0">
      <w:lvlJc w:val="left"/>
      <w:lvlText w:val="(%1)"/>
      <w:numFmt w:val="lowerRoman"/>
      <w:start w:val="2"/>
    </w:lvl>
  </w:abstractNum>
  <w:abstractNum w:abstractNumId="191">
    <w:nsid w:val="116E0907"/>
    <w:multiLevelType w:val="hybridMultilevel"/>
    <w:lvl w:ilvl="0">
      <w:lvlJc w:val="left"/>
      <w:lvlText w:val="(%1)"/>
      <w:numFmt w:val="decimal"/>
      <w:start w:val="1"/>
    </w:lvl>
  </w:abstractNum>
  <w:abstractNum w:abstractNumId="192">
    <w:nsid w:val="4B683D0D"/>
    <w:multiLevelType w:val="hybridMultilevel"/>
    <w:lvl w:ilvl="0">
      <w:lvlJc w:val="left"/>
      <w:lvlText w:val="(%1)"/>
      <w:numFmt w:val="decimal"/>
      <w:start w:val="1"/>
    </w:lvl>
  </w:abstractNum>
  <w:abstractNum w:abstractNumId="193">
    <w:nsid w:val="76E41D8"/>
    <w:multiLevelType w:val="hybridMultilevel"/>
    <w:lvl w:ilvl="0">
      <w:lvlJc w:val="left"/>
      <w:lvlText w:val="(%1)"/>
      <w:numFmt w:val="decimal"/>
      <w:start w:val="1"/>
    </w:lvl>
  </w:abstractNum>
  <w:abstractNum w:abstractNumId="194">
    <w:nsid w:val="71DCE0FD"/>
    <w:multiLevelType w:val="hybridMultilevel"/>
    <w:lvl w:ilvl="0">
      <w:lvlJc w:val="left"/>
      <w:lvlText w:val="•"/>
      <w:numFmt w:val="bullet"/>
      <w:start w:val="1"/>
    </w:lvl>
  </w:abstractNum>
  <w:abstractNum w:abstractNumId="195">
    <w:nsid w:val="7906328B"/>
    <w:multiLevelType w:val="hybridMultilevel"/>
    <w:lvl w:ilvl="0">
      <w:lvlJc w:val="left"/>
      <w:lvlText w:val="•"/>
      <w:numFmt w:val="bullet"/>
      <w:start w:val="1"/>
    </w:lvl>
  </w:abstractNum>
  <w:abstractNum w:abstractNumId="196">
    <w:nsid w:val="72BBC16"/>
    <w:multiLevelType w:val="hybridMultilevel"/>
    <w:lvl w:ilvl="0">
      <w:lvlJc w:val="left"/>
      <w:lvlText w:val="•"/>
      <w:numFmt w:val="bullet"/>
      <w:start w:val="1"/>
    </w:lvl>
  </w:abstractNum>
  <w:abstractNum w:abstractNumId="197">
    <w:nsid w:val="766D98C2"/>
    <w:multiLevelType w:val="hybridMultilevel"/>
    <w:lvl w:ilvl="0">
      <w:lvlJc w:val="left"/>
      <w:lvlText w:val="•"/>
      <w:numFmt w:val="bullet"/>
      <w:start w:val="1"/>
    </w:lvl>
  </w:abstractNum>
  <w:abstractNum w:abstractNumId="198">
    <w:nsid w:val="3C09D4A1"/>
    <w:multiLevelType w:val="hybridMultilevel"/>
    <w:lvl w:ilvl="0">
      <w:lvlJc w:val="left"/>
      <w:lvlText w:val="•"/>
      <w:numFmt w:val="bullet"/>
      <w:start w:val="1"/>
    </w:lvl>
  </w:abstractNum>
  <w:abstractNum w:abstractNumId="199">
    <w:nsid w:val="20E45CA4"/>
    <w:multiLevelType w:val="hybridMultilevel"/>
    <w:lvl w:ilvl="0">
      <w:lvlJc w:val="left"/>
      <w:lvlText w:val="•"/>
      <w:numFmt w:val="bullet"/>
      <w:start w:val="1"/>
    </w:lvl>
  </w:abstractNum>
  <w:abstractNum w:abstractNumId="200">
    <w:nsid w:val="4B232EE3"/>
    <w:multiLevelType w:val="hybridMultilevel"/>
    <w:lvl w:ilvl="0">
      <w:lvlJc w:val="left"/>
      <w:lvlText w:val="•"/>
      <w:numFmt w:val="bullet"/>
      <w:start w:val="1"/>
    </w:lvl>
  </w:abstractNum>
  <w:abstractNum w:abstractNumId="201">
    <w:nsid w:val="159C74CF"/>
    <w:multiLevelType w:val="hybridMultilevel"/>
    <w:lvl w:ilvl="0">
      <w:lvlJc w:val="left"/>
      <w:lvlText w:val="•"/>
      <w:numFmt w:val="bullet"/>
      <w:start w:val="1"/>
    </w:lvl>
  </w:abstractNum>
  <w:abstractNum w:abstractNumId="202">
    <w:nsid w:val="4AD3AFD2"/>
    <w:multiLevelType w:val="hybridMultilevel"/>
    <w:lvl w:ilvl="0">
      <w:lvlJc w:val="left"/>
      <w:lvlText w:val="•"/>
      <w:numFmt w:val="bullet"/>
      <w:start w:val="1"/>
    </w:lvl>
  </w:abstractNum>
  <w:abstractNum w:abstractNumId="203">
    <w:nsid w:val="3CF93092"/>
    <w:multiLevelType w:val="hybridMultilevel"/>
    <w:lvl w:ilvl="0">
      <w:lvlJc w:val="left"/>
      <w:lvlText w:val="•"/>
      <w:numFmt w:val="bullet"/>
      <w:start w:val="1"/>
    </w:lvl>
  </w:abstractNum>
  <w:abstractNum w:abstractNumId="204">
    <w:nsid w:val="6863E8D2"/>
    <w:multiLevelType w:val="hybridMultilevel"/>
    <w:lvl w:ilvl="0">
      <w:lvlJc w:val="left"/>
      <w:lvlText w:val="•"/>
      <w:numFmt w:val="bullet"/>
      <w:start w:val="1"/>
    </w:lvl>
  </w:abstractNum>
  <w:abstractNum w:abstractNumId="205">
    <w:nsid w:val="76896198"/>
    <w:multiLevelType w:val="hybridMultilevel"/>
    <w:lvl w:ilvl="0">
      <w:lvlJc w:val="left"/>
      <w:lvlText w:val="•"/>
      <w:numFmt w:val="bullet"/>
      <w:start w:val="1"/>
    </w:lvl>
  </w:abstractNum>
  <w:abstractNum w:abstractNumId="206">
    <w:nsid w:val="4365174B"/>
    <w:multiLevelType w:val="hybridMultilevel"/>
    <w:lvl w:ilvl="0">
      <w:lvlJc w:val="left"/>
      <w:lvlText w:val="(%1)"/>
      <w:numFmt w:val="lowerRoman"/>
      <w:start w:val="1"/>
    </w:lvl>
  </w:abstractNum>
  <w:abstractNum w:abstractNumId="207">
    <w:nsid w:val="4A872C35"/>
    <w:multiLevelType w:val="hybridMultilevel"/>
    <w:lvl w:ilvl="0">
      <w:lvlJc w:val="left"/>
      <w:lvlText w:val="•"/>
      <w:numFmt w:val="bullet"/>
      <w:start w:val="1"/>
    </w:lvl>
  </w:abstractNum>
  <w:abstractNum w:abstractNumId="208">
    <w:nsid w:val="5D5CE761"/>
    <w:multiLevelType w:val="hybridMultilevel"/>
    <w:lvl w:ilvl="0">
      <w:lvlJc w:val="left"/>
      <w:lvlText w:val="•"/>
      <w:numFmt w:val="bullet"/>
      <w:start w:val="1"/>
    </w:lvl>
  </w:abstractNum>
  <w:abstractNum w:abstractNumId="209">
    <w:nsid w:val="1CD484D5"/>
    <w:multiLevelType w:val="hybridMultilevel"/>
    <w:lvl w:ilvl="0">
      <w:lvlJc w:val="left"/>
      <w:lvlText w:val="•"/>
      <w:numFmt w:val="bullet"/>
      <w:start w:val="1"/>
    </w:lvl>
  </w:abstractNum>
  <w:abstractNum w:abstractNumId="210">
    <w:nsid w:val="21D06255"/>
    <w:multiLevelType w:val="hybridMultilevel"/>
    <w:lvl w:ilvl="0">
      <w:lvlJc w:val="left"/>
      <w:lvlText w:val="(%1)"/>
      <w:numFmt w:val="decimal"/>
      <w:start w:val="1"/>
    </w:lvl>
  </w:abstractNum>
  <w:abstractNum w:abstractNumId="211">
    <w:nsid w:val="51194ED1"/>
    <w:multiLevelType w:val="hybridMultilevel"/>
    <w:lvl w:ilvl="0">
      <w:lvlJc w:val="left"/>
      <w:lvlText w:val="(%1)"/>
      <w:numFmt w:val="lowerRoman"/>
      <w:start w:val="1"/>
    </w:lvl>
  </w:abstractNum>
  <w:abstractNum w:abstractNumId="212">
    <w:nsid w:val="44E2ED6C"/>
    <w:multiLevelType w:val="hybridMultilevel"/>
    <w:lvl w:ilvl="0">
      <w:lvlJc w:val="left"/>
      <w:lvlText w:val="(%1)"/>
      <w:numFmt w:val="lowerRoman"/>
      <w:start w:val="2"/>
    </w:lvl>
  </w:abstractNum>
  <w:abstractNum w:abstractNumId="213">
    <w:nsid w:val="2219B33"/>
    <w:multiLevelType w:val="hybridMultilevel"/>
    <w:lvl w:ilvl="0">
      <w:lvlJc w:val="left"/>
      <w:lvlText w:val="•"/>
      <w:numFmt w:val="bullet"/>
      <w:start w:val="1"/>
    </w:lvl>
  </w:abstractNum>
  <w:abstractNum w:abstractNumId="214">
    <w:nsid w:val="773BFBDD"/>
    <w:multiLevelType w:val="hybridMultilevel"/>
    <w:lvl w:ilvl="0">
      <w:lvlJc w:val="left"/>
      <w:lvlText w:val="•"/>
      <w:numFmt w:val="bullet"/>
      <w:start w:val="1"/>
    </w:lvl>
  </w:abstractNum>
  <w:abstractNum w:abstractNumId="215">
    <w:nsid w:val="2C7C62C2"/>
    <w:multiLevelType w:val="hybridMultilevel"/>
    <w:lvl w:ilvl="0">
      <w:lvlJc w:val="left"/>
      <w:lvlText w:val="•"/>
      <w:numFmt w:val="bullet"/>
      <w:start w:val="1"/>
    </w:lvl>
  </w:abstractNum>
  <w:abstractNum w:abstractNumId="216">
    <w:nsid w:val="1A54D7BC"/>
    <w:multiLevelType w:val="hybridMultilevel"/>
    <w:lvl w:ilvl="0">
      <w:lvlJc w:val="left"/>
      <w:lvlText w:val="•"/>
      <w:numFmt w:val="bullet"/>
      <w:start w:val="1"/>
    </w:lvl>
  </w:abstractNum>
  <w:abstractNum w:abstractNumId="217">
    <w:nsid w:val="42E57EF7"/>
    <w:multiLevelType w:val="hybridMultilevel"/>
    <w:lvl w:ilvl="0">
      <w:lvlJc w:val="left"/>
      <w:lvlText w:val="(%1)"/>
      <w:numFmt w:val="lowerLetter"/>
      <w:start w:val="1"/>
    </w:lvl>
  </w:abstractNum>
  <w:abstractNum w:abstractNumId="218">
    <w:nsid w:val="33537CED"/>
    <w:multiLevelType w:val="hybridMultilevel"/>
    <w:lvl w:ilvl="0">
      <w:lvlJc w:val="left"/>
      <w:lvlText w:val="(%1)"/>
      <w:numFmt w:val="lowerRoman"/>
      <w:start w:val="1"/>
    </w:lvl>
  </w:abstractNum>
  <w:abstractNum w:abstractNumId="219">
    <w:nsid w:val="27514ADE"/>
    <w:multiLevelType w:val="hybridMultilevel"/>
    <w:lvl w:ilvl="0">
      <w:lvlJc w:val="left"/>
      <w:lvlText w:val="(%1)"/>
      <w:numFmt w:val="lowerRoman"/>
      <w:start w:val="2"/>
    </w:lvl>
  </w:abstractNum>
  <w:abstractNum w:abstractNumId="220">
    <w:nsid w:val="57071613"/>
    <w:multiLevelType w:val="hybridMultilevel"/>
    <w:lvl w:ilvl="0">
      <w:lvlJc w:val="left"/>
      <w:lvlText w:val="(%1)"/>
      <w:numFmt w:val="lowerRoman"/>
      <w:start w:val="2"/>
    </w:lvl>
  </w:abstractNum>
  <w:abstractNum w:abstractNumId="221">
    <w:nsid w:val="5293BFEF"/>
    <w:multiLevelType w:val="hybridMultilevel"/>
    <w:lvl w:ilvl="0">
      <w:lvlJc w:val="left"/>
      <w:lvlText w:val="•"/>
      <w:numFmt w:val="bullet"/>
      <w:start w:val="1"/>
    </w:lvl>
  </w:abstractNum>
  <w:abstractNum w:abstractNumId="222">
    <w:nsid w:val="38BF53E5"/>
    <w:multiLevelType w:val="hybridMultilevel"/>
    <w:lvl w:ilvl="0">
      <w:lvlJc w:val="left"/>
      <w:lvlText w:val="*"/>
      <w:numFmt w:val="bullet"/>
      <w:start w:val="1"/>
    </w:lvl>
  </w:abstractNum>
  <w:abstractNum w:abstractNumId="223">
    <w:nsid w:val="226F5320"/>
    <w:multiLevelType w:val="hybridMultilevel"/>
    <w:lvl w:ilvl="0">
      <w:lvlJc w:val="left"/>
      <w:lvlText w:val="(%1)"/>
      <w:numFmt w:val="decimal"/>
      <w:start w:val="1"/>
    </w:lvl>
  </w:abstractNum>
  <w:abstractNum w:abstractNumId="224">
    <w:nsid w:val="5A0201C7"/>
    <w:multiLevelType w:val="hybridMultilevel"/>
    <w:lvl w:ilvl="0">
      <w:lvlJc w:val="left"/>
      <w:lvlText w:val="(%1)"/>
      <w:numFmt w:val="decimal"/>
      <w:start w:val="5"/>
    </w:lvl>
  </w:abstractNum>
  <w:abstractNum w:abstractNumId="225">
    <w:nsid w:val="2A9C34E2"/>
    <w:multiLevelType w:val="hybridMultilevel"/>
    <w:lvl w:ilvl="0">
      <w:lvlJc w:val="left"/>
      <w:lvlText w:val="•"/>
      <w:numFmt w:val="bullet"/>
      <w:start w:val="1"/>
    </w:lvl>
  </w:abstractNum>
  <w:abstractNum w:abstractNumId="226">
    <w:nsid w:val="1B7585AB"/>
    <w:multiLevelType w:val="hybridMultilevel"/>
    <w:lvl w:ilvl="0">
      <w:lvlJc w:val="left"/>
      <w:lvlText w:val="(%1)"/>
      <w:numFmt w:val="decimal"/>
      <w:start w:val="1"/>
    </w:lvl>
  </w:abstractNum>
  <w:abstractNum w:abstractNumId="227">
    <w:nsid w:val="612DBDDD"/>
    <w:multiLevelType w:val="hybridMultilevel"/>
    <w:lvl w:ilvl="0">
      <w:lvlJc w:val="left"/>
      <w:lvlText w:val="(%1)"/>
      <w:numFmt w:val="decimal"/>
      <w:start w:val="1"/>
    </w:lvl>
  </w:abstractNum>
  <w:abstractNum w:abstractNumId="228">
    <w:nsid w:val="2109CDA4"/>
    <w:multiLevelType w:val="hybridMultilevel"/>
    <w:lvl w:ilvl="0">
      <w:lvlJc w:val="left"/>
      <w:lvlText w:val="•"/>
      <w:numFmt w:val="bullet"/>
      <w:start w:val="1"/>
    </w:lvl>
  </w:abstractNum>
  <w:abstractNum w:abstractNumId="229">
    <w:nsid w:val="577F5A4D"/>
    <w:multiLevelType w:val="hybridMultilevel"/>
    <w:lvl w:ilvl="0">
      <w:lvlJc w:val="left"/>
      <w:lvlText w:val="(%1)"/>
      <w:numFmt w:val="lowerLetter"/>
      <w:start w:val="1"/>
    </w:lvl>
  </w:abstractNum>
  <w:abstractNum w:abstractNumId="230">
    <w:nsid w:val="2121A81"/>
    <w:multiLevelType w:val="hybridMultilevel"/>
    <w:lvl w:ilvl="0">
      <w:lvlJc w:val="left"/>
      <w:lvlText w:val="$"/>
      <w:numFmt w:val="bullet"/>
      <w:start w:val="1"/>
    </w:lvl>
  </w:abstractNum>
  <w:abstractNum w:abstractNumId="231">
    <w:nsid w:val="6C2CFC88"/>
    <w:multiLevelType w:val="hybridMultilevel"/>
    <w:lvl w:ilvl="0">
      <w:lvlJc w:val="left"/>
      <w:lvlText w:val="(%1)"/>
      <w:numFmt w:val="lowerRoman"/>
      <w:start w:val="2"/>
    </w:lvl>
  </w:abstractNum>
  <w:abstractNum w:abstractNumId="232">
    <w:nsid w:val="6D1BCF1C"/>
    <w:multiLevelType w:val="hybridMultilevel"/>
    <w:lvl w:ilvl="0">
      <w:lvlJc w:val="left"/>
      <w:lvlText w:val="•"/>
      <w:numFmt w:val="bullet"/>
      <w:start w:val="1"/>
    </w:lvl>
  </w:abstractNum>
  <w:abstractNum w:abstractNumId="233">
    <w:nsid w:val="4CE5CA53"/>
    <w:multiLevelType w:val="hybridMultilevel"/>
    <w:lvl w:ilvl="0">
      <w:lvlJc w:val="left"/>
      <w:lvlText w:val="•"/>
      <w:numFmt w:val="bullet"/>
      <w:start w:val="1"/>
    </w:lvl>
  </w:abstractNum>
  <w:abstractNum w:abstractNumId="234">
    <w:nsid w:val="29262D1A"/>
    <w:multiLevelType w:val="hybridMultilevel"/>
    <w:lvl w:ilvl="0">
      <w:lvlJc w:val="left"/>
      <w:lvlText w:val="(%1)"/>
      <w:numFmt w:val="lowerRoman"/>
      <w:start w:val="5"/>
    </w:lvl>
  </w:abstractNum>
  <w:abstractNum w:abstractNumId="235">
    <w:nsid w:val="557FB7EE"/>
    <w:multiLevelType w:val="hybridMultilevel"/>
    <w:lvl w:ilvl="0">
      <w:lvlJc w:val="left"/>
      <w:lvlText w:val="(%1)"/>
      <w:numFmt w:val="lowerRoman"/>
      <w:start w:val="3"/>
    </w:lvl>
  </w:abstractNum>
  <w:abstractNum w:abstractNumId="236">
    <w:nsid w:val="436F2BEB"/>
    <w:multiLevelType w:val="hybridMultilevel"/>
    <w:lvl w:ilvl="0">
      <w:lvlJc w:val="left"/>
      <w:lvlText w:val="(%1)"/>
      <w:numFmt w:val="decimal"/>
      <w:start w:val="1"/>
    </w:lvl>
  </w:abstractNum>
  <w:abstractNum w:abstractNumId="237">
    <w:nsid w:val="6C8B4466"/>
    <w:multiLevelType w:val="hybridMultilevel"/>
    <w:lvl w:ilvl="0">
      <w:lvlJc w:val="left"/>
      <w:lvlText w:val="(%1)"/>
      <w:numFmt w:val="decimal"/>
      <w:start w:val="1"/>
    </w:lvl>
  </w:abstractNum>
  <w:abstractNum w:abstractNumId="238">
    <w:nsid w:val="2006E424"/>
    <w:multiLevelType w:val="hybridMultilevel"/>
    <w:lvl w:ilvl="0">
      <w:lvlJc w:val="left"/>
      <w:lvlText w:val="(%1)"/>
      <w:numFmt w:val="decimal"/>
      <w:start w:val="1"/>
    </w:lvl>
  </w:abstractNum>
  <w:abstractNum w:abstractNumId="239">
    <w:nsid w:val="20CC134C"/>
    <w:multiLevelType w:val="hybridMultilevel"/>
    <w:lvl w:ilvl="0">
      <w:lvlJc w:val="left"/>
      <w:lvlText w:val="$"/>
      <w:numFmt w:val="bullet"/>
      <w:start w:val="1"/>
    </w:lvl>
  </w:abstractNum>
  <w:abstractNum w:abstractNumId="240">
    <w:nsid w:val="95FC93B"/>
    <w:multiLevelType w:val="hybridMultilevel"/>
    <w:lvl w:ilvl="0">
      <w:lvlJc w:val="left"/>
      <w:lvlText w:val="(%1)"/>
      <w:numFmt w:val="lowerRoman"/>
      <w:start w:val="2"/>
    </w:lvl>
  </w:abstractNum>
  <w:abstractNum w:abstractNumId="241">
    <w:nsid w:val="41D74679"/>
    <w:multiLevelType w:val="hybridMultilevel"/>
    <w:lvl w:ilvl="0">
      <w:lvlJc w:val="left"/>
      <w:lvlText w:val="(%1)"/>
      <w:numFmt w:val="lowerRoman"/>
      <w:start w:val="2"/>
    </w:lvl>
  </w:abstractNum>
  <w:abstractNum w:abstractNumId="242">
    <w:nsid w:val="71E5621E"/>
    <w:multiLevelType w:val="hybridMultilevel"/>
    <w:lvl w:ilvl="0">
      <w:lvlJc w:val="left"/>
      <w:lvlText w:val="(%1)"/>
      <w:numFmt w:val="lowerRoman"/>
      <w:start w:val="2"/>
    </w:lvl>
  </w:abstractNum>
  <w:abstractNum w:abstractNumId="243">
    <w:nsid w:val="4E42B6A8"/>
    <w:multiLevelType w:val="hybridMultilevel"/>
    <w:lvl w:ilvl="0">
      <w:lvlJc w:val="left"/>
      <w:lvlText w:val="(%1)"/>
      <w:numFmt w:val="lowerRoman"/>
      <w:start w:val="2"/>
    </w:lvl>
  </w:abstractNum>
  <w:abstractNum w:abstractNumId="244">
    <w:nsid w:val="43F8E1AC"/>
    <w:multiLevelType w:val="hybridMultilevel"/>
    <w:lvl w:ilvl="0">
      <w:lvlJc w:val="left"/>
      <w:lvlText w:val="(%1)"/>
      <w:numFmt w:val="lowerRoman"/>
      <w:start w:val="2"/>
    </w:lvl>
  </w:abstractNum>
  <w:abstractNum w:abstractNumId="245">
    <w:nsid w:val="69215DFB"/>
    <w:multiLevelType w:val="hybridMultilevel"/>
    <w:lvl w:ilvl="0">
      <w:lvlJc w:val="left"/>
      <w:lvlText w:val="(%1)"/>
      <w:numFmt w:val="lowerLetter"/>
      <w:start w:val="2"/>
    </w:lvl>
  </w:abstractNum>
  <w:abstractNum w:abstractNumId="246">
    <w:nsid w:val="7ABF196A"/>
    <w:multiLevelType w:val="hybridMultilevel"/>
    <w:lvl w:ilvl="0">
      <w:lvlJc w:val="left"/>
      <w:lvlText w:val="(%1)"/>
      <w:numFmt w:val="lowerLetter"/>
      <w:start w:val="6"/>
    </w:lvl>
  </w:abstractNum>
  <w:abstractNum w:abstractNumId="247">
    <w:nsid w:val="5E4DB968"/>
    <w:multiLevelType w:val="hybridMultilevel"/>
    <w:lvl w:ilvl="0">
      <w:lvlJc w:val="left"/>
      <w:lvlText w:val="(%1)"/>
      <w:numFmt w:val="lowerLetter"/>
      <w:start w:val="1"/>
    </w:lvl>
  </w:abstractNum>
  <w:abstractNum w:abstractNumId="248">
    <w:nsid w:val="2C06DCF3"/>
    <w:multiLevelType w:val="hybridMultilevel"/>
    <w:lvl w:ilvl="0">
      <w:lvlJc w:val="left"/>
      <w:lvlText w:val="(%1)"/>
      <w:numFmt w:val="lowerLetter"/>
      <w:start w:val="1"/>
    </w:lvl>
  </w:abstractNum>
  <w:abstractNum w:abstractNumId="249">
    <w:nsid w:val="2E129658"/>
    <w:multiLevelType w:val="hybridMultilevel"/>
    <w:lvl w:ilvl="0">
      <w:lvlJc w:val="left"/>
      <w:lvlText w:val="%1"/>
      <w:numFmt w:val="upperLetter"/>
      <w:start w:val="1"/>
    </w:lvl>
    <w:lvl w:ilvl="1">
      <w:lvlJc w:val="left"/>
      <w:lvlText w:val="(%2)"/>
      <w:numFmt w:val="lowerLetter"/>
      <w:start w:val="1"/>
    </w:lvl>
  </w:abstractNum>
  <w:abstractNum w:abstractNumId="250">
    <w:nsid w:val="59F0446"/>
    <w:multiLevelType w:val="hybridMultilevel"/>
    <w:lvl w:ilvl="0">
      <w:lvlJc w:val="left"/>
      <w:lvlText w:val="(%1)"/>
      <w:numFmt w:val="upperLetter"/>
      <w:start w:val="2"/>
    </w:lvl>
    <w:lvl w:ilvl="1">
      <w:lvlJc w:val="left"/>
      <w:lvlText w:val="(%2)"/>
      <w:numFmt w:val="lowerLetter"/>
      <w:start w:val="3"/>
    </w:lvl>
  </w:abstractNum>
  <w:abstractNum w:abstractNumId="251">
    <w:nsid w:val="30DF306"/>
    <w:multiLevelType w:val="hybridMultilevel"/>
    <w:lvl w:ilvl="0">
      <w:lvlJc w:val="left"/>
      <w:lvlText w:val="(%1)"/>
      <w:numFmt w:val="lowerLetter"/>
      <w:start w:val="6"/>
    </w:lvl>
  </w:abstractNum>
  <w:abstractNum w:abstractNumId="252">
    <w:nsid w:val="A65647"/>
    <w:multiLevelType w:val="hybridMultilevel"/>
    <w:lvl w:ilvl="0">
      <w:lvlJc w:val="left"/>
      <w:lvlText w:val="(%1)"/>
      <w:numFmt w:val="lowerLetter"/>
      <w:start w:val="1"/>
    </w:lvl>
  </w:abstractNum>
  <w:abstractNum w:abstractNumId="253">
    <w:nsid w:val="3E5E582B"/>
    <w:multiLevelType w:val="hybridMultilevel"/>
    <w:lvl w:ilvl="0">
      <w:lvlJc w:val="left"/>
      <w:lvlText w:val="(%1)"/>
      <w:numFmt w:val="lowerLetter"/>
      <w:start w:val="1"/>
    </w:lvl>
  </w:abstractNum>
  <w:abstractNum w:abstractNumId="254">
    <w:nsid w:val="257D4626"/>
    <w:multiLevelType w:val="hybridMultilevel"/>
    <w:lvl w:ilvl="0">
      <w:lvlJc w:val="left"/>
      <w:lvlText w:val="%1"/>
      <w:numFmt w:val="lowerRoman"/>
      <w:start w:val="1"/>
    </w:lvl>
    <w:lvl w:ilvl="1">
      <w:lvlJc w:val="left"/>
      <w:lvlText w:val="(%2)"/>
      <w:numFmt w:val="lowerLetter"/>
      <w:start w:val="1"/>
    </w:lvl>
  </w:abstractNum>
  <w:abstractNum w:abstractNumId="255">
    <w:nsid w:val="5AA8580E"/>
    <w:multiLevelType w:val="hybridMultilevel"/>
    <w:lvl w:ilvl="0">
      <w:lvlJc w:val="left"/>
      <w:lvlText w:val="(%1)"/>
      <w:numFmt w:val="lowerRoman"/>
      <w:start w:val="2"/>
    </w:lvl>
    <w:lvl w:ilvl="1">
      <w:lvlJc w:val="left"/>
      <w:lvlText w:val="%2"/>
      <w:numFmt w:val="lowerLetter"/>
      <w:start w:val="1"/>
    </w:lvl>
  </w:abstractNum>
  <w:abstractNum w:abstractNumId="256">
    <w:nsid w:val="68FA8D0D"/>
    <w:multiLevelType w:val="hybridMultilevel"/>
    <w:lvl w:ilvl="0">
      <w:lvlJc w:val="left"/>
      <w:lvlText w:val="(%1)"/>
      <w:numFmt w:val="lowerLetter"/>
      <w:start w:val="1"/>
    </w:lvl>
  </w:abstractNum>
  <w:abstractNum w:abstractNumId="257">
    <w:nsid w:val="40F2CBD2"/>
    <w:multiLevelType w:val="hybridMultilevel"/>
    <w:lvl w:ilvl="0">
      <w:lvlJc w:val="left"/>
      <w:lvlText w:val="(%1)"/>
      <w:numFmt w:val="lowerLetter"/>
      <w:start w:val="1"/>
    </w:lvl>
    <w:lvl w:ilvl="1">
      <w:lvlJc w:val="left"/>
      <w:lvlText w:val="(%2)"/>
      <w:numFmt w:val="lowerRoman"/>
      <w:start w:val="1"/>
    </w:lvl>
  </w:abstractNum>
  <w:abstractNum w:abstractNumId="258">
    <w:nsid w:val="3BD615E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7"/>
    </w:lvl>
  </w:abstractNum>
  <w:abstractNum w:abstractNumId="259">
    <w:nsid w:val="A045AB2"/>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3"/>
    </w:lvl>
    <w:lvl w:ilvl="3">
      <w:lvlJc w:val="left"/>
      <w:lvlText w:val="%4"/>
      <w:numFmt w:val="lowerRoman"/>
      <w:start w:val="1"/>
    </w:lvl>
  </w:abstractNum>
  <w:abstractNum w:abstractNumId="260">
    <w:nsid w:val="1872261F"/>
    <w:multiLevelType w:val="hybridMultilevel"/>
    <w:lvl w:ilvl="0">
      <w:lvlJc w:val="left"/>
      <w:lvlText w:val="%1"/>
      <w:numFmt w:val="lowerLetter"/>
      <w:start w:val="1"/>
    </w:lvl>
    <w:lvl w:ilvl="1">
      <w:lvlJc w:val="left"/>
      <w:lvlText w:val="(%2)"/>
      <w:numFmt w:val="lowerLetter"/>
      <w:start w:val="1"/>
    </w:lvl>
  </w:abstractNum>
  <w:abstractNum w:abstractNumId="261">
    <w:nsid w:val="3DE8306C"/>
    <w:multiLevelType w:val="hybridMultilevel"/>
    <w:lvl w:ilvl="0">
      <w:lvlJc w:val="left"/>
      <w:lvlText w:val="(%1)"/>
      <w:numFmt w:val="lowerLetter"/>
      <w:start w:val="35"/>
    </w:lvl>
    <w:lvl w:ilvl="1">
      <w:lvlJc w:val="left"/>
      <w:lvlText w:val="(%2)"/>
      <w:numFmt w:val="lowerLetter"/>
      <w:start w:val="2"/>
    </w:lvl>
  </w:abstractNum>
  <w:abstractNum w:abstractNumId="262">
    <w:nsid w:val="7631573A"/>
    <w:multiLevelType w:val="hybridMultilevel"/>
    <w:lvl w:ilvl="0">
      <w:lvlJc w:val="left"/>
      <w:lvlText w:val="(%1)"/>
      <w:numFmt w:val="lowerLetter"/>
      <w:start w:val="1"/>
    </w:lvl>
  </w:abstractNum>
  <w:abstractNum w:abstractNumId="263">
    <w:nsid w:val="58DF53B"/>
    <w:multiLevelType w:val="hybridMultilevel"/>
    <w:lvl w:ilvl="0">
      <w:lvlJc w:val="left"/>
      <w:lvlText w:val="(%1)"/>
      <w:numFmt w:val="lowerLetter"/>
      <w:start w:val="3"/>
    </w:lvl>
  </w:abstractNum>
  <w:abstractNum w:abstractNumId="264">
    <w:nsid w:val="ACDFAC0"/>
    <w:multiLevelType w:val="hybridMultilevel"/>
    <w:lvl w:ilvl="0">
      <w:lvlJc w:val="left"/>
      <w:lvlText w:val="(%1)"/>
      <w:numFmt w:val="lowerLetter"/>
      <w:start w:val="8"/>
    </w:lvl>
  </w:abstractNum>
  <w:abstractNum w:abstractNumId="265">
    <w:nsid w:val="1F578454"/>
    <w:multiLevelType w:val="hybridMultilevel"/>
    <w:lvl w:ilvl="0">
      <w:lvlJc w:val="left"/>
      <w:lvlText w:val="(%1)"/>
      <w:numFmt w:val="lowerLetter"/>
      <w:start w:val="1"/>
    </w:lvl>
  </w:abstractNum>
  <w:abstractNum w:abstractNumId="266">
    <w:nsid w:val="5B0DAD2A"/>
    <w:multiLevelType w:val="hybridMultilevel"/>
    <w:lvl w:ilvl="0">
      <w:lvlJc w:val="left"/>
      <w:lvlText w:val="%1"/>
      <w:numFmt w:val="lowerLetter"/>
      <w:start w:val="1"/>
    </w:lvl>
    <w:lvl w:ilvl="1">
      <w:lvlJc w:val="left"/>
      <w:lvlText w:val="(%2)"/>
      <w:numFmt w:val="lowerLetter"/>
      <w:start w:val="3"/>
    </w:lvl>
  </w:abstractNum>
  <w:abstractNum w:abstractNumId="267">
    <w:nsid w:val="4E3D26AB"/>
    <w:multiLevelType w:val="hybridMultilevel"/>
    <w:lvl w:ilvl="0">
      <w:lvlJc w:val="left"/>
      <w:lvlText w:val="(%1)"/>
      <w:numFmt w:val="lowerLetter"/>
      <w:start w:val="9"/>
    </w:lvl>
    <w:lvl w:ilvl="1">
      <w:lvlJc w:val="left"/>
      <w:lvlText w:val="(%2)"/>
      <w:numFmt w:val="lowerLetter"/>
      <w:start w:val="4"/>
    </w:lvl>
  </w:abstractNum>
  <w:abstractNum w:abstractNumId="268">
    <w:nsid w:val="BE2C8BA"/>
    <w:multiLevelType w:val="hybridMultilevel"/>
    <w:lvl w:ilvl="0">
      <w:lvlJc w:val="left"/>
      <w:lvlText w:val="(%1)"/>
      <w:numFmt w:val="lowerLetter"/>
      <w:start w:val="9"/>
    </w:lvl>
    <w:lvl w:ilvl="1">
      <w:lvlJc w:val="left"/>
      <w:lvlText w:val="%2"/>
      <w:numFmt w:val="lowerLetter"/>
      <w:start w:val="1"/>
    </w:lvl>
  </w:abstractNum>
  <w:abstractNum w:abstractNumId="269">
    <w:nsid w:val="7B14914E"/>
    <w:multiLevelType w:val="hybridMultilevel"/>
    <w:lvl w:ilvl="0">
      <w:lvlJc w:val="left"/>
      <w:lvlText w:val="(%1)"/>
      <w:numFmt w:val="lowerLetter"/>
      <w:start w:val="1"/>
    </w:lvl>
  </w:abstractNum>
  <w:abstractNum w:abstractNumId="270">
    <w:nsid w:val="6F0939F8"/>
    <w:multiLevelType w:val="hybridMultilevel"/>
    <w:lvl w:ilvl="0">
      <w:lvlJc w:val="left"/>
      <w:lvlText w:val="(%1)"/>
      <w:numFmt w:val="lowerLetter"/>
      <w:start w:val="1"/>
    </w:lvl>
  </w:abstractNum>
  <w:abstractNum w:abstractNumId="271">
    <w:nsid w:val="154291F6"/>
    <w:multiLevelType w:val="hybridMultilevel"/>
    <w:lvl w:ilvl="0">
      <w:lvlJc w:val="left"/>
      <w:lvlText w:val="(%1)"/>
      <w:numFmt w:val="lowerLetter"/>
      <w:start w:val="2"/>
    </w:lvl>
  </w:abstractNum>
  <w:abstractNum w:abstractNumId="272">
    <w:nsid w:val="3CEBD7C7"/>
    <w:multiLevelType w:val="hybridMultilevel"/>
    <w:lvl w:ilvl="0">
      <w:lvlJc w:val="left"/>
      <w:lvlText w:val="%1"/>
      <w:numFmt w:val="lowerLetter"/>
      <w:start w:val="1"/>
    </w:lvl>
    <w:lvl w:ilvl="1">
      <w:lvlJc w:val="left"/>
      <w:lvlText w:val="(%2)"/>
      <w:numFmt w:val="lowerLetter"/>
      <w:start w:val="1"/>
    </w:lvl>
  </w:abstractNum>
  <w:abstractNum w:abstractNumId="273">
    <w:nsid w:val="60EE9C16"/>
    <w:multiLevelType w:val="hybridMultilevel"/>
    <w:lvl w:ilvl="0">
      <w:lvlJc w:val="left"/>
      <w:lvlText w:val="(%1)"/>
      <w:numFmt w:val="lowerLetter"/>
      <w:start w:val="35"/>
    </w:lvl>
    <w:lvl w:ilvl="1">
      <w:lvlJc w:val="left"/>
      <w:lvlText w:val="%2"/>
      <w:numFmt w:val="lowerLetter"/>
      <w:start w:val="1"/>
    </w:lvl>
  </w:abstractNum>
  <w:abstractNum w:abstractNumId="274">
    <w:nsid w:val="6385489E"/>
    <w:multiLevelType w:val="hybridMultilevel"/>
    <w:lvl w:ilvl="0">
      <w:lvlJc w:val="left"/>
      <w:lvlText w:val="%1"/>
      <w:numFmt w:val="lowerLetter"/>
      <w:start w:val="1"/>
    </w:lvl>
    <w:lvl w:ilvl="1">
      <w:lvlJc w:val="left"/>
      <w:lvlText w:val="(%2)"/>
      <w:numFmt w:val="lowerLetter"/>
      <w:start w:val="3"/>
    </w:lvl>
  </w:abstractNum>
  <w:abstractNum w:abstractNumId="275">
    <w:nsid w:val="E4B973"/>
    <w:multiLevelType w:val="hybridMultilevel"/>
    <w:lvl w:ilvl="0">
      <w:lvlJc w:val="left"/>
      <w:lvlText w:val="(%1)"/>
      <w:numFmt w:val="lowerLetter"/>
      <w:start w:val="61"/>
    </w:lvl>
    <w:lvl w:ilvl="1">
      <w:lvlJc w:val="left"/>
      <w:lvlText w:val="(%2)"/>
      <w:numFmt w:val="lowerLetter"/>
      <w:start w:val="8"/>
    </w:lvl>
  </w:abstractNum>
  <w:abstractNum w:abstractNumId="276">
    <w:nsid w:val="4A0FFA11"/>
    <w:multiLevelType w:val="hybridMultilevel"/>
    <w:lvl w:ilvl="0">
      <w:lvlJc w:val="left"/>
      <w:lvlText w:val="(%1)"/>
      <w:numFmt w:val="lowerLetter"/>
      <w:start w:val="1"/>
    </w:lvl>
  </w:abstractNum>
  <w:abstractNum w:abstractNumId="277">
    <w:nsid w:val="5E446208"/>
    <w:multiLevelType w:val="hybridMultilevel"/>
    <w:lvl w:ilvl="0">
      <w:lvlJc w:val="left"/>
      <w:lvlText w:val="%1"/>
      <w:numFmt w:val="lowerLetter"/>
      <w:start w:val="1"/>
    </w:lvl>
    <w:lvl w:ilvl="1">
      <w:lvlJc w:val="left"/>
      <w:lvlText w:val="(%2)"/>
      <w:numFmt w:val="lowerLetter"/>
      <w:start w:val="1"/>
    </w:lvl>
  </w:abstractNum>
  <w:abstractNum w:abstractNumId="278">
    <w:nsid w:val="5F3272DB"/>
    <w:multiLevelType w:val="hybridMultilevel"/>
    <w:lvl w:ilvl="0">
      <w:lvlJc w:val="left"/>
      <w:lvlText w:val="(%1)"/>
      <w:numFmt w:val="lowerLetter"/>
      <w:start w:val="61"/>
    </w:lvl>
    <w:lvl w:ilvl="1">
      <w:lvlJc w:val="left"/>
      <w:lvlText w:val="(%2)"/>
      <w:numFmt w:val="lowerLetter"/>
      <w:start w:val="2"/>
    </w:lvl>
  </w:abstractNum>
  <w:abstractNum w:abstractNumId="279">
    <w:nsid w:val="7616D704"/>
    <w:multiLevelType w:val="hybridMultilevel"/>
    <w:lvl w:ilvl="0">
      <w:lvlJc w:val="left"/>
      <w:lvlText w:val="(%1)"/>
      <w:numFmt w:val="lowerLetter"/>
      <w:start w:val="3"/>
    </w:lvl>
  </w:abstractNum>
  <w:abstractNum w:abstractNumId="280">
    <w:nsid w:val="C56F860"/>
    <w:multiLevelType w:val="hybridMultilevel"/>
    <w:lvl w:ilvl="0">
      <w:lvlJc w:val="left"/>
      <w:lvlText w:val="(%1)"/>
      <w:numFmt w:val="lowerLetter"/>
      <w:start w:val="1"/>
    </w:lvl>
  </w:abstractNum>
  <w:abstractNum w:abstractNumId="281">
    <w:nsid w:val="64D17722"/>
    <w:multiLevelType w:val="hybridMultilevel"/>
    <w:lvl w:ilvl="0">
      <w:lvlJc w:val="left"/>
      <w:lvlText w:val="(%1)"/>
      <w:numFmt w:val="lowerLetter"/>
      <w:start w:val="1"/>
    </w:lvl>
  </w:abstractNum>
  <w:abstractNum w:abstractNumId="282">
    <w:nsid w:val="7924CA0A"/>
    <w:multiLevelType w:val="hybridMultilevel"/>
    <w:lvl w:ilvl="0">
      <w:lvlJc w:val="left"/>
      <w:lvlText w:val="(%1)"/>
      <w:numFmt w:val="lowerRoman"/>
      <w:start w:val="1"/>
    </w:lvl>
  </w:abstractNum>
  <w:abstractNum w:abstractNumId="283">
    <w:nsid w:val="CFD4EA7"/>
    <w:multiLevelType w:val="hybridMultilevel"/>
    <w:lvl w:ilvl="0">
      <w:lvlJc w:val="left"/>
      <w:lvlText w:val="%1"/>
      <w:numFmt w:val="lowerRoman"/>
      <w:start w:val="1"/>
    </w:lvl>
    <w:lvl w:ilvl="1">
      <w:lvlJc w:val="left"/>
      <w:lvlText w:val="(%2)"/>
      <w:numFmt w:val="lowerLetter"/>
      <w:start w:val="1"/>
    </w:lvl>
  </w:abstractNum>
  <w:abstractNum w:abstractNumId="284">
    <w:nsid w:val="232FCF4D"/>
    <w:multiLevelType w:val="hybridMultilevel"/>
    <w:lvl w:ilvl="0">
      <w:lvlJc w:val="left"/>
      <w:lvlText w:val="(%1)"/>
      <w:numFmt w:val="lowerRoman"/>
      <w:start w:val="2"/>
    </w:lvl>
    <w:lvl w:ilvl="1">
      <w:lvlJc w:val="left"/>
      <w:lvlText w:val="%2"/>
      <w:numFmt w:val="lowerLetter"/>
      <w:start w:val="1"/>
    </w:lvl>
  </w:abstractNum>
  <w:abstractNum w:abstractNumId="285">
    <w:nsid w:val="1EA21031"/>
    <w:multiLevelType w:val="hybridMultilevel"/>
    <w:lvl w:ilvl="0">
      <w:lvlJc w:val="left"/>
      <w:lvlText w:val="(%1)"/>
      <w:numFmt w:val="lowerRoman"/>
      <w:start w:val="8"/>
    </w:lvl>
    <w:lvl w:ilvl="1">
      <w:lvlJc w:val="left"/>
      <w:lvlText w:val="(%2)"/>
      <w:numFmt w:val="lowerLetter"/>
      <w:start w:val="2"/>
    </w:lvl>
  </w:abstractNum>
  <w:abstractNum w:abstractNumId="286">
    <w:nsid w:val="67A5A6B5"/>
    <w:multiLevelType w:val="hybridMultilevel"/>
    <w:lvl w:ilvl="0">
      <w:lvlJc w:val="left"/>
      <w:lvlText w:val="%1"/>
      <w:numFmt w:val="lowerLetter"/>
      <w:start w:val="1"/>
    </w:lvl>
    <w:lvl w:ilvl="1">
      <w:lvlJc w:val="left"/>
      <w:lvlText w:val="(%2)"/>
      <w:numFmt w:val="lowerLetter"/>
      <w:start w:val="3"/>
    </w:lvl>
  </w:abstractNum>
  <w:abstractNum w:abstractNumId="287">
    <w:nsid w:val="C2A5C5B"/>
    <w:multiLevelType w:val="hybridMultilevel"/>
    <w:lvl w:ilvl="0">
      <w:lvlJc w:val="left"/>
      <w:lvlText w:val="(%1)"/>
      <w:numFmt w:val="lowerLetter"/>
      <w:start w:val="35"/>
    </w:lvl>
    <w:lvl w:ilvl="1">
      <w:lvlJc w:val="left"/>
      <w:lvlText w:val="(%2)"/>
      <w:numFmt w:val="lowerLetter"/>
      <w:start w:val="4"/>
    </w:lvl>
  </w:abstractNum>
  <w:abstractNum w:abstractNumId="288">
    <w:nsid w:val="5F94DC03"/>
    <w:multiLevelType w:val="hybridMultilevel"/>
    <w:lvl w:ilvl="0">
      <w:lvlJc w:val="left"/>
      <w:lvlText w:val="(%1)"/>
      <w:numFmt w:val="lowerLetter"/>
      <w:start w:val="1"/>
    </w:lvl>
    <w:lvl w:ilvl="1">
      <w:lvlJc w:val="left"/>
      <w:lvlText w:val="(%2)"/>
      <w:numFmt w:val="lowerRoman"/>
      <w:start w:val="1"/>
    </w:lvl>
  </w:abstractNum>
  <w:abstractNum w:abstractNumId="289">
    <w:nsid w:val="237BBCA0"/>
    <w:multiLevelType w:val="hybridMultilevel"/>
    <w:lvl w:ilvl="0">
      <w:lvlJc w:val="left"/>
      <w:lvlText w:val="%1"/>
      <w:numFmt w:val="decimal"/>
      <w:start w:val="1"/>
    </w:lvl>
    <w:lvl w:ilvl="1">
      <w:lvlJc w:val="left"/>
      <w:lvlText w:val="(%2)"/>
      <w:numFmt w:val="lowerRoman"/>
      <w:start w:val="5"/>
    </w:lvl>
  </w:abstractNum>
  <w:abstractNum w:abstractNumId="290">
    <w:nsid w:val="162EB70D"/>
    <w:multiLevelType w:val="hybridMultilevel"/>
    <w:lvl w:ilvl="0">
      <w:lvlJc w:val="left"/>
      <w:lvlText w:val="(%1)"/>
      <w:numFmt w:val="decimal"/>
      <w:start w:val="2"/>
    </w:lvl>
    <w:lvl w:ilvl="1">
      <w:lvlJc w:val="left"/>
      <w:lvlText w:val="(%2)"/>
      <w:numFmt w:val="lowerRoman"/>
      <w:start w:val="8"/>
    </w:lvl>
  </w:abstractNum>
  <w:abstractNum w:abstractNumId="291">
    <w:nsid w:val="78070222"/>
    <w:multiLevelType w:val="hybridMultilevel"/>
    <w:lvl w:ilvl="0">
      <w:lvlJc w:val="left"/>
      <w:lvlText w:val="(%1)"/>
      <w:numFmt w:val="lowerRoman"/>
      <w:start w:val="19"/>
    </w:lvl>
  </w:abstractNum>
  <w:abstractNum w:abstractNumId="292">
    <w:nsid w:val="6163ED0D"/>
    <w:multiLevelType w:val="hybridMultilevel"/>
    <w:lvl w:ilvl="0">
      <w:lvlJc w:val="left"/>
      <w:lvlText w:val="(%1)"/>
      <w:numFmt w:val="lowerLetter"/>
      <w:start w:val="1"/>
    </w:lvl>
  </w:abstractNum>
  <w:abstractNum w:abstractNumId="293">
    <w:nsid w:val="C600E47"/>
    <w:multiLevelType w:val="hybridMultilevel"/>
    <w:lvl w:ilvl="0">
      <w:lvlJc w:val="left"/>
      <w:lvlText w:val="(%1)"/>
      <w:numFmt w:val="lowerLetter"/>
      <w:start w:val="1"/>
    </w:lvl>
  </w:abstractNum>
  <w:abstractNum w:abstractNumId="294">
    <w:nsid w:val="7D94F75D"/>
    <w:multiLevelType w:val="hybridMultilevel"/>
    <w:lvl w:ilvl="0">
      <w:lvlJc w:val="left"/>
      <w:lvlText w:val="%1"/>
      <w:numFmt w:val="lowerLetter"/>
      <w:start w:val="1"/>
    </w:lvl>
    <w:lvl w:ilvl="1">
      <w:lvlJc w:val="left"/>
      <w:lvlText w:val="(%2)"/>
      <w:numFmt w:val="lowerLetter"/>
      <w:start w:val="1"/>
    </w:lvl>
  </w:abstractNum>
  <w:abstractNum w:abstractNumId="295">
    <w:nsid w:val="6C31E7CD"/>
    <w:multiLevelType w:val="hybridMultilevel"/>
    <w:lvl w:ilvl="0">
      <w:lvlJc w:val="left"/>
      <w:lvlText w:val="(%1)"/>
      <w:numFmt w:val="lowerLetter"/>
      <w:start w:val="35"/>
    </w:lvl>
    <w:lvl w:ilvl="1">
      <w:lvlJc w:val="left"/>
      <w:lvlText w:val="%2"/>
      <w:numFmt w:val="lowerLetter"/>
      <w:start w:val="1"/>
    </w:lvl>
  </w:abstractNum>
  <w:abstractNum w:abstractNumId="296">
    <w:nsid w:val="2BB7929B"/>
    <w:multiLevelType w:val="hybridMultilevel"/>
    <w:lvl w:ilvl="0">
      <w:lvlJc w:val="left"/>
      <w:lvlText w:val="%1"/>
      <w:numFmt w:val="lowerLetter"/>
      <w:start w:val="1"/>
    </w:lvl>
    <w:lvl w:ilvl="1">
      <w:lvlJc w:val="left"/>
      <w:lvlText w:val="(%2)"/>
      <w:numFmt w:val="lowerLetter"/>
      <w:start w:val="3"/>
    </w:lvl>
  </w:abstractNum>
  <w:abstractNum w:abstractNumId="297">
    <w:nsid w:val="58A2A487"/>
    <w:multiLevelType w:val="hybridMultilevel"/>
    <w:lvl w:ilvl="0">
      <w:lvlJc w:val="left"/>
      <w:lvlText w:val="(%1)"/>
      <w:numFmt w:val="lowerLetter"/>
      <w:start w:val="9"/>
    </w:lvl>
    <w:lvl w:ilvl="1">
      <w:lvlJc w:val="left"/>
      <w:lvlText w:val="(%2)"/>
      <w:numFmt w:val="lowerLetter"/>
      <w:start w:val="6"/>
    </w:lvl>
  </w:abstractNum>
  <w:abstractNum w:abstractNumId="298">
    <w:nsid w:val="3A6F0E78"/>
    <w:multiLevelType w:val="hybridMultilevel"/>
    <w:lvl w:ilvl="0">
      <w:lvlJc w:val="left"/>
      <w:lvlText w:val="(%1)"/>
      <w:numFmt w:val="lowerLetter"/>
      <w:start w:val="7"/>
    </w:lvl>
  </w:abstractNum>
  <w:abstractNum w:abstractNumId="299">
    <w:nsid w:val="379A5B56"/>
    <w:multiLevelType w:val="hybridMultilevel"/>
    <w:lvl w:ilvl="0">
      <w:lvlJc w:val="left"/>
      <w:lvlText w:val="(%1)"/>
      <w:numFmt w:val="lowerLetter"/>
      <w:start w:val="2"/>
    </w:lvl>
  </w:abstractNum>
  <w:abstractNum w:abstractNumId="300">
    <w:nsid w:val="53B735D5"/>
    <w:multiLevelType w:val="hybridMultilevel"/>
    <w:lvl w:ilvl="0">
      <w:lvlJc w:val="left"/>
      <w:lvlText w:val="(%1)"/>
      <w:numFmt w:val="lowerLetter"/>
      <w:start w:val="1"/>
    </w:lvl>
  </w:abstractNum>
  <w:abstractNum w:abstractNumId="301">
    <w:nsid w:val="29784870"/>
    <w:multiLevelType w:val="hybridMultilevel"/>
    <w:lvl w:ilvl="0">
      <w:lvlJc w:val="left"/>
      <w:lvlText w:val="(%1)"/>
      <w:numFmt w:val="lowerLetter"/>
      <w:start w:val="1"/>
    </w:lvl>
  </w:abstractNum>
  <w:abstractNum w:abstractNumId="302">
    <w:nsid w:val="4CDCED4C"/>
    <w:multiLevelType w:val="hybridMultilevel"/>
    <w:lvl w:ilvl="0">
      <w:lvlJc w:val="left"/>
      <w:lvlText w:val="(%1)"/>
      <w:numFmt w:val="lowerLetter"/>
      <w:start w:val="2"/>
    </w:lvl>
  </w:abstractNum>
  <w:abstractNum w:abstractNumId="303">
    <w:nsid w:val="10A30D9C"/>
    <w:multiLevelType w:val="hybridMultilevel"/>
    <w:lvl w:ilvl="0">
      <w:lvlJc w:val="left"/>
      <w:lvlText w:val="(%1)"/>
      <w:numFmt w:val="lowerLetter"/>
      <w:start w:val="1"/>
    </w:lvl>
  </w:abstractNum>
  <w:abstractNum w:abstractNumId="304">
    <w:nsid w:val="A66E486"/>
    <w:multiLevelType w:val="hybridMultilevel"/>
    <w:lvl w:ilvl="0">
      <w:lvlJc w:val="left"/>
      <w:lvlText w:val="(%1)"/>
      <w:numFmt w:val="lowerLetter"/>
      <w:start w:val="1"/>
    </w:lvl>
  </w:abstractNum>
  <w:abstractNum w:abstractNumId="305">
    <w:nsid w:val="306235EA"/>
    <w:multiLevelType w:val="hybridMultilevel"/>
    <w:lvl w:ilvl="0">
      <w:lvlJc w:val="left"/>
      <w:lvlText w:val="(%1)"/>
      <w:numFmt w:val="upperLetter"/>
      <w:start w:val="1"/>
    </w:lvl>
  </w:abstractNum>
  <w:abstractNum w:abstractNumId="306">
    <w:nsid w:val="1187C70F"/>
    <w:multiLevelType w:val="hybridMultilevel"/>
    <w:lvl w:ilvl="0">
      <w:lvlJc w:val="left"/>
      <w:lvlText w:val="(%1)"/>
      <w:numFmt w:val="lowerLetter"/>
      <w:start w:val="1"/>
    </w:lvl>
  </w:abstractNum>
  <w:abstractNum w:abstractNumId="307">
    <w:nsid w:val="5476DE98"/>
    <w:multiLevelType w:val="hybridMultilevel"/>
    <w:lvl w:ilvl="0">
      <w:lvlJc w:val="left"/>
      <w:lvlText w:val="(%1)"/>
      <w:numFmt w:val="lowerLetter"/>
      <w:start w:val="1"/>
    </w:lvl>
  </w:abstractNum>
  <w:abstractNum w:abstractNumId="308">
    <w:nsid w:val="EA697F2"/>
    <w:multiLevelType w:val="hybridMultilevel"/>
    <w:lvl w:ilvl="0">
      <w:lvlJc w:val="left"/>
      <w:lvlText w:val="(%1)"/>
      <w:numFmt w:val="lowerLetter"/>
      <w:start w:val="1"/>
    </w:lvl>
  </w:abstractNum>
  <w:abstractNum w:abstractNumId="309">
    <w:nsid w:val="70BA39EB"/>
    <w:multiLevelType w:val="hybridMultilevel"/>
    <w:lvl w:ilvl="0">
      <w:lvlJc w:val="left"/>
      <w:lvlText w:val="(%1)"/>
      <w:numFmt w:val="lowerLetter"/>
      <w:start w:val="1"/>
    </w:lvl>
  </w:abstractNum>
  <w:abstractNum w:abstractNumId="310">
    <w:nsid w:val="4A8DB59C"/>
    <w:multiLevelType w:val="hybridMultilevel"/>
    <w:lvl w:ilvl="0">
      <w:lvlJc w:val="left"/>
      <w:lvlText w:val="(%1)"/>
      <w:numFmt w:val="lowerLetter"/>
      <w:start w:val="13"/>
    </w:lvl>
  </w:abstractNum>
  <w:abstractNum w:abstractNumId="311">
    <w:nsid w:val="1AFD9053"/>
    <w:multiLevelType w:val="hybridMultilevel"/>
    <w:lvl w:ilvl="0">
      <w:lvlJc w:val="left"/>
      <w:lvlText w:val="(%1)"/>
      <w:numFmt w:val="lowerLetter"/>
      <w:start w:val="1"/>
    </w:lvl>
  </w:abstractNum>
  <w:abstractNum w:abstractNumId="312">
    <w:nsid w:val="558BB10D"/>
    <w:multiLevelType w:val="hybridMultilevel"/>
    <w:lvl w:ilvl="0">
      <w:lvlJc w:val="left"/>
      <w:lvlText w:val="(%1)"/>
      <w:numFmt w:val="lowerRoman"/>
      <w:start w:val="2"/>
    </w:lvl>
  </w:abstractNum>
  <w:abstractNum w:abstractNumId="313">
    <w:nsid w:val="43B27FA7"/>
    <w:multiLevelType w:val="hybridMultilevel"/>
    <w:lvl w:ilvl="0">
      <w:lvlJc w:val="left"/>
      <w:lvlText w:val="%1"/>
      <w:numFmt w:val="lowerLetter"/>
      <w:start w:val="1"/>
    </w:lvl>
    <w:lvl w:ilvl="1">
      <w:lvlJc w:val="left"/>
      <w:lvlText w:val="(%2)"/>
      <w:numFmt w:val="lowerLetter"/>
      <w:start w:val="1"/>
    </w:lvl>
  </w:abstractNum>
  <w:abstractNum w:abstractNumId="314">
    <w:nsid w:val="27FADEFA"/>
    <w:multiLevelType w:val="hybridMultilevel"/>
    <w:lvl w:ilvl="0">
      <w:lvlJc w:val="left"/>
      <w:lvlText w:val="(%1)"/>
      <w:numFmt w:val="lowerLetter"/>
      <w:start w:val="25"/>
    </w:lvl>
    <w:lvl w:ilvl="1">
      <w:lvlJc w:val="left"/>
      <w:lvlText w:val="(%2)"/>
      <w:numFmt w:val="lowerLetter"/>
      <w:start w:val="3"/>
    </w:lvl>
  </w:abstractNum>
  <w:abstractNum w:abstractNumId="315">
    <w:nsid w:val="78BB805A"/>
    <w:multiLevelType w:val="hybridMultilevel"/>
    <w:lvl w:ilvl="0">
      <w:lvlJc w:val="left"/>
      <w:lvlText w:val="(%1)"/>
      <w:numFmt w:val="lowerLetter"/>
      <w:start w:val="9"/>
    </w:lvl>
    <w:lvl w:ilvl="1">
      <w:lvlJc w:val="left"/>
      <w:lvlText w:val="%2"/>
      <w:numFmt w:val="lowerLetter"/>
      <w:start w:val="1"/>
    </w:lvl>
  </w:abstractNum>
  <w:abstractNum w:abstractNumId="316">
    <w:nsid w:val="62548FD8"/>
    <w:multiLevelType w:val="hybridMultilevel"/>
    <w:lvl w:ilvl="0">
      <w:lvlJc w:val="left"/>
      <w:lvlText w:val="(%1)"/>
      <w:numFmt w:val="lowerLetter"/>
      <w:start w:val="4"/>
    </w:lvl>
  </w:abstractNum>
  <w:abstractNum w:abstractNumId="317">
    <w:nsid w:val="FA085B0"/>
    <w:multiLevelType w:val="hybridMultilevel"/>
    <w:lvl w:ilvl="0">
      <w:lvlJc w:val="left"/>
      <w:lvlText w:val="(%1)"/>
      <w:numFmt w:val="lowerLetter"/>
      <w:start w:val="1"/>
    </w:lvl>
  </w:abstractNum>
  <w:abstractNum w:abstractNumId="318">
    <w:nsid w:val="4E5DCB5"/>
    <w:multiLevelType w:val="hybridMultilevel"/>
    <w:lvl w:ilvl="0">
      <w:lvlJc w:val="left"/>
      <w:lvlText w:val="(%1)"/>
      <w:numFmt w:val="lowerLetter"/>
      <w:start w:val="3"/>
    </w:lvl>
  </w:abstractNum>
  <w:abstractNum w:abstractNumId="319">
    <w:nsid w:val="41E96BDB"/>
    <w:multiLevelType w:val="hybridMultilevel"/>
    <w:lvl w:ilvl="0">
      <w:lvlJc w:val="left"/>
      <w:lvlText w:val="(%1)"/>
      <w:numFmt w:val="lowerLetter"/>
      <w:start w:val="1"/>
    </w:lvl>
  </w:abstractNum>
  <w:abstractNum w:abstractNumId="320">
    <w:nsid w:val="331C4250"/>
    <w:multiLevelType w:val="hybridMultilevel"/>
    <w:lvl w:ilvl="0">
      <w:lvlJc w:val="left"/>
      <w:lvlText w:val="(%1)"/>
      <w:numFmt w:val="lowerLetter"/>
      <w:start w:val="10"/>
    </w:lvl>
  </w:abstractNum>
  <w:abstractNum w:abstractNumId="321">
    <w:nsid w:val="1B1493C2"/>
    <w:multiLevelType w:val="hybridMultilevel"/>
    <w:lvl w:ilvl="0">
      <w:lvlJc w:val="left"/>
      <w:lvlText w:val="(%1)"/>
      <w:numFmt w:val="lowerLetter"/>
      <w:start w:val="1"/>
    </w:lvl>
  </w:abstractNum>
  <w:abstractNum w:abstractNumId="322">
    <w:nsid w:val="39F06DFD"/>
    <w:multiLevelType w:val="hybridMultilevel"/>
    <w:lvl w:ilvl="0">
      <w:lvlJc w:val="left"/>
      <w:lvlText w:val="(%1)"/>
      <w:numFmt w:val="lowerLetter"/>
      <w:start w:val="1"/>
    </w:lvl>
  </w:abstractNum>
  <w:abstractNum w:abstractNumId="323">
    <w:nsid w:val="14802F5D"/>
    <w:multiLevelType w:val="hybridMultilevel"/>
    <w:lvl w:ilvl="0">
      <w:lvlJc w:val="left"/>
      <w:lvlText w:val="(%1)"/>
      <w:numFmt w:val="lowerLetter"/>
      <w:start w:val="1"/>
    </w:lvl>
  </w:abstractNum>
  <w:abstractNum w:abstractNumId="324">
    <w:nsid w:val="2774A209"/>
    <w:multiLevelType w:val="hybridMultilevel"/>
    <w:lvl w:ilvl="0">
      <w:lvlJc w:val="left"/>
      <w:lvlText w:val="(%1)"/>
      <w:numFmt w:val="lowerLetter"/>
      <w:start w:val="2"/>
    </w:lvl>
  </w:abstractNum>
  <w:abstractNum w:abstractNumId="325">
    <w:nsid w:val="3785655A"/>
    <w:multiLevelType w:val="hybridMultilevel"/>
    <w:lvl w:ilvl="0">
      <w:lvlJc w:val="left"/>
      <w:lvlText w:val="(%1)"/>
      <w:numFmt w:val="lowerLetter"/>
      <w:start w:val="2"/>
    </w:lvl>
  </w:abstractNum>
  <w:abstractNum w:abstractNumId="326">
    <w:nsid w:val="B2172A"/>
    <w:multiLevelType w:val="hybridMultilevel"/>
    <w:lvl w:ilvl="0">
      <w:lvlJc w:val="left"/>
      <w:lvlText w:val="(%1)"/>
      <w:numFmt w:val="lowerLetter"/>
      <w:start w:val="1"/>
    </w:lvl>
  </w:abstractNum>
  <w:abstractNum w:abstractNumId="327">
    <w:nsid w:val="532C34A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8">
    <w:nsid w:val="102809E2"/>
    <w:multiLevelType w:val="hybridMultilevel"/>
    <w:lvl w:ilvl="0">
      <w:lvlJc w:val="left"/>
      <w:lvlText w:val="%1"/>
      <w:numFmt w:val="lowerLetter"/>
      <w:start w:val="1"/>
    </w:lvl>
    <w:lvl w:ilvl="1">
      <w:lvlJc w:val="left"/>
      <w:lvlText w:val="(%2)"/>
      <w:numFmt w:val="lowerRoman"/>
      <w:start w:val="2"/>
    </w:lvl>
  </w:abstractNum>
  <w:abstractNum w:abstractNumId="329">
    <w:nsid w:val="3B2125A3"/>
    <w:multiLevelType w:val="hybridMultilevel"/>
    <w:lvl w:ilvl="0">
      <w:lvlJc w:val="left"/>
      <w:lvlText w:val="(%1)"/>
      <w:numFmt w:val="lowerLetter"/>
      <w:start w:val="2"/>
    </w:lvl>
    <w:lvl w:ilvl="1">
      <w:lvlJc w:val="left"/>
      <w:lvlText w:val="%2"/>
      <w:numFmt w:val="lowerRoman"/>
      <w:start w:val="1"/>
    </w:lvl>
  </w:abstractNum>
  <w:abstractNum w:abstractNumId="330">
    <w:nsid w:val="AC68FFB"/>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31">
    <w:nsid w:val="63DF3FB7"/>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32">
    <w:nsid w:val="64996E1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33">
    <w:nsid w:val="57A37D47"/>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334">
    <w:nsid w:val="74824D5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35">
    <w:nsid w:val="6F00529A"/>
    <w:multiLevelType w:val="hybridMultilevel"/>
    <w:lvl w:ilvl="0">
      <w:lvlJc w:val="left"/>
      <w:lvlText w:val="%1."/>
      <w:numFmt w:val="decimal"/>
      <w:start w:val="5"/>
    </w:lvl>
  </w:abstractNum>
  <w:abstractNum w:abstractNumId="336">
    <w:nsid w:val="805B331"/>
    <w:multiLevelType w:val="hybridMultilevel"/>
    <w:lvl w:ilvl="0">
      <w:lvlJc w:val="left"/>
      <w:lvlText w:val="%1."/>
      <w:numFmt w:val="decimal"/>
      <w:start w:val="8"/>
    </w:lvl>
  </w:abstractNum>
  <w:abstractNum w:abstractNumId="337">
    <w:nsid w:val="60A1463"/>
    <w:multiLevelType w:val="hybridMultilevel"/>
    <w:lvl w:ilvl="0">
      <w:lvlJc w:val="left"/>
      <w:lvlText w:val="%1."/>
      <w:numFmt w:val="decimal"/>
      <w:start w:val="1"/>
    </w:lvl>
  </w:abstractNum>
  <w:abstractNum w:abstractNumId="338">
    <w:nsid w:val="437731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9">
    <w:nsid w:val="16AC4B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0">
    <w:nsid w:val="76C44E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1">
    <w:nsid w:val="E04E6C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2">
    <w:nsid w:val="31A9DB76"/>
    <w:multiLevelType w:val="hybridMultilevel"/>
    <w:lvl w:ilvl="0">
      <w:lvlJc w:val="left"/>
      <w:lvlText w:val="(%1)"/>
      <w:numFmt w:val="lowerLetter"/>
      <w:start w:val="3"/>
    </w:lvl>
  </w:abstractNum>
  <w:abstractNum w:abstractNumId="343">
    <w:nsid w:val="4C4FFF5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44">
    <w:nsid w:val="51B76675"/>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2"/>
    </w:lvl>
  </w:abstractNum>
  <w:abstractNum w:abstractNumId="345">
    <w:nsid w:val="59A4BA7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46">
    <w:nsid w:val="450B7FB6"/>
    <w:multiLevelType w:val="hybridMultilevel"/>
    <w:lvl w:ilvl="0">
      <w:lvlJc w:val="left"/>
      <w:lvlText w:val="(%1)"/>
      <w:numFmt w:val="lowerLetter"/>
      <w:start w:val="2"/>
    </w:lvl>
  </w:abstractNum>
  <w:abstractNum w:abstractNumId="347">
    <w:nsid w:val="340BF64D"/>
    <w:multiLevelType w:val="hybridMultilevel"/>
    <w:lvl w:ilvl="0">
      <w:lvlJc w:val="left"/>
      <w:lvlText w:val="(%1)"/>
      <w:numFmt w:val="lowerLetter"/>
      <w:start w:val="9"/>
    </w:lvl>
  </w:abstractNum>
  <w:abstractNum w:abstractNumId="348">
    <w:nsid w:val="69454021"/>
    <w:multiLevelType w:val="hybridMultilevel"/>
    <w:lvl w:ilvl="0">
      <w:lvlJc w:val="left"/>
      <w:lvlText w:val="%1"/>
      <w:numFmt w:val="decimal"/>
      <w:start w:val="1"/>
    </w:lvl>
    <w:lvl w:ilvl="1">
      <w:lvlJc w:val="left"/>
      <w:lvlText w:val="(%2)"/>
      <w:numFmt w:val="lowerLetter"/>
      <w:start w:val="18"/>
    </w:lvl>
  </w:abstractNum>
  <w:abstractNum w:abstractNumId="349">
    <w:nsid w:val="49F15C6B"/>
    <w:multiLevelType w:val="hybridMultilevel"/>
    <w:lvl w:ilvl="0">
      <w:lvlJc w:val="left"/>
      <w:lvlText w:val="%1."/>
      <w:numFmt w:val="decimal"/>
      <w:start w:val="7"/>
    </w:lvl>
    <w:lvl w:ilvl="1">
      <w:lvlJc w:val="left"/>
      <w:lvlText w:val="(%2)"/>
      <w:numFmt w:val="lowerLetter"/>
      <w:start w:val="1"/>
    </w:lvl>
  </w:abstractNum>
  <w:abstractNum w:abstractNumId="350">
    <w:nsid w:val="75F56228"/>
    <w:multiLevelType w:val="hybridMultilevel"/>
    <w:lvl w:ilvl="0">
      <w:lvlJc w:val="left"/>
      <w:lvlText w:val="(%1)"/>
      <w:numFmt w:val="lowerLetter"/>
      <w:start w:val="3"/>
    </w:lvl>
  </w:abstractNum>
  <w:abstractNum w:abstractNumId="351">
    <w:nsid w:val="1C618271"/>
    <w:multiLevelType w:val="hybridMultilevel"/>
    <w:lvl w:ilvl="0">
      <w:lvlJc w:val="left"/>
      <w:lvlText w:val="%1"/>
      <w:numFmt w:val="decimal"/>
      <w:start w:val="1"/>
    </w:lvl>
    <w:lvl w:ilvl="1">
      <w:lvlJc w:val="left"/>
      <w:lvlText w:val="(%2)"/>
      <w:numFmt w:val="lowerLetter"/>
      <w:start w:val="6"/>
    </w:lvl>
  </w:abstractNum>
  <w:abstractNum w:abstractNumId="352">
    <w:nsid w:val="6505F02E"/>
    <w:multiLevelType w:val="hybridMultilevel"/>
    <w:lvl w:ilvl="0">
      <w:lvlJc w:val="left"/>
      <w:lvlText w:val="%1."/>
      <w:numFmt w:val="decimal"/>
      <w:start w:val="8"/>
    </w:lvl>
    <w:lvl w:ilvl="1">
      <w:lvlJc w:val="left"/>
      <w:lvlText w:val="%2"/>
      <w:numFmt w:val="lowerLetter"/>
      <w:start w:val="1"/>
    </w:lvl>
  </w:abstractNum>
  <w:abstractNum w:abstractNumId="353">
    <w:nsid w:val="2FE5D025"/>
    <w:multiLevelType w:val="hybridMultilevel"/>
    <w:lvl w:ilvl="0">
      <w:lvlJc w:val="left"/>
      <w:lvlText w:val="%1."/>
      <w:numFmt w:val="decimal"/>
      <w:start w:val="10"/>
    </w:lvl>
    <w:lvl w:ilvl="1">
      <w:lvlJc w:val="left"/>
      <w:lvlText w:val="(%2)"/>
      <w:numFmt w:val="lowerLetter"/>
      <w:start w:val="1"/>
    </w:lvl>
  </w:abstractNum>
  <w:abstractNum w:abstractNumId="354">
    <w:nsid w:val="30E1B1CF"/>
    <w:multiLevelType w:val="hybridMultilevel"/>
    <w:lvl w:ilvl="0">
      <w:lvlJc w:val="left"/>
      <w:lvlText w:val="(%1)"/>
      <w:numFmt w:val="lowerLetter"/>
      <w:start w:val="8"/>
    </w:lvl>
  </w:abstractNum>
  <w:abstractNum w:abstractNumId="355">
    <w:nsid w:val="C7A9237"/>
    <w:multiLevelType w:val="hybridMultilevel"/>
    <w:lvl w:ilvl="0">
      <w:lvlJc w:val="left"/>
      <w:lvlText w:val="(%1)"/>
      <w:numFmt w:val="lowerLetter"/>
      <w:start w:val="13"/>
    </w:lvl>
  </w:abstractNum>
  <w:abstractNum w:abstractNumId="356">
    <w:nsid w:val="676B3580"/>
    <w:multiLevelType w:val="hybridMultilevel"/>
    <w:lvl w:ilvl="0">
      <w:lvlJc w:val="left"/>
      <w:lvlText w:val="%1."/>
      <w:numFmt w:val="decimal"/>
      <w:start w:val="11"/>
    </w:lvl>
  </w:abstractNum>
  <w:abstractNum w:abstractNumId="357">
    <w:nsid w:val="3193C8F9"/>
    <w:multiLevelType w:val="hybridMultilevel"/>
    <w:lvl w:ilvl="0">
      <w:lvlJc w:val="left"/>
      <w:lvlText w:val="%1."/>
      <w:numFmt w:val="upperLetter"/>
      <w:start w:val="1"/>
    </w:lvl>
    <w:lvl w:ilvl="1">
      <w:lvlJc w:val="left"/>
      <w:lvlText w:val="☐"/>
      <w:numFmt w:val="bullet"/>
      <w:start w:val="1"/>
    </w:lvl>
  </w:abstractNum>
  <w:abstractNum w:abstractNumId="358">
    <w:nsid w:val="5FA6C6DC"/>
    <w:multiLevelType w:val="hybridMultilevel"/>
    <w:lvl w:ilvl="0">
      <w:lvlJc w:val="left"/>
      <w:lvlText w:val="%1."/>
      <w:numFmt w:val="decimal"/>
      <w:start w:val="1"/>
    </w:lvl>
  </w:abstractNum>
  <w:abstractNum w:abstractNumId="359">
    <w:nsid w:val="77933F62"/>
    <w:multiLevelType w:val="hybridMultilevel"/>
    <w:lvl w:ilvl="0">
      <w:lvlJc w:val="left"/>
      <w:lvlText w:val="%1."/>
      <w:numFmt w:val="upperLetter"/>
      <w:start w:val="2"/>
    </w:lvl>
    <w:lvl w:ilvl="1">
      <w:lvlJc w:val="left"/>
      <w:lvlText w:val="☐"/>
      <w:numFmt w:val="bullet"/>
      <w:start w:val="1"/>
    </w:lvl>
  </w:abstractNum>
  <w:abstractNum w:abstractNumId="360">
    <w:nsid w:val="6CB4EE9C"/>
    <w:multiLevelType w:val="hybridMultilevel"/>
    <w:lvl w:ilvl="0">
      <w:lvlJc w:val="left"/>
      <w:lvlText w:val="%1."/>
      <w:numFmt w:val="decimal"/>
      <w:start w:val="1"/>
    </w:lvl>
  </w:abstractNum>
  <w:abstractNum w:abstractNumId="361">
    <w:nsid w:val="6A6D56D7"/>
    <w:multiLevelType w:val="hybridMultilevel"/>
    <w:lvl w:ilvl="0">
      <w:lvlJc w:val="left"/>
      <w:lvlText w:val="☐"/>
      <w:numFmt w:val="bullet"/>
      <w:start w:val="1"/>
    </w:lvl>
  </w:abstractNum>
  <w:abstractNum w:abstractNumId="362">
    <w:nsid w:val="5B727F19"/>
    <w:multiLevelType w:val="hybridMultilevel"/>
    <w:lvl w:ilvl="0">
      <w:lvlJc w:val="left"/>
      <w:lvlText w:val="%1"/>
      <w:numFmt w:val="lowerLetter"/>
      <w:start w:val="1"/>
    </w:lvl>
    <w:lvl w:ilvl="1">
      <w:lvlJc w:val="left"/>
      <w:lvlText w:val="%2."/>
      <w:numFmt w:val="decimal"/>
      <w:start w:val="1"/>
    </w:lvl>
  </w:abstractNum>
  <w:abstractNum w:abstractNumId="363">
    <w:nsid w:val="514E5CB0"/>
    <w:multiLevelType w:val="hybridMultilevel"/>
    <w:lvl w:ilvl="0">
      <w:lvlJc w:val="left"/>
      <w:lvlText w:val="(%1)"/>
      <w:numFmt w:val="lowerLetter"/>
      <w:start w:val="2"/>
    </w:lvl>
    <w:lvl w:ilvl="1">
      <w:lvlJc w:val="left"/>
      <w:lvlText w:val="%2."/>
      <w:numFmt w:val="decimal"/>
      <w:start w:val="3"/>
    </w:lvl>
  </w:abstractNum>
  <w:abstractNum w:abstractNumId="364">
    <w:nsid w:val="4210D41E"/>
    <w:multiLevelType w:val="hybridMultilevel"/>
    <w:lvl w:ilvl="0">
      <w:lvlJc w:val="left"/>
      <w:lvlText w:val="%1."/>
      <w:numFmt w:val="decimal"/>
      <w:start w:val="4"/>
    </w:lvl>
    <w:lvl w:ilvl="1">
      <w:lvlJc w:val="left"/>
      <w:lvlText w:val="(%2)"/>
      <w:numFmt w:val="lowerLetter"/>
      <w:start w:val="1"/>
    </w:lvl>
  </w:abstractNum>
  <w:abstractNum w:abstractNumId="365">
    <w:nsid w:val="4FF4CC6D"/>
    <w:multiLevelType w:val="hybridMultilevel"/>
    <w:lvl w:ilvl="0">
      <w:lvlJc w:val="left"/>
      <w:lvlText w:val="(%1)"/>
      <w:numFmt w:val="lowerLetter"/>
      <w:start w:val="3"/>
    </w:lvl>
  </w:abstractNum>
  <w:abstractNum w:abstractNumId="366">
    <w:nsid w:val="404EAF4A"/>
    <w:multiLevelType w:val="hybridMultilevel"/>
    <w:lvl w:ilvl="0">
      <w:lvlJc w:val="left"/>
      <w:lvlText w:val="(%1)"/>
      <w:numFmt w:val="lowerLetter"/>
      <w:start w:val="8"/>
    </w:lvl>
  </w:abstractNum>
  <w:abstractNum w:abstractNumId="367">
    <w:nsid w:val="4A16874F"/>
    <w:multiLevelType w:val="hybridMultilevel"/>
    <w:lvl w:ilvl="0">
      <w:lvlJc w:val="left"/>
      <w:lvlText w:val="%1."/>
      <w:numFmt w:val="decimal"/>
      <w:start w:val="1"/>
    </w:lvl>
  </w:abstractNum>
  <w:abstractNum w:abstractNumId="368">
    <w:nsid w:val="55FEE0D1"/>
    <w:multiLevelType w:val="hybridMultilevel"/>
    <w:lvl w:ilvl="0">
      <w:lvlJc w:val="left"/>
      <w:lvlText w:val="%1."/>
      <w:numFmt w:val="decimal"/>
      <w:start w:val="3"/>
    </w:lvl>
  </w:abstractNum>
  <w:abstractNum w:abstractNumId="369">
    <w:nsid w:val="3C5E07C"/>
    <w:multiLevelType w:val="hybridMultilevel"/>
    <w:lvl w:ilvl="0">
      <w:lvlJc w:val="left"/>
      <w:lvlText w:val="%1."/>
      <w:numFmt w:val="decimal"/>
      <w:start w:val="10"/>
    </w:lvl>
  </w:abstractNum>
  <w:abstractNum w:abstractNumId="370">
    <w:nsid w:val="60C2D2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1">
    <w:nsid w:val="4CC32F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2">
    <w:nsid w:val="11CAC74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73">
    <w:nsid w:val="126CADE9"/>
    <w:multiLevelType w:val="hybridMultilevel"/>
    <w:lvl w:ilvl="0">
      <w:lvlJc w:val="left"/>
      <w:lvlText w:val="%1"/>
      <w:numFmt w:val="decimal"/>
      <w:start w:val="1"/>
    </w:lvl>
    <w:lvl w:ilvl="1">
      <w:lvlJc w:val="left"/>
      <w:lvlText w:val="(%2)"/>
      <w:numFmt w:val="lowerLetter"/>
      <w:start w:val="2"/>
    </w:lvl>
  </w:abstractNum>
  <w:abstractNum w:abstractNumId="374">
    <w:nsid w:val="19132E7B"/>
    <w:multiLevelType w:val="hybridMultilevel"/>
    <w:lvl w:ilvl="0">
      <w:lvlJc w:val="left"/>
      <w:lvlText w:val="%1."/>
      <w:numFmt w:val="decimal"/>
      <w:start w:val="6"/>
    </w:lvl>
    <w:lvl w:ilvl="1">
      <w:lvlJc w:val="left"/>
      <w:lvlText w:val="(%2)"/>
      <w:numFmt w:val="lowerLetter"/>
      <w:start w:val="1"/>
    </w:lvl>
  </w:abstractNum>
  <w:abstractNum w:abstractNumId="375">
    <w:nsid w:val="63822DC0"/>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76">
    <w:nsid w:val="6C11685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77">
    <w:nsid w:val="5E1EAE31"/>
    <w:multiLevelType w:val="hybridMultilevel"/>
    <w:lvl w:ilvl="0">
      <w:lvlJc w:val="left"/>
      <w:lvlText w:val="%1."/>
      <w:numFmt w:val="decimal"/>
      <w:start w:val="10"/>
    </w:lvl>
    <w:lvl w:ilvl="1">
      <w:lvlJc w:val="left"/>
      <w:lvlText w:val="(%2)"/>
      <w:numFmt w:val="lowerLetter"/>
      <w:start w:val="1"/>
    </w:lvl>
  </w:abstractNum>
  <w:abstractNum w:abstractNumId="378">
    <w:nsid w:val="178E240D"/>
    <w:multiLevelType w:val="hybridMultilevel"/>
    <w:lvl w:ilvl="0">
      <w:lvlJc w:val="left"/>
      <w:lvlText w:val="(%1)"/>
      <w:numFmt w:val="lowerRoman"/>
      <w:start w:val="4"/>
    </w:lvl>
  </w:abstractNum>
  <w:abstractNum w:abstractNumId="379">
    <w:nsid w:val="5556A87B"/>
    <w:multiLevelType w:val="hybridMultilevel"/>
    <w:lvl w:ilvl="0">
      <w:lvlJc w:val="left"/>
      <w:lvlText w:val="(%1)"/>
      <w:numFmt w:val="lowerRoman"/>
      <w:start w:val="1"/>
    </w:lvl>
  </w:abstractNum>
  <w:abstractNum w:abstractNumId="380">
    <w:nsid w:val="28100A9C"/>
    <w:multiLevelType w:val="hybridMultilevel"/>
    <w:lvl w:ilvl="0">
      <w:lvlJc w:val="left"/>
      <w:lvlText w:val="1"/>
      <w:numFmt w:val="bullet"/>
      <w:start w:val="1"/>
    </w:lvl>
  </w:abstractNum>
  <w:abstractNum w:abstractNumId="381">
    <w:nsid w:val="D838636"/>
    <w:multiLevelType w:val="hybridMultilevel"/>
    <w:lvl w:ilvl="0">
      <w:lvlJc w:val="left"/>
      <w:lvlText w:val="(%1)"/>
      <w:numFmt w:val="lowerLetter"/>
      <w:start w:val="1"/>
    </w:lvl>
    <w:lvl w:ilvl="1">
      <w:lvlJc w:val="left"/>
      <w:lvlText w:val="(%2)"/>
      <w:numFmt w:val="lowerLetter"/>
      <w:start w:val="9"/>
    </w:lvl>
  </w:abstractNum>
  <w:abstractNum w:abstractNumId="382">
    <w:nsid w:val="71B82AED"/>
    <w:multiLevelType w:val="hybridMultilevel"/>
    <w:lvl w:ilvl="0">
      <w:lvlJc w:val="left"/>
      <w:lvlText w:val="2"/>
      <w:numFmt w:val="bullet"/>
      <w:start w:val="1"/>
    </w:lvl>
  </w:abstractNum>
  <w:abstractNum w:abstractNumId="383">
    <w:nsid w:val="D15FACA"/>
    <w:multiLevelType w:val="hybridMultilevel"/>
    <w:lvl w:ilvl="0">
      <w:lvlJc w:val="left"/>
      <w:lvlText w:val="%1"/>
      <w:numFmt w:val="lowerLetter"/>
      <w:start w:val="1"/>
    </w:lvl>
    <w:lvl w:ilvl="1">
      <w:lvlJc w:val="left"/>
      <w:lvlText w:val="(%2)"/>
      <w:numFmt w:val="lowerLetter"/>
      <w:start w:val="35"/>
    </w:lvl>
  </w:abstractNum>
  <w:abstractNum w:abstractNumId="384">
    <w:nsid w:val="3D69565B"/>
    <w:multiLevelType w:val="hybridMultilevel"/>
    <w:lvl w:ilvl="0">
      <w:lvlJc w:val="left"/>
      <w:lvlText w:val="(%1)"/>
      <w:numFmt w:val="lowerLetter"/>
      <w:start w:val="2"/>
    </w:lvl>
    <w:lvl w:ilvl="1">
      <w:lvlJc w:val="left"/>
      <w:lvlText w:val="%2"/>
      <w:numFmt w:val="lowerLetter"/>
      <w:start w:val="1"/>
    </w:lvl>
  </w:abstractNum>
  <w:abstractNum w:abstractNumId="385">
    <w:nsid w:val="2299DCBC"/>
    <w:multiLevelType w:val="hybridMultilevel"/>
    <w:lvl w:ilvl="0">
      <w:lvlJc w:val="left"/>
      <w:lvlText w:val="(%1)"/>
      <w:numFmt w:val="lowerLetter"/>
      <w:start w:val="35"/>
    </w:lvl>
  </w:abstractNum>
  <w:abstractNum w:abstractNumId="386">
    <w:nsid w:val="19908D02"/>
    <w:multiLevelType w:val="hybridMultilevel"/>
    <w:lvl w:ilvl="0">
      <w:lvlJc w:val="left"/>
      <w:lvlText w:val="(%1)"/>
      <w:numFmt w:val="lowerLetter"/>
      <w:start w:val="25"/>
    </w:lvl>
  </w:abstractNum>
  <w:abstractNum w:abstractNumId="387">
    <w:nsid w:val="24D48BDB"/>
    <w:multiLevelType w:val="hybridMultilevel"/>
    <w:lvl w:ilvl="0">
      <w:lvlJc w:val="left"/>
      <w:lvlText w:val="(%1)"/>
      <w:numFmt w:val="lowerLetter"/>
      <w:start w:val="1"/>
    </w:lvl>
  </w:abstractNum>
  <w:abstractNum w:abstractNumId="388">
    <w:nsid w:val="542DA5B5"/>
    <w:multiLevelType w:val="hybridMultilevel"/>
    <w:lvl w:ilvl="0">
      <w:lvlJc w:val="left"/>
      <w:lvlText w:val="(%1)"/>
      <w:numFmt w:val="decimal"/>
      <w:start w:val="90"/>
    </w:lvl>
  </w:abstractNum>
  <w:abstractNum w:abstractNumId="389">
    <w:nsid w:val="793753DE"/>
    <w:multiLevelType w:val="hybridMultilevel"/>
    <w:lvl w:ilvl="0">
      <w:lvlJc w:val="left"/>
      <w:lvlText w:val="(%1)"/>
      <w:numFmt w:val="upperLetter"/>
      <w:start w:val="2"/>
    </w:lvl>
  </w:abstractNum>
  <w:abstractNum w:abstractNumId="390">
    <w:nsid w:val="1C67CB3D"/>
    <w:multiLevelType w:val="hybridMultilevel"/>
    <w:lvl w:ilvl="0">
      <w:lvlJc w:val="left"/>
      <w:lvlText w:val="(%1)"/>
      <w:numFmt w:val="upperLetter"/>
      <w:start w:val="2"/>
    </w:lvl>
  </w:abstractNum>
  <w:abstractNum w:abstractNumId="391">
    <w:nsid w:val="40E29452"/>
    <w:multiLevelType w:val="hybridMultilevel"/>
    <w:lvl w:ilvl="0">
      <w:lvlJc w:val="left"/>
      <w:lvlText w:val="%1."/>
      <w:numFmt w:val="decimal"/>
      <w:start w:val="1"/>
    </w:lvl>
  </w:abstractNum>
  <w:abstractNum w:abstractNumId="392">
    <w:nsid w:val="63A4AAB6"/>
    <w:multiLevelType w:val="hybridMultilevel"/>
    <w:lvl w:ilvl="0">
      <w:lvlJc w:val="left"/>
      <w:lvlText w:val="(%1)"/>
      <w:numFmt w:val="lowerLetter"/>
      <w:start w:val="1"/>
    </w:lvl>
  </w:abstractNum>
  <w:abstractNum w:abstractNumId="393">
    <w:nsid w:val="77DA4A57"/>
    <w:multiLevelType w:val="hybridMultilevel"/>
    <w:lvl w:ilvl="0">
      <w:lvlJc w:val="left"/>
      <w:lvlText w:val="%1"/>
      <w:numFmt w:val="upperLetter"/>
      <w:start w:val="1"/>
    </w:lvl>
    <w:lvl w:ilvl="1">
      <w:lvlJc w:val="left"/>
      <w:lvlText w:val="(%2)"/>
      <w:numFmt w:val="lowerLetter"/>
      <w:start w:val="2"/>
    </w:lvl>
  </w:abstractNum>
  <w:abstractNum w:abstractNumId="394">
    <w:nsid w:val="1230F102"/>
    <w:multiLevelType w:val="hybridMultilevel"/>
    <w:lvl w:ilvl="0">
      <w:lvlJc w:val="left"/>
      <w:lvlText w:val="%1."/>
      <w:numFmt w:val="upperLetter"/>
      <w:start w:val="2"/>
    </w:lvl>
    <w:lvl w:ilvl="1">
      <w:lvlJc w:val="left"/>
      <w:lvlText w:val="%2"/>
      <w:numFmt w:val="lowerLetter"/>
      <w:start w:val="1"/>
    </w:lvl>
  </w:abstractNum>
  <w:abstractNum w:abstractNumId="395">
    <w:nsid w:val="25B57ED4"/>
    <w:multiLevelType w:val="hybridMultilevel"/>
    <w:lvl w:ilvl="0">
      <w:lvlJc w:val="left"/>
      <w:lvlText w:val="%1."/>
      <w:numFmt w:val="decimal"/>
      <w:start w:val="1"/>
    </w:lvl>
  </w:abstractNum>
  <w:abstractNum w:abstractNumId="396">
    <w:nsid w:val="47CF16C4"/>
    <w:multiLevelType w:val="hybridMultilevel"/>
    <w:lvl w:ilvl="0">
      <w:lvlJc w:val="left"/>
      <w:lvlText w:val="%1."/>
      <w:numFmt w:val="decimal"/>
      <w:start w:val="1"/>
    </w:lvl>
  </w:abstractNum>
  <w:abstractNum w:abstractNumId="397">
    <w:nsid w:val="527FA04C"/>
    <w:multiLevelType w:val="hybridMultilevel"/>
    <w:lvl w:ilvl="0">
      <w:lvlJc w:val="left"/>
      <w:lvlText w:val="%1"/>
      <w:numFmt w:val="lowerRoman"/>
      <w:start w:val="1"/>
    </w:lvl>
    <w:lvl w:ilvl="1">
      <w:lvlJc w:val="left"/>
      <w:lvlText w:val="%2."/>
      <w:numFmt w:val="decimal"/>
      <w:start w:val="4"/>
    </w:lvl>
  </w:abstractNum>
  <w:abstractNum w:abstractNumId="398">
    <w:nsid w:val="6FCC0624"/>
    <w:multiLevelType w:val="hybridMultilevel"/>
    <w:lvl w:ilvl="0">
      <w:lvlJc w:val="left"/>
      <w:lvlText w:val="(%1)"/>
      <w:numFmt w:val="lowerRoman"/>
      <w:start w:val="2"/>
    </w:lvl>
    <w:lvl w:ilvl="1">
      <w:lvlJc w:val="left"/>
      <w:lvlText w:val="%2"/>
      <w:numFmt w:val="decimal"/>
      <w:start w:val="1"/>
    </w:lvl>
  </w:abstractNum>
  <w:abstractNum w:abstractNumId="399">
    <w:nsid w:val="1DCDF795"/>
    <w:multiLevelType w:val="hybridMultilevel"/>
    <w:lvl w:ilvl="0">
      <w:lvlJc w:val="left"/>
      <w:lvlText w:val="%1"/>
      <w:numFmt w:val="lowerLetter"/>
      <w:start w:val="1"/>
    </w:lvl>
    <w:lvl w:ilvl="1">
      <w:lvlJc w:val="left"/>
      <w:lvlText w:val="%2."/>
      <w:numFmt w:val="decimal"/>
      <w:start w:val="1"/>
    </w:lvl>
  </w:abstractNum>
  <w:abstractNum w:abstractNumId="400">
    <w:nsid w:val="564580C8"/>
    <w:multiLevelType w:val="hybridMultilevel"/>
    <w:lvl w:ilvl="0">
      <w:lvlJc w:val="left"/>
      <w:lvlText w:val="(%1)"/>
      <w:numFmt w:val="lowerLetter"/>
      <w:start w:val="2"/>
    </w:lvl>
    <w:lvl w:ilvl="1">
      <w:lvlJc w:val="left"/>
      <w:lvlText w:val="%2."/>
      <w:numFmt w:val="decimal"/>
      <w:start w:val="2"/>
    </w:lvl>
  </w:abstractNum>
  <w:abstractNum w:abstractNumId="401">
    <w:nsid w:val="508ED897"/>
    <w:multiLevelType w:val="hybridMultilevel"/>
    <w:lvl w:ilvl="0">
      <w:lvlJc w:val="left"/>
      <w:lvlText w:val="%1."/>
      <w:numFmt w:val="decimal"/>
      <w:start w:val="1"/>
    </w:lvl>
  </w:abstractNum>
  <w:abstractNum w:abstractNumId="402">
    <w:nsid w:val="6A9126B5"/>
    <w:multiLevelType w:val="hybridMultilevel"/>
    <w:lvl w:ilvl="0">
      <w:lvlJc w:val="left"/>
      <w:lvlText w:val="%1."/>
      <w:numFmt w:val="decimal"/>
      <w:start w:val="1"/>
    </w:lvl>
  </w:abstractNum>
  <w:abstractNum w:abstractNumId="403">
    <w:nsid w:val="68104812"/>
    <w:multiLevelType w:val="hybridMultilevel"/>
    <w:lvl w:ilvl="0">
      <w:lvlJc w:val="left"/>
      <w:lvlText w:val="(%1)"/>
      <w:numFmt w:val="lowerLetter"/>
      <w:start w:val="1"/>
    </w:lvl>
  </w:abstractNum>
  <w:abstractNum w:abstractNumId="404">
    <w:nsid w:val="62FB8680"/>
    <w:multiLevelType w:val="hybridMultilevel"/>
    <w:lvl w:ilvl="0">
      <w:lvlJc w:val="left"/>
      <w:lvlText w:val="(%1)"/>
      <w:numFmt w:val="decimal"/>
      <w:start w:val="1"/>
    </w:lvl>
  </w:abstractNum>
  <w:abstractNum w:abstractNumId="405">
    <w:nsid w:val="3A45530"/>
    <w:multiLevelType w:val="hybridMultilevel"/>
    <w:lvl w:ilvl="0">
      <w:lvlJc w:val="left"/>
      <w:lvlText w:val="(%1)"/>
      <w:numFmt w:val="upperLetter"/>
      <w:start w:val="1"/>
    </w:lvl>
  </w:abstractNum>
  <w:abstractNum w:abstractNumId="406">
    <w:nsid w:val="4B9275D2"/>
    <w:multiLevelType w:val="hybridMultilevel"/>
    <w:lvl w:ilvl="0">
      <w:lvlJc w:val="left"/>
      <w:lvlText w:val="(%1)"/>
      <w:numFmt w:val="upperLetter"/>
      <w:start w:val="4"/>
    </w:lvl>
  </w:abstractNum>
  <w:abstractNum w:abstractNumId="407">
    <w:nsid w:val="4F0CEEDB"/>
    <w:multiLevelType w:val="hybridMultilevel"/>
    <w:lvl w:ilvl="0">
      <w:lvlJc w:val="left"/>
      <w:lvlText w:val="(%1)"/>
      <w:numFmt w:val="decimal"/>
      <w:start w:val="3"/>
    </w:lvl>
  </w:abstractNum>
  <w:abstractNum w:abstractNumId="408">
    <w:nsid w:val="61C30361"/>
    <w:multiLevelType w:val="hybridMultilevel"/>
    <w:lvl w:ilvl="0">
      <w:lvlJc w:val="left"/>
      <w:lvlText w:val="(%1)"/>
      <w:numFmt w:val="lowerLetter"/>
      <w:start w:val="2"/>
    </w:lvl>
  </w:abstractNum>
  <w:abstractNum w:abstractNumId="409">
    <w:nsid w:val="632099E0"/>
    <w:multiLevelType w:val="hybridMultilevel"/>
    <w:lvl w:ilvl="0">
      <w:lvlJc w:val="left"/>
      <w:lvlText w:val="(%1)"/>
      <w:numFmt w:val="decimal"/>
      <w:start w:val="1"/>
    </w:lvl>
  </w:abstractNum>
  <w:abstractNum w:abstractNumId="410">
    <w:nsid w:val="24639756"/>
    <w:multiLevelType w:val="hybridMultilevel"/>
    <w:lvl w:ilvl="0">
      <w:lvlJc w:val="left"/>
      <w:lvlText w:val="(%1)"/>
      <w:numFmt w:val="lowerLetter"/>
      <w:start w:val="9"/>
    </w:lvl>
    <w:lvl w:ilvl="1">
      <w:lvlJc w:val="left"/>
      <w:lvlText w:val="(%2)"/>
      <w:numFmt w:val="lowerLetter"/>
      <w:start w:val="3"/>
    </w:lvl>
  </w:abstractNum>
  <w:abstractNum w:abstractNumId="411">
    <w:nsid w:val="9D30DFD"/>
    <w:multiLevelType w:val="hybridMultilevel"/>
    <w:lvl w:ilvl="0">
      <w:lvlJc w:val="left"/>
      <w:lvlText w:val="(%1)"/>
      <w:numFmt w:val="lowerLetter"/>
      <w:start w:val="1"/>
    </w:lvl>
  </w:abstractNum>
  <w:abstractNum w:abstractNumId="412">
    <w:nsid w:val="70A42016"/>
    <w:multiLevelType w:val="hybridMultilevel"/>
    <w:lvl w:ilvl="0">
      <w:lvlJc w:val="left"/>
      <w:lvlText w:val="(%1)"/>
      <w:numFmt w:val="lowerLetter"/>
      <w:start w:val="1"/>
    </w:lvl>
  </w:abstractNum>
  <w:abstractNum w:abstractNumId="413">
    <w:nsid w:val="161BC243"/>
    <w:multiLevelType w:val="hybridMultilevel"/>
    <w:lvl w:ilvl="0">
      <w:lvlJc w:val="left"/>
      <w:lvlText w:val="(%1)"/>
      <w:numFmt w:val="lowerLetter"/>
      <w:start w:val="1"/>
    </w:lvl>
  </w:abstractNum>
  <w:abstractNum w:abstractNumId="414">
    <w:nsid w:val="16E908C8"/>
    <w:multiLevelType w:val="hybridMultilevel"/>
    <w:lvl w:ilvl="0">
      <w:lvlJc w:val="left"/>
      <w:lvlText w:val="(%1)"/>
      <w:numFmt w:val="decimal"/>
      <w:start w:val="1"/>
    </w:lvl>
  </w:abstractNum>
  <w:abstractNum w:abstractNumId="415">
    <w:nsid w:val="2E0D7671"/>
    <w:multiLevelType w:val="hybridMultilevel"/>
    <w:lvl w:ilvl="0">
      <w:lvlJc w:val="left"/>
      <w:lvlText w:val="(%1)"/>
      <w:numFmt w:val="lowerLetter"/>
      <w:start w:val="1"/>
    </w:lvl>
  </w:abstractNum>
  <w:abstractNum w:abstractNumId="416">
    <w:nsid w:val="38B59EFF"/>
    <w:multiLevelType w:val="hybridMultilevel"/>
    <w:lvl w:ilvl="0">
      <w:lvlJc w:val="left"/>
      <w:lvlText w:val="(%1)"/>
      <w:numFmt w:val="lowerLetter"/>
      <w:start w:val="9"/>
    </w:lvl>
    <w:lvl w:ilvl="1">
      <w:lvlJc w:val="left"/>
      <w:lvlText w:val="(%2)"/>
      <w:numFmt w:val="lowerLetter"/>
      <w:start w:val="2"/>
    </w:lvl>
  </w:abstractNum>
  <w:abstractNum w:abstractNumId="417">
    <w:nsid w:val="307995CA"/>
    <w:multiLevelType w:val="hybridMultilevel"/>
    <w:lvl w:ilvl="0">
      <w:lvlJc w:val="left"/>
      <w:lvlText w:val="(%1)"/>
      <w:numFmt w:val="lowerLetter"/>
      <w:start w:val="1"/>
    </w:lvl>
  </w:abstractNum>
  <w:abstractNum w:abstractNumId="418">
    <w:nsid w:val="52E2024D"/>
    <w:multiLevelType w:val="hybridMultilevel"/>
    <w:lvl w:ilvl="0">
      <w:lvlJc w:val="left"/>
      <w:lvlText w:val="(%1)"/>
      <w:numFmt w:val="lowerLetter"/>
      <w:start w:val="1"/>
    </w:lvl>
  </w:abstractNum>
  <w:abstractNum w:abstractNumId="419">
    <w:nsid w:val="CE344B5"/>
    <w:multiLevelType w:val="hybridMultilevel"/>
    <w:lvl w:ilvl="0">
      <w:lvlJc w:val="left"/>
      <w:lvlText w:val="(%1)"/>
      <w:numFmt w:val="lowerLetter"/>
      <w:start w:val="2"/>
    </w:lvl>
  </w:abstractNum>
  <w:abstractNum w:abstractNumId="420">
    <w:nsid w:val="29B0E9A8"/>
    <w:multiLevelType w:val="hybridMultilevel"/>
    <w:lvl w:ilvl="0">
      <w:lvlJc w:val="left"/>
      <w:lvlText w:val="(%1)"/>
      <w:numFmt w:val="lowerLetter"/>
      <w:start w:val="1"/>
    </w:lvl>
  </w:abstractNum>
  <w:abstractNum w:abstractNumId="421">
    <w:nsid w:val="6F49CD8A"/>
    <w:multiLevelType w:val="hybridMultilevel"/>
    <w:lvl w:ilvl="0">
      <w:lvlJc w:val="left"/>
      <w:lvlText w:val="(%1)"/>
      <w:numFmt w:val="lowerLetter"/>
      <w:start w:val="1"/>
    </w:lvl>
    <w:lvl w:ilvl="1">
      <w:lvlJc w:val="left"/>
      <w:lvlText w:val="(%2)"/>
      <w:numFmt w:val="lowerRoman"/>
      <w:start w:val="1"/>
    </w:lvl>
  </w:abstractNum>
  <w:abstractNum w:abstractNumId="422">
    <w:nsid w:val="4DC5D907"/>
    <w:multiLevelType w:val="hybridMultilevel"/>
    <w:lvl w:ilvl="0">
      <w:lvlJc w:val="left"/>
      <w:lvlText w:val="(%1)"/>
      <w:numFmt w:val="lowerLetter"/>
      <w:start w:val="3"/>
    </w:lvl>
  </w:abstractNum>
  <w:abstractNum w:abstractNumId="423">
    <w:nsid w:val="D55945E"/>
    <w:multiLevelType w:val="hybridMultilevel"/>
    <w:lvl w:ilvl="0">
      <w:lvlJc w:val="left"/>
      <w:lvlText w:val="(%1)"/>
      <w:numFmt w:val="lowerLetter"/>
      <w:start w:val="1"/>
    </w:lvl>
  </w:abstractNum>
  <w:abstractNum w:abstractNumId="424">
    <w:nsid w:val="672417E1"/>
    <w:multiLevelType w:val="hybridMultilevel"/>
    <w:lvl w:ilvl="0">
      <w:lvlJc w:val="left"/>
      <w:lvlText w:val="(%1)"/>
      <w:numFmt w:val="lowerLetter"/>
      <w:start w:val="3"/>
    </w:lvl>
  </w:abstractNum>
  <w:abstractNum w:abstractNumId="425">
    <w:nsid w:val="5FF6CA09"/>
    <w:multiLevelType w:val="hybridMultilevel"/>
    <w:lvl w:ilvl="0">
      <w:lvlJc w:val="left"/>
      <w:lvlText w:val="(%1)"/>
      <w:numFmt w:val="lowerLetter"/>
      <w:start w:val="1"/>
    </w:lvl>
  </w:abstractNum>
  <w:abstractNum w:abstractNumId="426">
    <w:nsid w:val="330B1333"/>
    <w:multiLevelType w:val="hybridMultilevel"/>
    <w:lvl w:ilvl="0">
      <w:lvlJc w:val="left"/>
      <w:lvlText w:val="(%1)"/>
      <w:numFmt w:val="lowerLetter"/>
      <w:start w:val="2"/>
    </w:lvl>
  </w:abstractNum>
  <w:abstractNum w:abstractNumId="427">
    <w:nsid w:val="2EF32EA6"/>
    <w:multiLevelType w:val="hybridMultilevel"/>
    <w:lvl w:ilvl="0">
      <w:lvlJc w:val="left"/>
      <w:lvlText w:val="(%1)"/>
      <w:numFmt w:val="lowerLetter"/>
      <w:start w:val="3"/>
    </w:lvl>
    <w:lvl w:ilvl="1">
      <w:lvlJc w:val="left"/>
      <w:lvlText w:val="(%2)"/>
      <w:numFmt w:val="lowerRoman"/>
      <w:start w:val="1"/>
    </w:lvl>
  </w:abstractNum>
  <w:abstractNum w:abstractNumId="428">
    <w:nsid w:val="32766A55"/>
    <w:multiLevelType w:val="hybridMultilevel"/>
    <w:lvl w:ilvl="0">
      <w:lvlJc w:val="left"/>
      <w:lvlText w:val="(%1)"/>
      <w:numFmt w:val="lowerLetter"/>
      <w:start w:val="6"/>
    </w:lvl>
  </w:abstractNum>
  <w:abstractNum w:abstractNumId="429">
    <w:nsid w:val="22D71957"/>
    <w:multiLevelType w:val="hybridMultilevel"/>
    <w:lvl w:ilvl="0">
      <w:lvlJc w:val="left"/>
      <w:lvlText w:val="(%1)"/>
      <w:numFmt w:val="lowerLetter"/>
      <w:start w:val="1"/>
    </w:lvl>
  </w:abstractNum>
  <w:abstractNum w:abstractNumId="430">
    <w:nsid w:val="4CC1263B"/>
    <w:multiLevelType w:val="hybridMultilevel"/>
    <w:lvl w:ilvl="0">
      <w:lvlJc w:val="left"/>
      <w:lvlText w:val="%1"/>
      <w:numFmt w:val="lowerLetter"/>
      <w:start w:val="1"/>
    </w:lvl>
    <w:lvl w:ilvl="1">
      <w:lvlJc w:val="left"/>
      <w:lvlText w:val="(%2)"/>
      <w:numFmt w:val="lowerLetter"/>
      <w:start w:val="1"/>
    </w:lvl>
  </w:abstractNum>
  <w:abstractNum w:abstractNumId="431">
    <w:nsid w:val="8BBEB1D"/>
    <w:multiLevelType w:val="hybridMultilevel"/>
    <w:lvl w:ilvl="0">
      <w:lvlJc w:val="left"/>
      <w:lvlText w:val="(%1)"/>
      <w:numFmt w:val="lowerLetter"/>
      <w:start w:val="9"/>
    </w:lvl>
    <w:lvl w:ilvl="1">
      <w:lvlJc w:val="left"/>
      <w:lvlText w:val="(%2)"/>
      <w:numFmt w:val="lowerLetter"/>
      <w:start w:val="3"/>
    </w:lvl>
  </w:abstractNum>
  <w:abstractNum w:abstractNumId="432">
    <w:nsid w:val="7365F1EE"/>
    <w:multiLevelType w:val="hybridMultilevel"/>
    <w:lvl w:ilvl="0">
      <w:lvlJc w:val="left"/>
      <w:lvlText w:val="(%1)"/>
      <w:numFmt w:val="lowerLetter"/>
      <w:start w:val="1"/>
    </w:lvl>
  </w:abstractNum>
  <w:abstractNum w:abstractNumId="433">
    <w:nsid w:val="37524CF0"/>
    <w:multiLevelType w:val="hybridMultilevel"/>
    <w:lvl w:ilvl="0">
      <w:lvlJc w:val="left"/>
      <w:lvlText w:val="(%1)"/>
      <w:numFmt w:val="lowerLetter"/>
      <w:start w:val="1"/>
    </w:lvl>
  </w:abstractNum>
  <w:abstractNum w:abstractNumId="434">
    <w:nsid w:val="70CC332F"/>
    <w:multiLevelType w:val="hybridMultilevel"/>
    <w:lvl w:ilvl="0">
      <w:lvlJc w:val="left"/>
      <w:lvlText w:val="(%1)"/>
      <w:numFmt w:val="lowerLetter"/>
      <w:start w:val="2"/>
    </w:lvl>
  </w:abstractNum>
  <w:abstractNum w:abstractNumId="435">
    <w:nsid w:val="5661786E"/>
    <w:multiLevelType w:val="hybridMultilevel"/>
    <w:lvl w:ilvl="0">
      <w:lvlJc w:val="left"/>
      <w:lvlText w:val="(%1)"/>
      <w:numFmt w:val="lowerLetter"/>
      <w:start w:val="1"/>
    </w:lvl>
  </w:abstractNum>
  <w:abstractNum w:abstractNumId="436">
    <w:nsid w:val="3AF6A220"/>
    <w:multiLevelType w:val="hybridMultilevel"/>
    <w:lvl w:ilvl="0">
      <w:lvlJc w:val="left"/>
      <w:lvlText w:val="(%1)"/>
      <w:numFmt w:val="lowerLetter"/>
      <w:start w:val="1"/>
    </w:lvl>
  </w:abstractNum>
  <w:abstractNum w:abstractNumId="437">
    <w:nsid w:val="3C5EA902"/>
    <w:multiLevelType w:val="hybridMultilevel"/>
    <w:lvl w:ilvl="0">
      <w:lvlJc w:val="left"/>
      <w:lvlText w:val="(%1)"/>
      <w:numFmt w:val="lowerLetter"/>
      <w:start w:val="2"/>
    </w:lvl>
  </w:abstractNum>
  <w:abstractNum w:abstractNumId="438">
    <w:nsid w:val="256E6749"/>
    <w:multiLevelType w:val="hybridMultilevel"/>
    <w:lvl w:ilvl="0">
      <w:lvlJc w:val="left"/>
      <w:lvlText w:val="(%1)"/>
      <w:numFmt w:val="lowerLetter"/>
      <w:start w:val="1"/>
    </w:lvl>
    <w:lvl w:ilvl="1">
      <w:lvlJc w:val="left"/>
      <w:lvlText w:val="(%2)"/>
      <w:numFmt w:val="lowerRoman"/>
      <w:start w:val="1"/>
    </w:lvl>
  </w:abstractNum>
  <w:abstractNum w:abstractNumId="439">
    <w:nsid w:val="1CB9A581"/>
    <w:multiLevelType w:val="hybridMultilevel"/>
    <w:lvl w:ilvl="0">
      <w:lvlJc w:val="left"/>
      <w:lvlText w:val="(%1)"/>
      <w:numFmt w:val="lowerLetter"/>
      <w:start w:val="1"/>
    </w:lvl>
  </w:abstractNum>
  <w:abstractNum w:abstractNumId="440">
    <w:nsid w:val="1F7F42E2"/>
    <w:multiLevelType w:val="hybridMultilevel"/>
    <w:lvl w:ilvl="0">
      <w:lvlJc w:val="left"/>
      <w:lvlText w:val="%1."/>
      <w:numFmt w:val="decimal"/>
      <w:start w:val="1"/>
    </w:lvl>
  </w:abstractNum>
  <w:abstractNum w:abstractNumId="441">
    <w:nsid w:val="49D1FEA0"/>
    <w:multiLevelType w:val="hybridMultilevel"/>
    <w:lvl w:ilvl="0">
      <w:lvlJc w:val="left"/>
      <w:lvlText w:val="(%1)"/>
      <w:numFmt w:val="lowerLetter"/>
      <w:start w:val="1"/>
    </w:lvl>
  </w:abstractNum>
  <w:abstractNum w:abstractNumId="442">
    <w:nsid w:val="268CB37F"/>
    <w:multiLevelType w:val="hybridMultilevel"/>
    <w:lvl w:ilvl="0">
      <w:lvlJc w:val="left"/>
      <w:lvlText w:val="(%1)"/>
      <w:numFmt w:val="lowerLetter"/>
      <w:start w:val="1"/>
    </w:lvl>
  </w:abstractNum>
  <w:abstractNum w:abstractNumId="443">
    <w:nsid w:val="102362F8"/>
    <w:multiLevelType w:val="hybridMultilevel"/>
    <w:lvl w:ilvl="0">
      <w:lvlJc w:val="left"/>
      <w:lvlText w:val="(%1)"/>
      <w:numFmt w:val="lowerLetter"/>
      <w:start w:val="1"/>
    </w:lvl>
  </w:abstractNum>
  <w:abstractNum w:abstractNumId="444">
    <w:nsid w:val="5FEDC0E3"/>
    <w:multiLevelType w:val="hybridMultilevel"/>
    <w:lvl w:ilvl="0">
      <w:lvlJc w:val="left"/>
      <w:lvlText w:val="%1"/>
      <w:numFmt w:val="decimal"/>
      <w:start w:val="10"/>
    </w:lvl>
  </w:abstractNum>
  <w:abstractNum w:abstractNumId="445">
    <w:nsid w:val="3D75BC47"/>
    <w:multiLevelType w:val="hybridMultilevel"/>
    <w:lvl w:ilvl="0">
      <w:lvlJc w:val="left"/>
      <w:lvlText w:val="(%1)"/>
      <w:numFmt w:val="lowerLetter"/>
      <w:start w:val="1"/>
    </w:lvl>
  </w:abstractNum>
  <w:abstractNum w:abstractNumId="446">
    <w:nsid w:val="3E30D969"/>
    <w:multiLevelType w:val="hybridMultilevel"/>
    <w:lvl w:ilvl="0">
      <w:lvlJc w:val="left"/>
      <w:lvlText w:val="(%1)"/>
      <w:numFmt w:val="lowerLetter"/>
      <w:start w:val="3"/>
    </w:lvl>
  </w:abstractNum>
  <w:abstractNum w:abstractNumId="447">
    <w:nsid w:val="18A35FE3"/>
    <w:multiLevelType w:val="hybridMultilevel"/>
    <w:lvl w:ilvl="0">
      <w:lvlJc w:val="left"/>
      <w:lvlText w:val="%1"/>
      <w:numFmt w:val="decimal"/>
      <w:start w:val="1"/>
    </w:lvl>
    <w:lvl w:ilvl="1">
      <w:lvlJc w:val="left"/>
      <w:lvlText w:val="%2."/>
      <w:numFmt w:val="decimal"/>
      <w:start w:val="1"/>
    </w:lvl>
  </w:abstractNum>
  <w:abstractNum w:abstractNumId="448">
    <w:nsid w:val="6DEF5211"/>
    <w:multiLevelType w:val="hybridMultilevel"/>
    <w:lvl w:ilvl="0">
      <w:lvlJc w:val="left"/>
      <w:lvlText w:val="%1."/>
      <w:numFmt w:val="decimal"/>
      <w:start w:val="2"/>
    </w:lvl>
    <w:lvl w:ilvl="1">
      <w:lvlJc w:val="left"/>
      <w:lvlText w:val="%2"/>
      <w:numFmt w:val="decimal"/>
      <w:start w:val="1"/>
    </w:lvl>
  </w:abstractNum>
  <w:abstractNum w:abstractNumId="449">
    <w:nsid w:val="1112DBB6"/>
    <w:multiLevelType w:val="hybridMultilevel"/>
    <w:lvl w:ilvl="0">
      <w:lvlJc w:val="left"/>
      <w:lvlText w:val="%1."/>
      <w:numFmt w:val="decimal"/>
      <w:start w:val="1"/>
    </w:lvl>
  </w:abstractNum>
  <w:abstractNum w:abstractNumId="450">
    <w:nsid w:val="2586A498"/>
    <w:multiLevelType w:val="hybridMultilevel"/>
    <w:lvl w:ilvl="0">
      <w:lvlJc w:val="left"/>
      <w:lvlText w:val="%1."/>
      <w:numFmt w:val="decimal"/>
      <w:start w:val="4"/>
    </w:lvl>
  </w:abstractNum>
  <w:abstractNum w:abstractNumId="451">
    <w:nsid w:val="17A03BB9"/>
    <w:multiLevelType w:val="hybridMultilevel"/>
    <w:lvl w:ilvl="0">
      <w:lvlJc w:val="left"/>
      <w:lvlText w:val="%1"/>
      <w:numFmt w:val="lowerLetter"/>
      <w:start w:val="1"/>
    </w:lvl>
    <w:lvl w:ilvl="1">
      <w:lvlJc w:val="left"/>
      <w:lvlText w:val="%2."/>
      <w:numFmt w:val="decimal"/>
      <w:start w:val="1"/>
    </w:lvl>
  </w:abstractNum>
  <w:abstractNum w:abstractNumId="452">
    <w:nsid w:val="5CA941"/>
    <w:multiLevelType w:val="hybridMultilevel"/>
    <w:lvl w:ilvl="0">
      <w:lvlJc w:val="left"/>
      <w:lvlText w:val="(%1)"/>
      <w:numFmt w:val="lowerLetter"/>
      <w:start w:val="2"/>
    </w:lvl>
    <w:lvl w:ilvl="1">
      <w:lvlJc w:val="left"/>
      <w:lvlText w:val="%2"/>
      <w:numFmt w:val="decimal"/>
      <w:start w:val="1"/>
    </w:lvl>
  </w:abstractNum>
  <w:abstractNum w:abstractNumId="453">
    <w:nsid w:val="734C7D9F"/>
    <w:multiLevelType w:val="hybridMultilevel"/>
    <w:lvl w:ilvl="0">
      <w:lvlJc w:val="left"/>
      <w:lvlText w:val="%1."/>
      <w:numFmt w:val="decimal"/>
      <w:start w:val="2"/>
    </w:lvl>
  </w:abstractNum>
  <w:abstractNum w:abstractNumId="454">
    <w:nsid w:val="24F5D018"/>
    <w:multiLevelType w:val="hybridMultilevel"/>
    <w:lvl w:ilvl="0">
      <w:lvlJc w:val="left"/>
      <w:lvlText w:val="%1."/>
      <w:numFmt w:val="decimal"/>
      <w:start w:val="1"/>
    </w:lvl>
  </w:abstractNum>
  <w:abstractNum w:abstractNumId="455">
    <w:nsid w:val="6780C122"/>
    <w:multiLevelType w:val="hybridMultilevel"/>
    <w:lvl w:ilvl="0">
      <w:lvlJc w:val="left"/>
      <w:lvlText w:val="%1."/>
      <w:numFmt w:val="decimal"/>
      <w:start w:val="1"/>
    </w:lvl>
  </w:abstractNum>
  <w:abstractNum w:abstractNumId="456">
    <w:nsid w:val="534347A8"/>
    <w:multiLevelType w:val="hybridMultilevel"/>
    <w:lvl w:ilvl="0">
      <w:lvlJc w:val="left"/>
      <w:lvlText w:val="(%1)"/>
      <w:numFmt w:val="lowerLetter"/>
      <w:start w:val="1"/>
    </w:lvl>
  </w:abstractNum>
  <w:abstractNum w:abstractNumId="457">
    <w:nsid w:val="5800E34B"/>
    <w:multiLevelType w:val="hybridMultilevel"/>
    <w:lvl w:ilvl="0">
      <w:lvlJc w:val="left"/>
      <w:lvlText w:val="%1"/>
      <w:numFmt w:val="lowerRoman"/>
      <w:start w:val="1"/>
    </w:lvl>
    <w:lvl w:ilvl="1">
      <w:lvlJc w:val="left"/>
      <w:lvlText w:val="(%2)"/>
      <w:numFmt w:val="decimal"/>
      <w:start w:val="1"/>
    </w:lvl>
  </w:abstractNum>
  <w:abstractNum w:abstractNumId="458">
    <w:nsid w:val="1673EFC8"/>
    <w:multiLevelType w:val="hybridMultilevel"/>
    <w:lvl w:ilvl="0">
      <w:lvlJc w:val="left"/>
      <w:lvlText w:val="(%1)"/>
      <w:numFmt w:val="lowerRoman"/>
      <w:start w:val="3"/>
    </w:lvl>
    <w:lvl w:ilvl="1">
      <w:lvlJc w:val="left"/>
      <w:lvlText w:val="%2"/>
      <w:numFmt w:val="decimal"/>
      <w:start w:val="1"/>
    </w:lvl>
  </w:abstractNum>
  <w:abstractNum w:abstractNumId="459">
    <w:nsid w:val="5B9B1FD"/>
    <w:multiLevelType w:val="hybridMultilevel"/>
    <w:lvl w:ilvl="0">
      <w:lvlJc w:val="left"/>
      <w:lvlText w:val="(%1)"/>
      <w:numFmt w:val="upperLetter"/>
      <w:start w:val="1"/>
    </w:lvl>
  </w:abstractNum>
  <w:abstractNum w:abstractNumId="460">
    <w:nsid w:val="7AD7FCA2"/>
    <w:multiLevelType w:val="hybridMultilevel"/>
    <w:lvl w:ilvl="0">
      <w:lvlJc w:val="left"/>
      <w:lvlText w:val="(%1)"/>
      <w:numFmt w:val="lowerRoman"/>
      <w:start w:val="3"/>
    </w:lvl>
    <w:lvl w:ilvl="1">
      <w:lvlJc w:val="left"/>
      <w:lvlText w:val="(%2)"/>
      <w:numFmt w:val="upperLetter"/>
      <w:start w:val="4"/>
    </w:lvl>
  </w:abstractNum>
  <w:abstractNum w:abstractNumId="461">
    <w:nsid w:val="63351604"/>
    <w:multiLevelType w:val="hybridMultilevel"/>
    <w:lvl w:ilvl="0">
      <w:lvlJc w:val="left"/>
      <w:lvlText w:val="(%1)"/>
      <w:numFmt w:val="decimal"/>
      <w:start w:val="3"/>
    </w:lvl>
  </w:abstractNum>
  <w:abstractNum w:abstractNumId="462">
    <w:nsid w:val="E759D1A"/>
    <w:multiLevelType w:val="hybridMultilevel"/>
    <w:lvl w:ilvl="0">
      <w:lvlJc w:val="left"/>
      <w:lvlText w:val="(%1)"/>
      <w:numFmt w:val="lowerLetter"/>
      <w:start w:val="2"/>
    </w:lvl>
  </w:abstractNum>
  <w:abstractNum w:abstractNumId="463">
    <w:nsid w:val="6E3DEE90"/>
    <w:multiLevelType w:val="hybridMultilevel"/>
    <w:lvl w:ilvl="0">
      <w:lvlJc w:val="left"/>
      <w:lvlText w:val="(%1)"/>
      <w:numFmt w:val="decimal"/>
      <w:start w:val="1"/>
    </w:lvl>
  </w:abstractNum>
  <w:abstractNum w:abstractNumId="464">
    <w:nsid w:val="1A8762F4"/>
    <w:multiLevelType w:val="hybridMultilevel"/>
    <w:lvl w:ilvl="0">
      <w:lvlJc w:val="left"/>
      <w:lvlText w:val="(%1)"/>
      <w:numFmt w:val="lowerRoman"/>
      <w:start w:val="1"/>
    </w:lvl>
  </w:abstractNum>
  <w:abstractNum w:abstractNumId="465">
    <w:nsid w:val="7F41D049"/>
    <w:multiLevelType w:val="hybridMultilevel"/>
    <w:lvl w:ilvl="0">
      <w:lvlJc w:val="left"/>
      <w:lvlText w:val="(%1)"/>
      <w:numFmt w:val="lowerLetter"/>
      <w:start w:val="3"/>
    </w:lvl>
  </w:abstractNum>
  <w:abstractNum w:abstractNumId="466">
    <w:nsid w:val="449F66FE"/>
    <w:multiLevelType w:val="hybridMultilevel"/>
    <w:lvl w:ilvl="0">
      <w:lvlJc w:val="left"/>
      <w:lvlText w:val="(%1)"/>
      <w:numFmt w:val="lowerLetter"/>
      <w:start w:val="1"/>
    </w:lvl>
  </w:abstractNum>
  <w:abstractNum w:abstractNumId="467">
    <w:nsid w:val="557E0515"/>
    <w:multiLevelType w:val="hybridMultilevel"/>
    <w:lvl w:ilvl="0">
      <w:lvlJc w:val="left"/>
      <w:lvlText w:val="(%1)"/>
      <w:numFmt w:val="lowerLetter"/>
      <w:start w:val="5"/>
    </w:lvl>
  </w:abstractNum>
  <w:abstractNum w:abstractNumId="468">
    <w:nsid w:val="3BA0794B"/>
    <w:multiLevelType w:val="hybridMultilevel"/>
    <w:lvl w:ilvl="0">
      <w:lvlJc w:val="left"/>
      <w:lvlText w:val="%1"/>
      <w:numFmt w:val="lowerRoman"/>
      <w:start w:val="1"/>
    </w:lvl>
    <w:lvl w:ilvl="1">
      <w:lvlJc w:val="left"/>
      <w:lvlText w:val="(%2)"/>
      <w:numFmt w:val="lowerLetter"/>
      <w:start w:val="1"/>
    </w:lvl>
  </w:abstractNum>
  <w:abstractNum w:abstractNumId="469">
    <w:nsid w:val="6A0DCE48"/>
    <w:multiLevelType w:val="hybridMultilevel"/>
    <w:lvl w:ilvl="0">
      <w:lvlJc w:val="left"/>
      <w:lvlText w:val="(%1)"/>
      <w:numFmt w:val="lowerRoman"/>
      <w:start w:val="4"/>
    </w:lvl>
    <w:lvl w:ilvl="1">
      <w:lvlJc w:val="left"/>
      <w:lvlText w:val="(%2)"/>
      <w:numFmt w:val="lowerLetter"/>
      <w:start w:val="2"/>
    </w:lvl>
  </w:abstractNum>
  <w:abstractNum w:abstractNumId="470">
    <w:nsid w:val="7237AA96"/>
    <w:multiLevelType w:val="hybridMultilevel"/>
    <w:lvl w:ilvl="0">
      <w:lvlJc w:val="left"/>
      <w:lvlText w:val="(%1)"/>
      <w:numFmt w:val="lowerRoman"/>
      <w:start w:val="1"/>
    </w:lvl>
  </w:abstractNum>
  <w:abstractNum w:abstractNumId="471">
    <w:nsid w:val="5B1FBC2D"/>
    <w:multiLevelType w:val="hybridMultilevel"/>
    <w:lvl w:ilvl="0">
      <w:lvlJc w:val="left"/>
      <w:lvlText w:val="(%1)"/>
      <w:numFmt w:val="lowerLetter"/>
      <w:start w:val="1"/>
    </w:lvl>
    <w:lvl w:ilvl="1">
      <w:lvlJc w:val="left"/>
      <w:lvlText w:val="(%2)"/>
      <w:numFmt w:val="decimal"/>
      <w:start w:val="1"/>
    </w:lvl>
  </w:abstractNum>
  <w:abstractNum w:abstractNumId="472">
    <w:nsid w:val="33DFCCE8"/>
    <w:multiLevelType w:val="hybridMultilevel"/>
    <w:lvl w:ilvl="0">
      <w:lvlJc w:val="left"/>
      <w:lvlText w:val="(%1)"/>
      <w:numFmt w:val="lowerLetter"/>
      <w:start w:val="1"/>
    </w:lvl>
  </w:abstractNum>
  <w:abstractNum w:abstractNumId="473">
    <w:nsid w:val="18C45E15"/>
    <w:multiLevelType w:val="hybridMultilevel"/>
    <w:lvl w:ilvl="0">
      <w:lvlJc w:val="left"/>
      <w:lvlText w:val="(%1)"/>
      <w:numFmt w:val="lowerLetter"/>
      <w:start w:val="9"/>
    </w:lvl>
    <w:lvl w:ilvl="1">
      <w:lvlJc w:val="left"/>
      <w:lvlText w:val="(%2)"/>
      <w:numFmt w:val="lowerLetter"/>
      <w:start w:val="2"/>
    </w:lvl>
  </w:abstractNum>
  <w:abstractNum w:abstractNumId="474">
    <w:nsid w:val="6B431F25"/>
    <w:multiLevelType w:val="hybridMultilevel"/>
    <w:lvl w:ilvl="0">
      <w:lvlJc w:val="left"/>
      <w:lvlText w:val="(%1)"/>
      <w:numFmt w:val="lowerLetter"/>
      <w:start w:val="1"/>
    </w:lvl>
  </w:abstractNum>
  <w:abstractNum w:abstractNumId="475">
    <w:nsid w:val="13CD8DCB"/>
    <w:multiLevelType w:val="hybridMultilevel"/>
    <w:lvl w:ilvl="0">
      <w:lvlJc w:val="left"/>
      <w:lvlText w:val="(%1)"/>
      <w:numFmt w:val="lowerLetter"/>
      <w:start w:val="1"/>
    </w:lvl>
  </w:abstractNum>
  <w:abstractNum w:abstractNumId="476">
    <w:nsid w:val="563A1A5C"/>
    <w:multiLevelType w:val="hybridMultilevel"/>
    <w:lvl w:ilvl="0">
      <w:lvlJc w:val="left"/>
      <w:lvlText w:val="(%1)"/>
      <w:numFmt w:val="lowerLetter"/>
      <w:start w:val="1"/>
    </w:lvl>
  </w:abstractNum>
  <w:abstractNum w:abstractNumId="477">
    <w:nsid w:val="2973F88F"/>
    <w:multiLevelType w:val="hybridMultilevel"/>
    <w:lvl w:ilvl="0">
      <w:lvlJc w:val="left"/>
      <w:lvlText w:val="(%1)"/>
      <w:numFmt w:val="lowerLetter"/>
      <w:start w:val="1"/>
    </w:lvl>
    <w:lvl w:ilvl="1">
      <w:lvlJc w:val="left"/>
      <w:lvlText w:val="(%2)"/>
      <w:numFmt w:val="lowerRoman"/>
      <w:start w:val="1"/>
    </w:lvl>
  </w:abstractNum>
  <w:abstractNum w:abstractNumId="478">
    <w:nsid w:val="2C70EDAE"/>
    <w:multiLevelType w:val="hybridMultilevel"/>
    <w:lvl w:ilvl="0">
      <w:lvlJc w:val="left"/>
      <w:lvlText w:val="(%1)"/>
      <w:numFmt w:val="lowerLetter"/>
      <w:start w:val="3"/>
    </w:lvl>
  </w:abstractNum>
  <w:abstractNum w:abstractNumId="479">
    <w:nsid w:val="44296C6D"/>
    <w:multiLevelType w:val="hybridMultilevel"/>
    <w:lvl w:ilvl="0">
      <w:lvlJc w:val="left"/>
      <w:lvlText w:val="%1"/>
      <w:numFmt w:val="lowerRoman"/>
      <w:start w:val="1"/>
    </w:lvl>
    <w:lvl w:ilvl="1">
      <w:lvlJc w:val="left"/>
      <w:lvlText w:val="(%2)"/>
      <w:numFmt w:val="lowerLetter"/>
      <w:start w:val="1"/>
    </w:lvl>
  </w:abstractNum>
  <w:abstractNum w:abstractNumId="480">
    <w:nsid w:val="3A86D445"/>
    <w:multiLevelType w:val="hybridMultilevel"/>
    <w:lvl w:ilvl="0">
      <w:lvlJc w:val="left"/>
      <w:lvlText w:val="(%1)"/>
      <w:numFmt w:val="lowerRoman"/>
      <w:start w:val="2"/>
    </w:lvl>
    <w:lvl w:ilvl="1">
      <w:lvlJc w:val="left"/>
      <w:lvlText w:val="%2"/>
      <w:numFmt w:val="lowerLetter"/>
      <w:start w:val="1"/>
    </w:lvl>
  </w:abstractNum>
  <w:abstractNum w:abstractNumId="481">
    <w:nsid w:val="51F79246"/>
    <w:multiLevelType w:val="hybridMultilevel"/>
    <w:lvl w:ilvl="0">
      <w:lvlJc w:val="left"/>
      <w:lvlText w:val="(%1)"/>
      <w:numFmt w:val="lowerLetter"/>
      <w:start w:val="3"/>
    </w:lvl>
  </w:abstractNum>
  <w:abstractNum w:abstractNumId="482">
    <w:nsid w:val="5BC9A827"/>
    <w:multiLevelType w:val="hybridMultilevel"/>
    <w:lvl w:ilvl="0">
      <w:lvlJc w:val="left"/>
      <w:lvlText w:val="(%1)"/>
      <w:numFmt w:val="lowerLetter"/>
      <w:start w:val="1"/>
    </w:lvl>
  </w:abstractNum>
  <w:abstractNum w:abstractNumId="483">
    <w:nsid w:val="3AE37D86"/>
    <w:multiLevelType w:val="hybridMultilevel"/>
    <w:lvl w:ilvl="0">
      <w:lvlJc w:val="left"/>
      <w:lvlText w:val="(%1)"/>
      <w:numFmt w:val="lowerLetter"/>
      <w:start w:val="2"/>
    </w:lvl>
  </w:abstractNum>
  <w:abstractNum w:abstractNumId="484">
    <w:nsid w:val="45440FE5"/>
    <w:multiLevelType w:val="hybridMultilevel"/>
    <w:lvl w:ilvl="0">
      <w:lvlJc w:val="left"/>
      <w:lvlText w:val="(%1)"/>
      <w:numFmt w:val="lowerLetter"/>
      <w:start w:val="3"/>
    </w:lvl>
    <w:lvl w:ilvl="1">
      <w:lvlJc w:val="left"/>
      <w:lvlText w:val="(%2)"/>
      <w:numFmt w:val="lowerRoman"/>
      <w:start w:val="1"/>
    </w:lvl>
  </w:abstractNum>
  <w:abstractNum w:abstractNumId="485">
    <w:nsid w:val="BF783F"/>
    <w:multiLevelType w:val="hybridMultilevel"/>
    <w:lvl w:ilvl="0">
      <w:lvlJc w:val="left"/>
      <w:lvlText w:val="(%1)"/>
      <w:numFmt w:val="lowerLetter"/>
      <w:start w:val="6"/>
    </w:lvl>
  </w:abstractNum>
  <w:abstractNum w:abstractNumId="486">
    <w:nsid w:val="22643EA9"/>
    <w:multiLevelType w:val="hybridMultilevel"/>
    <w:lvl w:ilvl="0">
      <w:lvlJc w:val="left"/>
      <w:lvlText w:val="(%1)"/>
      <w:numFmt w:val="lowerLetter"/>
      <w:start w:val="1"/>
    </w:lvl>
  </w:abstractNum>
  <w:abstractNum w:abstractNumId="487">
    <w:nsid w:val="1887578D"/>
    <w:multiLevelType w:val="hybridMultilevel"/>
    <w:lvl w:ilvl="0">
      <w:lvlJc w:val="left"/>
      <w:lvlText w:val="%1"/>
      <w:numFmt w:val="lowerLetter"/>
      <w:start w:val="1"/>
    </w:lvl>
    <w:lvl w:ilvl="1">
      <w:lvlJc w:val="left"/>
      <w:lvlText w:val="(%2)"/>
      <w:numFmt w:val="lowerLetter"/>
      <w:start w:val="1"/>
    </w:lvl>
  </w:abstractNum>
  <w:abstractNum w:abstractNumId="488">
    <w:nsid w:val="58C05B8A"/>
    <w:multiLevelType w:val="hybridMultilevel"/>
    <w:lvl w:ilvl="0">
      <w:lvlJc w:val="left"/>
      <w:lvlText w:val="(%1)"/>
      <w:numFmt w:val="lowerLetter"/>
      <w:start w:val="9"/>
    </w:lvl>
    <w:lvl w:ilvl="1">
      <w:lvlJc w:val="left"/>
      <w:lvlText w:val="(%2)"/>
      <w:numFmt w:val="lowerLetter"/>
      <w:start w:val="3"/>
    </w:lvl>
  </w:abstractNum>
  <w:abstractNum w:abstractNumId="489">
    <w:nsid w:val="38D82E71"/>
    <w:multiLevelType w:val="hybridMultilevel"/>
    <w:lvl w:ilvl="0">
      <w:lvlJc w:val="left"/>
      <w:lvlText w:val="(%1)"/>
      <w:numFmt w:val="lowerLetter"/>
      <w:start w:val="1"/>
    </w:lvl>
  </w:abstractNum>
  <w:abstractNum w:abstractNumId="490">
    <w:nsid w:val="1E41098A"/>
    <w:multiLevelType w:val="hybridMultilevel"/>
    <w:lvl w:ilvl="0">
      <w:lvlJc w:val="left"/>
      <w:lvlText w:val="(%1)"/>
      <w:numFmt w:val="lowerLetter"/>
      <w:start w:val="1"/>
    </w:lvl>
  </w:abstractNum>
  <w:abstractNum w:abstractNumId="491">
    <w:nsid w:val="5398582C"/>
    <w:multiLevelType w:val="hybridMultilevel"/>
    <w:lvl w:ilvl="0">
      <w:lvlJc w:val="left"/>
      <w:lvlText w:val="(%1)"/>
      <w:numFmt w:val="lowerLetter"/>
      <w:start w:val="2"/>
    </w:lvl>
  </w:abstractNum>
  <w:abstractNum w:abstractNumId="492">
    <w:nsid w:val="1C0D4475"/>
    <w:multiLevelType w:val="hybridMultilevel"/>
    <w:lvl w:ilvl="0">
      <w:lvlJc w:val="left"/>
      <w:lvlText w:val="(%1)"/>
      <w:numFmt w:val="lowerLetter"/>
      <w:start w:val="1"/>
    </w:lvl>
  </w:abstractNum>
  <w:abstractNum w:abstractNumId="493">
    <w:nsid w:val="2CB6A6A4"/>
    <w:multiLevelType w:val="hybridMultilevel"/>
    <w:lvl w:ilvl="0">
      <w:lvlJc w:val="left"/>
      <w:lvlText w:val="(%1)"/>
      <w:numFmt w:val="lowerLetter"/>
      <w:start w:val="1"/>
    </w:lvl>
  </w:abstractNum>
  <w:abstractNum w:abstractNumId="494">
    <w:nsid w:val="41D646BC"/>
    <w:multiLevelType w:val="hybridMultilevel"/>
    <w:lvl w:ilvl="0">
      <w:lvlJc w:val="left"/>
      <w:lvlText w:val="(%1)"/>
      <w:numFmt w:val="lowerLetter"/>
      <w:start w:val="2"/>
    </w:lvl>
  </w:abstractNum>
  <w:abstractNum w:abstractNumId="495">
    <w:nsid w:val="3694A76A"/>
    <w:multiLevelType w:val="hybridMultilevel"/>
    <w:lvl w:ilvl="0">
      <w:lvlJc w:val="left"/>
      <w:lvlText w:val="(%1)"/>
      <w:numFmt w:val="lowerLetter"/>
      <w:start w:val="1"/>
    </w:lvl>
    <w:lvl w:ilvl="1">
      <w:lvlJc w:val="left"/>
      <w:lvlText w:val="(%2)"/>
      <w:numFmt w:val="lowerRoman"/>
      <w:start w:val="1"/>
    </w:lvl>
  </w:abstractNum>
  <w:abstractNum w:abstractNumId="496">
    <w:nsid w:val="2BF876EE"/>
    <w:multiLevelType w:val="hybridMultilevel"/>
    <w:lvl w:ilvl="0">
      <w:lvlJc w:val="left"/>
      <w:lvlText w:val="(%1)"/>
      <w:numFmt w:val="lowerLetter"/>
      <w:start w:val="1"/>
    </w:lvl>
  </w:abstractNum>
  <w:abstractNum w:abstractNumId="497">
    <w:nsid w:val="675ADBA"/>
    <w:multiLevelType w:val="hybridMultilevel"/>
    <w:lvl w:ilvl="0">
      <w:lvlJc w:val="left"/>
      <w:lvlText w:val="%1."/>
      <w:numFmt w:val="decimal"/>
      <w:start w:val="1"/>
    </w:lvl>
  </w:abstractNum>
  <w:abstractNum w:abstractNumId="498">
    <w:nsid w:val="C12AC7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9">
    <w:nsid w:val="6798F039"/>
    <w:multiLevelType w:val="hybridMultilevel"/>
    <w:lvl w:ilvl="0">
      <w:lvlJc w:val="left"/>
      <w:lvlText w:val="%1."/>
      <w:numFmt w:val="lowerLetter"/>
      <w:start w:val="2"/>
    </w:lvl>
  </w:abstractNum>
  <w:abstractNum w:abstractNumId="500">
    <w:nsid w:val="70837C02"/>
    <w:multiLevelType w:val="hybridMultilevel"/>
    <w:lvl w:ilvl="0">
      <w:lvlJc w:val="left"/>
      <w:lvlText w:val="%1"/>
      <w:numFmt w:val="decimal"/>
      <w:start w:val="1"/>
    </w:lvl>
    <w:lvl w:ilvl="1">
      <w:lvlJc w:val="left"/>
      <w:lvlText w:val="%2."/>
      <w:numFmt w:val="lowerLetter"/>
      <w:start w:val="8"/>
    </w:lvl>
  </w:abstractNum>
  <w:abstractNum w:abstractNumId="501">
    <w:nsid w:val="7E4A5715"/>
    <w:multiLevelType w:val="hybridMultilevel"/>
    <w:lvl w:ilvl="0">
      <w:lvlJc w:val="left"/>
      <w:lvlText w:val="%1."/>
      <w:numFmt w:val="decimal"/>
      <w:start w:val="6"/>
    </w:lvl>
    <w:lvl w:ilvl="1">
      <w:lvlJc w:val="left"/>
      <w:lvlText w:val="%2."/>
      <w:numFmt w:val="lowerLetter"/>
      <w:start w:val="1"/>
    </w:lvl>
  </w:abstractNum>
  <w:abstractNum w:abstractNumId="502">
    <w:nsid w:val="42B8AC67"/>
    <w:multiLevelType w:val="hybridMultilevel"/>
    <w:lvl w:ilvl="0">
      <w:lvlJc w:val="left"/>
      <w:lvlText w:val="(%1)"/>
      <w:numFmt w:val="lowerRoman"/>
      <w:start w:val="4"/>
    </w:lvl>
    <w:lvl w:ilvl="1">
      <w:lvlJc w:val="left"/>
      <w:lvlText w:val="%2."/>
      <w:numFmt w:val="lowerLetter"/>
      <w:start w:val="2"/>
    </w:lvl>
  </w:abstractNum>
  <w:abstractNum w:abstractNumId="503">
    <w:nsid w:val="246348EA"/>
    <w:multiLevelType w:val="hybridMultilevel"/>
    <w:lvl w:ilvl="0">
      <w:lvlJc w:val="left"/>
      <w:lvlText w:val="%1."/>
      <w:numFmt w:val="lowerLetter"/>
      <w:start w:val="8"/>
    </w:lvl>
  </w:abstractNum>
  <w:abstractNum w:abstractNumId="504">
    <w:nsid w:val="170EB52B"/>
    <w:multiLevelType w:val="hybridMultilevel"/>
    <w:lvl w:ilvl="0">
      <w:lvlJc w:val="left"/>
      <w:lvlText w:val="%1"/>
      <w:numFmt w:val="decimal"/>
      <w:start w:val="1"/>
    </w:lvl>
    <w:lvl w:ilvl="1">
      <w:lvlJc w:val="left"/>
      <w:lvlText w:val="%2."/>
      <w:numFmt w:val="lowerLetter"/>
      <w:start w:val="17"/>
    </w:lvl>
  </w:abstractNum>
  <w:abstractNum w:abstractNumId="505">
    <w:nsid w:val="2DFBCB8C"/>
    <w:multiLevelType w:val="hybridMultilevel"/>
    <w:lvl w:ilvl="0">
      <w:lvlJc w:val="left"/>
      <w:lvlText w:val="%1."/>
      <w:numFmt w:val="decimal"/>
      <w:start w:val="7"/>
    </w:lvl>
    <w:lvl w:ilvl="1">
      <w:lvlJc w:val="left"/>
      <w:lvlText w:val="%2."/>
      <w:numFmt w:val="lowerLetter"/>
      <w:start w:val="1"/>
    </w:lvl>
  </w:abstractNum>
  <w:abstractNum w:abstractNumId="506">
    <w:nsid w:val="3830D6B6"/>
    <w:multiLevelType w:val="hybridMultilevel"/>
    <w:lvl w:ilvl="0">
      <w:lvlJc w:val="left"/>
      <w:lvlText w:val="%1."/>
      <w:numFmt w:val="lowerLetter"/>
      <w:start w:val="2"/>
    </w:lvl>
  </w:abstractNum>
  <w:abstractNum w:abstractNumId="507">
    <w:nsid w:val="6D48CF87"/>
    <w:multiLevelType w:val="hybridMultilevel"/>
    <w:lvl w:ilvl="0">
      <w:lvlJc w:val="left"/>
      <w:lvlText w:val="%1."/>
      <w:numFmt w:val="lowerLetter"/>
      <w:start w:val="5"/>
    </w:lvl>
  </w:abstractNum>
  <w:abstractNum w:abstractNumId="508">
    <w:nsid w:val="576FC41B"/>
    <w:multiLevelType w:val="hybridMultilevel"/>
    <w:lvl w:ilvl="0">
      <w:lvlJc w:val="left"/>
      <w:lvlText w:val="%1."/>
      <w:numFmt w:val="decimal"/>
      <w:start w:val="8"/>
    </w:lvl>
  </w:abstractNum>
  <w:abstractNum w:abstractNumId="509">
    <w:nsid w:val="64A1C464"/>
    <w:multiLevelType w:val="hybridMultilevel"/>
    <w:lvl w:ilvl="0">
      <w:lvlJc w:val="left"/>
      <w:lvlText w:val="%1"/>
      <w:numFmt w:val="decimal"/>
      <w:start w:val="1"/>
    </w:lvl>
    <w:lvl w:ilvl="1">
      <w:lvlJc w:val="left"/>
      <w:lvlText w:val="%2."/>
      <w:numFmt w:val="decimal"/>
      <w:start w:val="9"/>
    </w:lvl>
  </w:abstractNum>
  <w:abstractNum w:abstractNumId="510">
    <w:nsid w:val="31723BF5"/>
    <w:multiLevelType w:val="hybridMultilevel"/>
    <w:lvl w:ilvl="0">
      <w:lvlJc w:val="left"/>
      <w:lvlText w:val="%1."/>
      <w:numFmt w:val="decimal"/>
      <w:start w:val="10"/>
    </w:lvl>
    <w:lvl w:ilvl="1">
      <w:lvlJc w:val="left"/>
      <w:lvlText w:val="%2"/>
      <w:numFmt w:val="decimal"/>
      <w:start w:val="1"/>
    </w:lvl>
  </w:abstractNum>
  <w:abstractNum w:abstractNumId="511">
    <w:nsid w:val="11F69861"/>
    <w:multiLevelType w:val="hybridMultilevel"/>
    <w:lvl w:ilvl="0">
      <w:lvlJc w:val="left"/>
      <w:lvlText w:val="%1."/>
      <w:numFmt w:val="lowerLetter"/>
      <w:start w:val="1"/>
    </w:lvl>
  </w:abstractNum>
  <w:abstractNum w:abstractNumId="512">
    <w:nsid w:val="369956AB"/>
    <w:multiLevelType w:val="hybridMultilevel"/>
    <w:lvl w:ilvl="0">
      <w:lvlJc w:val="left"/>
      <w:lvlText w:val="%1."/>
      <w:numFmt w:val="lowerLetter"/>
      <w:start w:val="7"/>
    </w:lvl>
  </w:abstractNum>
  <w:abstractNum w:abstractNumId="513">
    <w:nsid w:val="D3BE41C"/>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3"/>
    </w:lvl>
  </w:abstractNum>
  <w:abstractNum w:abstractNumId="514">
    <w:nsid w:val="4CDA15E7"/>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515">
    <w:nsid w:val="7BDD6690"/>
    <w:multiLevelType w:val="hybridMultilevel"/>
    <w:lvl w:ilvl="0">
      <w:lvlJc w:val="left"/>
      <w:lvlText w:val="%1."/>
      <w:numFmt w:val="upperLetter"/>
      <w:start w:val="1"/>
    </w:lvl>
    <w:lvl w:ilvl="1">
      <w:lvlJc w:val="left"/>
      <w:lvlText w:val="£"/>
      <w:numFmt w:val="bullet"/>
      <w:start w:val="1"/>
    </w:lvl>
  </w:abstractNum>
  <w:abstractNum w:abstractNumId="516">
    <w:nsid w:val="DFB5C5B"/>
    <w:multiLevelType w:val="hybridMultilevel"/>
    <w:lvl w:ilvl="0">
      <w:lvlJc w:val="left"/>
      <w:lvlText w:val="%1."/>
      <w:numFmt w:val="decimal"/>
      <w:start w:val="1"/>
    </w:lvl>
  </w:abstractNum>
  <w:abstractNum w:abstractNumId="517">
    <w:nsid w:val="6F3E5490"/>
    <w:multiLevelType w:val="hybridMultilevel"/>
    <w:lvl w:ilvl="0">
      <w:lvlJc w:val="left"/>
      <w:lvlText w:val="%1."/>
      <w:numFmt w:val="upperLetter"/>
      <w:start w:val="2"/>
    </w:lvl>
    <w:lvl w:ilvl="1">
      <w:lvlJc w:val="left"/>
      <w:lvlText w:val="£"/>
      <w:numFmt w:val="bullet"/>
      <w:start w:val="1"/>
    </w:lvl>
  </w:abstractNum>
  <w:abstractNum w:abstractNumId="518">
    <w:nsid w:val="1464BE1E"/>
    <w:multiLevelType w:val="hybridMultilevel"/>
    <w:lvl w:ilvl="0">
      <w:lvlJc w:val="left"/>
      <w:lvlText w:val="%1."/>
      <w:numFmt w:val="decimal"/>
      <w:start w:val="1"/>
    </w:lvl>
  </w:abstractNum>
  <w:abstractNum w:abstractNumId="519">
    <w:nsid w:val="66BBB7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2021-01-19T15:59:34Z</dcterms:created>
  <dcterms:modified xsi:type="dcterms:W3CDTF">2021-01-19T15:59:34Z</dcterms:modified>
</cp:coreProperties>
</file>