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5715</wp:posOffset>
            </wp:positionV>
            <wp:extent cx="107124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334645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right="360" w:firstLine="510"/>
        <w:spacing w:after="0" w:line="277" w:lineRule="auto"/>
        <w:rPr>
          <w:sz w:val="20"/>
          <w:szCs w:val="20"/>
          <w:color w:val="auto"/>
        </w:rPr>
      </w:pPr>
      <w:r>
        <w:rPr>
          <w:rFonts w:ascii="Arial" w:cs="Arial" w:eastAsia="Arial" w:hAnsi="Arial"/>
          <w:sz w:val="18"/>
          <w:szCs w:val="18"/>
          <w:color w:val="auto"/>
        </w:rPr>
        <w:t>This prospectus supplement no. 1 supplements the prospectus dated May 12, 2021, relating to the offering and resale by the selling stockholders identified in the prospectus of up to 29,368,920 shares of our common stock, par value $0.0001 per share.</w:t>
      </w:r>
    </w:p>
    <w:p>
      <w:pPr>
        <w:spacing w:after="0" w:line="170" w:lineRule="exact"/>
        <w:rPr>
          <w:sz w:val="24"/>
          <w:szCs w:val="24"/>
          <w:color w:val="auto"/>
        </w:rPr>
      </w:pPr>
    </w:p>
    <w:p>
      <w:pPr>
        <w:ind w:right="240" w:firstLine="510"/>
        <w:spacing w:after="0" w:line="277" w:lineRule="auto"/>
        <w:rPr>
          <w:sz w:val="20"/>
          <w:szCs w:val="20"/>
          <w:color w:val="auto"/>
        </w:rPr>
      </w:pPr>
      <w:r>
        <w:rPr>
          <w:rFonts w:ascii="Arial" w:cs="Arial" w:eastAsia="Arial" w:hAnsi="Arial"/>
          <w:sz w:val="18"/>
          <w:szCs w:val="18"/>
          <w:color w:val="auto"/>
        </w:rPr>
        <w:t>This prospectus supplement incorporates into our prospectus the information contained in our attached quarterly report on Form 10-Q, which was filed with the Securities and Exchange Commission on May 13, 2021.</w:t>
      </w:r>
    </w:p>
    <w:p>
      <w:pPr>
        <w:spacing w:after="0" w:line="170" w:lineRule="exact"/>
        <w:rPr>
          <w:sz w:val="24"/>
          <w:szCs w:val="24"/>
          <w:color w:val="auto"/>
        </w:rPr>
      </w:pPr>
    </w:p>
    <w:p>
      <w:pPr>
        <w:ind w:right="380" w:firstLine="51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180" w:firstLine="51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520" w:firstLine="51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May 11, 2021, the last reported sale price of our common stock on the NASDAQ Global Market was $9.35.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306070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25" w:lineRule="exact"/>
        <w:rPr>
          <w:sz w:val="24"/>
          <w:szCs w:val="24"/>
          <w:color w:val="auto"/>
        </w:rPr>
      </w:pPr>
    </w:p>
    <w:p>
      <w:pPr>
        <w:ind w:right="300" w:firstLine="51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265430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ind w:left="560" w:hanging="552"/>
        <w:spacing w:after="0" w:line="180" w:lineRule="auto"/>
        <w:tabs>
          <w:tab w:leader="none" w:pos="560" w:val="left"/>
        </w:tabs>
        <w:numPr>
          <w:ilvl w:val="0"/>
          <w:numId w:val="1"/>
        </w:numPr>
        <w:rPr>
          <w:rFonts w:ascii="MS PGothic" w:cs="MS PGothic" w:eastAsia="MS PGothic" w:hAnsi="MS PGothic"/>
          <w:sz w:val="39"/>
          <w:szCs w:val="39"/>
          <w:color w:val="auto"/>
          <w:highlight w:val="black"/>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80" w:hanging="572"/>
        <w:spacing w:after="0" w:line="180" w:lineRule="auto"/>
        <w:tabs>
          <w:tab w:leader="none" w:pos="580" w:val="left"/>
        </w:tabs>
        <w:numPr>
          <w:ilvl w:val="0"/>
          <w:numId w:val="2"/>
        </w:numPr>
        <w:rPr>
          <w:rFonts w:ascii="MS PGothic" w:cs="MS PGothic" w:eastAsia="MS PGothic" w:hAnsi="MS PGothic"/>
          <w:sz w:val="36"/>
          <w:szCs w:val="36"/>
          <w:color w:val="auto"/>
          <w:highlight w:val="black"/>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001-39438</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7" w:lineRule="exact"/>
        <w:rPr>
          <w:sz w:val="20"/>
          <w:szCs w:val="20"/>
          <w:color w:val="auto"/>
        </w:rPr>
      </w:pPr>
    </w:p>
    <w:tbl>
      <w:tblPr>
        <w:tblLayout w:type="fixed"/>
        <w:tblInd w:w="1480" w:type="dxa"/>
        <w:tblCellMar>
          <w:top w:w="0" w:type="dxa"/>
          <w:left w:w="0" w:type="dxa"/>
          <w:bottom w:w="0" w:type="dxa"/>
          <w:right w:w="0" w:type="dxa"/>
        </w:tblCellMar>
      </w:tblPr>
      <w:tr>
        <w:trPr>
          <w:trHeight w:val="211"/>
        </w:trPr>
        <w:tc>
          <w:tcPr>
            <w:tcW w:w="3020" w:type="dxa"/>
            <w:vAlign w:val="bottom"/>
          </w:tcPr>
          <w:p>
            <w:pPr>
              <w:jc w:val="center"/>
              <w:ind w:right="26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85-1612845</w:t>
            </w:r>
          </w:p>
        </w:tc>
      </w:tr>
      <w:tr>
        <w:trPr>
          <w:trHeight w:val="135"/>
        </w:trPr>
        <w:tc>
          <w:tcPr>
            <w:tcW w:w="3020" w:type="dxa"/>
            <w:vAlign w:val="bottom"/>
          </w:tcPr>
          <w:p>
            <w:pPr>
              <w:jc w:val="center"/>
              <w:ind w:right="26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2240" w:type="dxa"/>
            <w:vAlign w:val="bottom"/>
          </w:tcPr>
          <w:p>
            <w:pPr>
              <w:spacing w:after="0"/>
              <w:rPr>
                <w:sz w:val="11"/>
                <w:szCs w:val="11"/>
                <w:color w:val="auto"/>
              </w:rPr>
            </w:pPr>
          </w:p>
        </w:tc>
        <w:tc>
          <w:tcPr>
            <w:tcW w:w="2180" w:type="dxa"/>
            <w:vAlign w:val="bottom"/>
          </w:tcPr>
          <w:p>
            <w:pPr>
              <w:jc w:val="center"/>
              <w:ind w:left="113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3020" w:type="dxa"/>
            <w:vAlign w:val="bottom"/>
          </w:tcPr>
          <w:p>
            <w:pPr>
              <w:jc w:val="center"/>
              <w:ind w:right="2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240" w:type="dxa"/>
            <w:vAlign w:val="bottom"/>
          </w:tcPr>
          <w:p>
            <w:pPr>
              <w:spacing w:after="0"/>
              <w:rPr>
                <w:sz w:val="11"/>
                <w:szCs w:val="11"/>
                <w:color w:val="auto"/>
              </w:rPr>
            </w:pPr>
          </w:p>
        </w:tc>
        <w:tc>
          <w:tcPr>
            <w:tcW w:w="2180" w:type="dxa"/>
            <w:vAlign w:val="bottom"/>
          </w:tcPr>
          <w:p>
            <w:pPr>
              <w:jc w:val="center"/>
              <w:ind w:left="1130"/>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3020" w:type="dxa"/>
            <w:vAlign w:val="bottom"/>
          </w:tcPr>
          <w:p>
            <w:pPr>
              <w:jc w:val="center"/>
              <w:ind w:right="264"/>
              <w:spacing w:after="0"/>
              <w:rPr>
                <w:sz w:val="20"/>
                <w:szCs w:val="20"/>
                <w:color w:val="auto"/>
              </w:rPr>
            </w:pPr>
            <w:r>
              <w:rPr>
                <w:rFonts w:ascii="Arial" w:cs="Arial" w:eastAsia="Arial" w:hAnsi="Arial"/>
                <w:sz w:val="18"/>
                <w:szCs w:val="18"/>
                <w:b w:val="1"/>
                <w:bCs w:val="1"/>
                <w:color w:val="auto"/>
                <w:w w:val="92"/>
              </w:rPr>
              <w:t>300 One Kendall Square, 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Floor</w:t>
            </w:r>
          </w:p>
        </w:tc>
        <w:tc>
          <w:tcPr>
            <w:tcW w:w="22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020" w:type="dxa"/>
            <w:vAlign w:val="bottom"/>
          </w:tcPr>
          <w:p>
            <w:pPr>
              <w:jc w:val="center"/>
              <w:ind w:right="284"/>
              <w:spacing w:after="0"/>
              <w:rPr>
                <w:sz w:val="20"/>
                <w:szCs w:val="20"/>
                <w:color w:val="auto"/>
              </w:rPr>
            </w:pPr>
            <w:r>
              <w:rPr>
                <w:rFonts w:ascii="Arial" w:cs="Arial" w:eastAsia="Arial" w:hAnsi="Arial"/>
                <w:sz w:val="18"/>
                <w:szCs w:val="18"/>
                <w:b w:val="1"/>
                <w:bCs w:val="1"/>
                <w:color w:val="auto"/>
                <w:w w:val="95"/>
              </w:rPr>
              <w:t>Cambridge, MA</w:t>
            </w:r>
          </w:p>
        </w:tc>
        <w:tc>
          <w:tcPr>
            <w:tcW w:w="44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02139</w:t>
            </w:r>
          </w:p>
        </w:tc>
      </w:tr>
      <w:tr>
        <w:trPr>
          <w:trHeight w:val="164"/>
        </w:trPr>
        <w:tc>
          <w:tcPr>
            <w:tcW w:w="3020" w:type="dxa"/>
            <w:vAlign w:val="bottom"/>
          </w:tcPr>
          <w:p>
            <w:pPr>
              <w:jc w:val="center"/>
              <w:ind w:right="2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240" w:type="dxa"/>
            <w:vAlign w:val="bottom"/>
          </w:tcPr>
          <w:p>
            <w:pPr>
              <w:spacing w:after="0"/>
              <w:rPr>
                <w:sz w:val="14"/>
                <w:szCs w:val="14"/>
                <w:color w:val="auto"/>
              </w:rPr>
            </w:pPr>
          </w:p>
        </w:tc>
        <w:tc>
          <w:tcPr>
            <w:tcW w:w="2180" w:type="dxa"/>
            <w:vAlign w:val="bottom"/>
          </w:tcPr>
          <w:p>
            <w:pPr>
              <w:jc w:val="center"/>
              <w:ind w:left="1130"/>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401-4400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GMTX</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47" w:lineRule="exact"/>
        <w:rPr>
          <w:sz w:val="20"/>
          <w:szCs w:val="20"/>
          <w:color w:val="auto"/>
        </w:rPr>
      </w:pPr>
    </w:p>
    <w:p>
      <w:pPr>
        <w:ind w:right="180" w:firstLine="510"/>
        <w:spacing w:after="0" w:line="22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2" w:lineRule="exact"/>
        <w:rPr>
          <w:sz w:val="20"/>
          <w:szCs w:val="20"/>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4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0"/>
          <w:szCs w:val="20"/>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ind w:left="520" w:right="212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As of May 11, 2021, the registrant had 43,052,865 shares of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88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and Comprehensive Loss</w:t>
              </w:r>
            </w:hyperlink>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Stockholders’ Equity (Deficit)</w:t>
              </w:r>
            </w:hyperlink>
          </w:p>
        </w:tc>
        <w:tc>
          <w:tcPr>
            <w:tcW w:w="42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4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OTHER INFORMATION</w:t>
              </w:r>
            </w:hyperlink>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0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Gemini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184,986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189,382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current portion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notes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net of current portion and discount</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 no shares issued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as of March 31, 2021 and December 31, 2020</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250,000,000 shares authorized; 43,002,144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15,565,380 shares issued and outstanding as of March 31, 2021 and December 31,</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2020,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303,026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(131,869)</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(112,821)</w:t>
            </w:r>
          </w:p>
        </w:tc>
        <w:tc>
          <w:tcPr>
            <w:tcW w:w="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171,161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189,382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9560" w:type="dxa"/>
            <w:vAlign w:val="bottom"/>
            <w:gridSpan w:val="4"/>
          </w:tcPr>
          <w:p>
            <w:pPr>
              <w:ind w:left="30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720" w:type="dxa"/>
            <w:vAlign w:val="bottom"/>
          </w:tcPr>
          <w:p>
            <w:pPr>
              <w:ind w:left="55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7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11,786</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8,217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4,704</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16,490</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conversion of convertible notes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(9,746)</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32,027,161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14,495,972</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tcBorders>
              <w:right w:val="single" w:sz="8" w:color="auto"/>
            </w:tcBorders>
            <w:gridSpan w:val="5"/>
          </w:tcPr>
          <w:p>
            <w:pPr>
              <w:jc w:val="center"/>
              <w:ind w:right="200"/>
              <w:spacing w:after="0"/>
              <w:rPr>
                <w:sz w:val="20"/>
                <w:szCs w:val="20"/>
                <w:color w:val="auto"/>
              </w:rPr>
            </w:pPr>
            <w:r>
              <w:rPr>
                <w:rFonts w:ascii="Arial" w:cs="Arial" w:eastAsia="Arial" w:hAnsi="Arial"/>
                <w:sz w:val="13"/>
                <w:szCs w:val="13"/>
                <w:b w:val="1"/>
                <w:bCs w:val="1"/>
                <w:color w:val="auto"/>
                <w:w w:val="84"/>
              </w:rPr>
              <w:t>Series B</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6"/>
          </w:tcPr>
          <w:p>
            <w:pPr>
              <w:jc w:val="right"/>
              <w:spacing w:after="0" w:line="135" w:lineRule="exact"/>
              <w:rPr>
                <w:sz w:val="20"/>
                <w:szCs w:val="20"/>
                <w:color w:val="auto"/>
              </w:rPr>
            </w:pPr>
            <w:r>
              <w:rPr>
                <w:rFonts w:ascii="Arial" w:cs="Arial" w:eastAsia="Arial" w:hAnsi="Arial"/>
                <w:sz w:val="13"/>
                <w:szCs w:val="13"/>
                <w:b w:val="1"/>
                <w:bCs w:val="1"/>
                <w:color w:val="auto"/>
              </w:rPr>
              <w:t>Series A</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Borders>
              <w:right w:val="single" w:sz="8" w:color="auto"/>
            </w:tcBorders>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40" w:type="dxa"/>
            <w:vAlign w:val="bottom"/>
          </w:tcPr>
          <w:p>
            <w:pPr>
              <w:spacing w:after="0"/>
              <w:rPr>
                <w:sz w:val="11"/>
                <w:szCs w:val="11"/>
                <w:color w:val="auto"/>
              </w:rPr>
            </w:pPr>
          </w:p>
        </w:tc>
        <w:tc>
          <w:tcPr>
            <w:tcW w:w="1660" w:type="dxa"/>
            <w:vAlign w:val="bottom"/>
            <w:gridSpan w:val="6"/>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Old Gemini</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gridSpan w:val="9"/>
          </w:tcPr>
          <w:p>
            <w:pPr>
              <w:jc w:val="right"/>
              <w:ind w:right="140"/>
              <w:spacing w:after="0"/>
              <w:rPr>
                <w:sz w:val="20"/>
                <w:szCs w:val="20"/>
                <w:color w:val="auto"/>
              </w:rPr>
            </w:pPr>
            <w:r>
              <w:rPr>
                <w:rFonts w:ascii="Arial" w:cs="Arial" w:eastAsia="Arial" w:hAnsi="Arial"/>
                <w:sz w:val="13"/>
                <w:szCs w:val="13"/>
                <w:b w:val="1"/>
                <w:bCs w:val="1"/>
                <w:color w:val="auto"/>
                <w:w w:val="87"/>
              </w:rPr>
              <w:t>Convertible Preferred Stock</w:t>
            </w:r>
          </w:p>
        </w:tc>
        <w:tc>
          <w:tcPr>
            <w:tcW w:w="60" w:type="dxa"/>
            <w:vAlign w:val="bottom"/>
          </w:tcPr>
          <w:p>
            <w:pPr>
              <w:spacing w:after="0"/>
              <w:rPr>
                <w:sz w:val="13"/>
                <w:szCs w:val="13"/>
                <w:color w:val="auto"/>
              </w:rPr>
            </w:pPr>
          </w:p>
        </w:tc>
        <w:tc>
          <w:tcPr>
            <w:tcW w:w="940" w:type="dxa"/>
            <w:vAlign w:val="bottom"/>
            <w:gridSpan w:val="3"/>
          </w:tcPr>
          <w:p>
            <w:pPr>
              <w:jc w:val="center"/>
              <w:ind w:left="497"/>
              <w:spacing w:after="0"/>
              <w:rPr>
                <w:sz w:val="20"/>
                <w:szCs w:val="20"/>
                <w:color w:val="auto"/>
              </w:rPr>
            </w:pPr>
            <w:r>
              <w:rPr>
                <w:rFonts w:ascii="Arial" w:cs="Arial" w:eastAsia="Arial" w:hAnsi="Arial"/>
                <w:sz w:val="13"/>
                <w:szCs w:val="13"/>
                <w:b w:val="1"/>
                <w:bCs w:val="1"/>
                <w:color w:val="auto"/>
                <w:w w:val="84"/>
              </w:rPr>
              <w:t>Stock</w:t>
            </w:r>
          </w:p>
        </w:tc>
        <w:tc>
          <w:tcPr>
            <w:tcW w:w="5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8"/>
              </w:rPr>
              <w:t>Common Stock</w:t>
            </w:r>
          </w:p>
        </w:tc>
        <w:tc>
          <w:tcPr>
            <w:tcW w:w="1420" w:type="dxa"/>
            <w:vAlign w:val="bottom"/>
            <w:gridSpan w:val="3"/>
          </w:tcPr>
          <w:p>
            <w:pPr>
              <w:jc w:val="right"/>
              <w:ind w:right="201"/>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paid-in</w:t>
            </w:r>
          </w:p>
        </w:tc>
        <w:tc>
          <w:tcPr>
            <w:tcW w:w="1000" w:type="dxa"/>
            <w:vAlign w:val="bottom"/>
            <w:gridSpan w:val="4"/>
          </w:tcPr>
          <w:p>
            <w:pPr>
              <w:ind w:left="18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85"/>
              </w:rPr>
              <w:t>Amount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87"/>
              </w:rPr>
              <w:t>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58"/>
              <w:spacing w:after="0" w:line="142" w:lineRule="exact"/>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2019</w:t>
            </w: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(as previously reported)</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39,722,088</w:t>
            </w:r>
          </w:p>
        </w:tc>
        <w:tc>
          <w:tcPr>
            <w:tcW w:w="80" w:type="dxa"/>
            <w:vAlign w:val="bottom"/>
            <w:shd w:val="clear" w:color="auto" w:fill="CFF0FC"/>
          </w:tcPr>
          <w:p>
            <w:pPr>
              <w:spacing w:after="0"/>
              <w:rPr>
                <w:sz w:val="13"/>
                <w:szCs w:val="13"/>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47,113</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9,916,375</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13,252</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5,313,766</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441"/>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(71,984)</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(70,797)</w:t>
            </w: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rPr>
              <w:t>Retroactive application of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00"/>
              <w:spacing w:after="0" w:line="135" w:lineRule="exact"/>
              <w:rPr>
                <w:sz w:val="20"/>
                <w:szCs w:val="20"/>
                <w:color w:val="auto"/>
              </w:rPr>
            </w:pPr>
            <w:r>
              <w:rPr>
                <w:rFonts w:ascii="Arial" w:cs="Arial" w:eastAsia="Arial" w:hAnsi="Arial"/>
                <w:sz w:val="13"/>
                <w:szCs w:val="13"/>
                <w:color w:val="auto"/>
              </w:rPr>
              <w:t>recapitalization due to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Combination (Note 3)</w:t>
            </w:r>
          </w:p>
        </w:tc>
        <w:tc>
          <w:tcPr>
            <w:tcW w:w="880" w:type="dxa"/>
            <w:vAlign w:val="bottom"/>
            <w:gridSpan w:val="4"/>
          </w:tcPr>
          <w:p>
            <w:pPr>
              <w:jc w:val="right"/>
              <w:ind w:right="40"/>
              <w:spacing w:after="0"/>
              <w:rPr>
                <w:sz w:val="20"/>
                <w:szCs w:val="20"/>
                <w:color w:val="auto"/>
              </w:rPr>
            </w:pPr>
            <w:r>
              <w:rPr>
                <w:rFonts w:ascii="Arial" w:cs="Arial" w:eastAsia="Arial" w:hAnsi="Arial"/>
                <w:sz w:val="13"/>
                <w:szCs w:val="13"/>
                <w:color w:val="auto"/>
              </w:rPr>
              <w:t>(39,722,088)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(47,113)</w:t>
            </w: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(9,916,375)</w:t>
            </w: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(13,252)</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(5,313,766)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680" w:type="dxa"/>
            <w:vAlign w:val="bottom"/>
          </w:tcPr>
          <w:p>
            <w:pPr>
              <w:jc w:val="right"/>
              <w:spacing w:after="0"/>
              <w:rPr>
                <w:sz w:val="20"/>
                <w:szCs w:val="20"/>
                <w:color w:val="auto"/>
              </w:rPr>
            </w:pPr>
            <w:r>
              <w:rPr>
                <w:rFonts w:ascii="Arial" w:cs="Arial" w:eastAsia="Arial" w:hAnsi="Arial"/>
                <w:sz w:val="13"/>
                <w:szCs w:val="13"/>
                <w:color w:val="auto"/>
              </w:rPr>
              <w:t>11,979,586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60,369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60,365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8"/>
              </w:rPr>
              <w:t>Balance at December 31, 2019,</w:t>
            </w: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effect of</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Business Combination (Note 3)</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11,979,586</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61,551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(71,984)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(10,432)</w:t>
            </w: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rPr>
              <w:t>Issuance of Series B convertible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preferred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00"/>
              <w:spacing w:after="0" w:line="135" w:lineRule="exact"/>
              <w:rPr>
                <w:sz w:val="20"/>
                <w:szCs w:val="20"/>
                <w:color w:val="auto"/>
              </w:rPr>
            </w:pPr>
            <w:r>
              <w:rPr>
                <w:rFonts w:ascii="Arial" w:cs="Arial" w:eastAsia="Arial" w:hAnsi="Arial"/>
                <w:sz w:val="13"/>
                <w:szCs w:val="13"/>
                <w:color w:val="auto"/>
              </w:rPr>
              <w:t>stock, net of issuance costs 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rPr>
              <w:t>$148</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3,242,655</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Issuance of common stock upon</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exercise of</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options</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17,932</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w w:val="91"/>
              </w:rPr>
              <w:t>Vesting of restricted common stock</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14,470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w w:val="88"/>
              </w:rPr>
              <w:t>Stock-based compensation expense</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3"/>
                <w:szCs w:val="13"/>
                <w:color w:val="auto"/>
              </w:rPr>
              <w:t>(9,746)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(9,746)</w:t>
            </w: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1"/>
              </w:rPr>
              <w:t>Balance at March 31, 2020, effect</w:t>
            </w: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of</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Business Combination (Note 3)</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15,254,643</w:t>
            </w:r>
          </w:p>
        </w:tc>
        <w:tc>
          <w:tcPr>
            <w:tcW w:w="740" w:type="dxa"/>
            <w:vAlign w:val="bottom"/>
            <w:gridSpan w:val="2"/>
            <w:shd w:val="clear" w:color="auto" w:fill="CFF0FC"/>
          </w:tcPr>
          <w:p>
            <w:pPr>
              <w:jc w:val="right"/>
              <w:ind w:right="441"/>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81,738</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(81,730)</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6"/>
          </w:tcPr>
          <w:p>
            <w:pPr>
              <w:jc w:val="right"/>
              <w:ind w:right="17"/>
              <w:spacing w:after="0" w:line="135" w:lineRule="exact"/>
              <w:rPr>
                <w:sz w:val="20"/>
                <w:szCs w:val="20"/>
                <w:color w:val="auto"/>
              </w:rPr>
            </w:pPr>
            <w:r>
              <w:rPr>
                <w:rFonts w:ascii="Arial" w:cs="Arial" w:eastAsia="Arial" w:hAnsi="Arial"/>
                <w:sz w:val="13"/>
                <w:szCs w:val="13"/>
                <w:b w:val="1"/>
                <w:bCs w:val="1"/>
                <w:color w:val="auto"/>
              </w:rPr>
              <w:t>Series A</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Series B</w:t>
            </w: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6"/>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Old Gemini</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720" w:type="dxa"/>
            <w:vAlign w:val="bottom"/>
            <w:gridSpan w:val="10"/>
          </w:tcPr>
          <w:p>
            <w:pPr>
              <w:jc w:val="right"/>
              <w:ind w:right="200"/>
              <w:spacing w:after="0"/>
              <w:rPr>
                <w:sz w:val="20"/>
                <w:szCs w:val="20"/>
                <w:color w:val="auto"/>
              </w:rPr>
            </w:pPr>
            <w:r>
              <w:rPr>
                <w:rFonts w:ascii="Arial" w:cs="Arial" w:eastAsia="Arial" w:hAnsi="Arial"/>
                <w:sz w:val="13"/>
                <w:szCs w:val="13"/>
                <w:b w:val="1"/>
                <w:bCs w:val="1"/>
                <w:color w:val="auto"/>
                <w:w w:val="87"/>
              </w:rPr>
              <w:t>Convertible Preferred Stock</w:t>
            </w:r>
          </w:p>
        </w:tc>
        <w:tc>
          <w:tcPr>
            <w:tcW w:w="1740" w:type="dxa"/>
            <w:vAlign w:val="bottom"/>
            <w:tcBorders>
              <w:right w:val="single" w:sz="8" w:color="auto"/>
            </w:tcBorders>
            <w:gridSpan w:val="6"/>
          </w:tcPr>
          <w:p>
            <w:pPr>
              <w:jc w:val="right"/>
              <w:ind w:right="220"/>
              <w:spacing w:after="0"/>
              <w:rPr>
                <w:sz w:val="20"/>
                <w:szCs w:val="20"/>
                <w:color w:val="auto"/>
              </w:rPr>
            </w:pPr>
            <w:r>
              <w:rPr>
                <w:rFonts w:ascii="Arial" w:cs="Arial" w:eastAsia="Arial" w:hAnsi="Arial"/>
                <w:sz w:val="13"/>
                <w:szCs w:val="13"/>
                <w:b w:val="1"/>
                <w:bCs w:val="1"/>
                <w:color w:val="auto"/>
                <w:w w:val="87"/>
              </w:rPr>
              <w:t>Convertible Preferred Stock</w:t>
            </w:r>
          </w:p>
        </w:tc>
        <w:tc>
          <w:tcPr>
            <w:tcW w:w="40" w:type="dxa"/>
            <w:vAlign w:val="bottom"/>
          </w:tcPr>
          <w:p>
            <w:pPr>
              <w:spacing w:after="0"/>
              <w:rPr>
                <w:sz w:val="13"/>
                <w:szCs w:val="13"/>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8"/>
              </w:rPr>
              <w:t>Common Stock</w:t>
            </w:r>
          </w:p>
        </w:tc>
        <w:tc>
          <w:tcPr>
            <w:tcW w:w="1420" w:type="dxa"/>
            <w:vAlign w:val="bottom"/>
            <w:gridSpan w:val="3"/>
          </w:tcPr>
          <w:p>
            <w:pPr>
              <w:jc w:val="right"/>
              <w:ind w:right="201"/>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paid-in</w:t>
            </w:r>
          </w:p>
        </w:tc>
        <w:tc>
          <w:tcPr>
            <w:tcW w:w="1000" w:type="dxa"/>
            <w:vAlign w:val="bottom"/>
            <w:gridSpan w:val="4"/>
          </w:tcPr>
          <w:p>
            <w:pPr>
              <w:ind w:left="18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85"/>
              </w:rPr>
              <w:t>Amount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87"/>
              </w:rPr>
              <w:t>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58"/>
              <w:spacing w:after="0" w:line="142" w:lineRule="exact"/>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2020</w:t>
            </w: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(as previously reported)</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39,722,088</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24,790,938</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33,336</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6,900,493</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441"/>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10,504</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(112,821)</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(102,310)</w:t>
            </w: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rPr>
              <w:t>Retroactive application of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00"/>
              <w:spacing w:after="0" w:line="135" w:lineRule="exact"/>
              <w:rPr>
                <w:sz w:val="20"/>
                <w:szCs w:val="20"/>
                <w:color w:val="auto"/>
              </w:rPr>
            </w:pPr>
            <w:r>
              <w:rPr>
                <w:rFonts w:ascii="Arial" w:cs="Arial" w:eastAsia="Arial" w:hAnsi="Arial"/>
                <w:sz w:val="13"/>
                <w:szCs w:val="13"/>
                <w:color w:val="auto"/>
              </w:rPr>
              <w:t>recapitalization due to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Combination (Note 3)</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(39,722,088)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(47,113)</w:t>
            </w:r>
          </w:p>
        </w:tc>
        <w:tc>
          <w:tcPr>
            <w:tcW w:w="100" w:type="dxa"/>
            <w:vAlign w:val="bottom"/>
          </w:tcPr>
          <w:p>
            <w:pPr>
              <w:spacing w:after="0"/>
              <w:rPr>
                <w:sz w:val="12"/>
                <w:szCs w:val="1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(24,790,938)</w:t>
            </w: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(33,336)</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(6,900,493)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680" w:type="dxa"/>
            <w:vAlign w:val="bottom"/>
          </w:tcPr>
          <w:p>
            <w:pPr>
              <w:jc w:val="right"/>
              <w:spacing w:after="0"/>
              <w:rPr>
                <w:sz w:val="20"/>
                <w:szCs w:val="20"/>
                <w:color w:val="auto"/>
              </w:rPr>
            </w:pPr>
            <w:r>
              <w:rPr>
                <w:rFonts w:ascii="Arial" w:cs="Arial" w:eastAsia="Arial" w:hAnsi="Arial"/>
                <w:sz w:val="13"/>
                <w:szCs w:val="13"/>
                <w:color w:val="auto"/>
              </w:rPr>
              <w:t>15,565,380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80,454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8"/>
              </w:rPr>
              <w:t>Balance at December 31, 2020,</w:t>
            </w: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effect of</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Business Combination (Note 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15,565,380</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2</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90,958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(112,821)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(21,861)</w:t>
            </w: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9"/>
              </w:rPr>
              <w:t>Issuance of common stock upon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00"/>
              <w:spacing w:after="0" w:line="135" w:lineRule="exact"/>
              <w:rPr>
                <w:sz w:val="20"/>
                <w:szCs w:val="20"/>
                <w:color w:val="auto"/>
              </w:rPr>
            </w:pPr>
            <w:r>
              <w:rPr>
                <w:rFonts w:ascii="Arial" w:cs="Arial" w:eastAsia="Arial" w:hAnsi="Arial"/>
                <w:sz w:val="13"/>
                <w:szCs w:val="13"/>
                <w:color w:val="auto"/>
              </w:rPr>
              <w:t>Combination, net of issuance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costs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(Note 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25,041,150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195,880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Conversion of promissory notes</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rPr>
              <w:t>(Note 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2,341,316</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9"/>
              </w:rPr>
              <w:t>Issuance of common stock upon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warrants (Note 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15,257</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w w:val="91"/>
              </w:rPr>
              <w:t>Vesting of restricted common stock</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35,561</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9"/>
              </w:rPr>
              <w:t>Issuance of common stock upon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3,480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w w:val="88"/>
              </w:rPr>
              <w:t>Stock-based compensation expense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3"/>
                <w:szCs w:val="13"/>
                <w:color w:val="auto"/>
              </w:rPr>
              <w:t>(19,048)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(19,048)</w:t>
            </w:r>
          </w:p>
        </w:tc>
        <w:tc>
          <w:tcPr>
            <w:tcW w:w="0" w:type="dxa"/>
            <w:vAlign w:val="bottom"/>
          </w:tcPr>
          <w:p>
            <w:pPr>
              <w:spacing w:after="0"/>
              <w:rPr>
                <w:sz w:val="1"/>
                <w:szCs w:val="1"/>
                <w:color w:val="auto"/>
              </w:rPr>
            </w:pPr>
          </w:p>
        </w:tc>
      </w:tr>
      <w:tr>
        <w:trPr>
          <w:trHeight w:val="142"/>
        </w:trPr>
        <w:tc>
          <w:tcPr>
            <w:tcW w:w="18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74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FF0FC"/>
          </w:tcPr>
          <w:p>
            <w:pPr>
              <w:jc w:val="right"/>
              <w:ind w:right="17"/>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43,002,144</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ind w:right="441"/>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4</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303,026</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(131,869</w:t>
            </w:r>
          </w:p>
        </w:tc>
        <w:tc>
          <w:tcPr>
            <w:tcW w:w="100" w:type="dxa"/>
            <w:vAlign w:val="bottom"/>
            <w:tcBorders>
              <w:top w:val="single" w:sz="8" w:color="CFF0FC"/>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171,161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(19,048)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conversion of convertible notes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convertible notes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(3,057)</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offering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(225)</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(348)</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(15,007)</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Business Combination,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196,319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Series B convertible preferred stock,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term loan</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(833)</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195,490</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180,483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185,309</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Conversion of convertible notes to Series B preferred stock</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issuance costs in accounts payable and accrued expenses and other current liabilities</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the context otherwise requires, references in these notes to “Gemini”, “the Company”, “we”, “us” and “our” and any related terms are intended to mean the post-Business Combination Gemini Therapeutics, Inc. and its consolidated subsidiary.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Transaction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Business Combination, the Company primarily financed its operations through the sale of convertible preferred stock, borrowings under convertible promissory notes and borrowings under loan agreements. The Company believes that its $185.0 million of cash and cash equivalents will enable it to fund its planned operations for at least twelve months from the issuance date of these condensed consolidated financial statements, though the Company may pursue additional cash resources through public or private equity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t>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COVID-19 pandemic continues to present significant business challenges in 2021, and the future progression of the outbreak and its effects on the Company’s business and operations are uncertain.</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and its third-party contract manufacturers (“CMOs”), contract research organizations (“CROs”) and clinical sites may experience disruptions in supply of product candidates and/or procurement of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outbreak.</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the Company has enrolled, and will seek to enroll, patients in its clinical trials at sites located both in the United States and internationally. Most of the Company’s clinical trial sites are in areas affected by COVID-19 and, as a result, its trials are being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not incurred impairment losses in the carrying values of its assets as a result of the COVID-19 pandemic, and it is not aware of any specific related event or circumstance that would require it to revise its estimates reflected in these condensed consolidated financial statements. Although the COVID-19 pandemic did not have a significant impact on the Company’s condensed consolidated financial results in the first quarter of 2021, the full extent to which the COVID-19 pandemic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terms and subject to the conditions of the Merger Agreement, at the effective time of the Merger, (i) all shares of Old Gemini’s Series B Preferred Stock (including shares of Series B Preferred Stock issued upon conversion of outstanding 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jc w:val="both"/>
        <w:ind w:right="20"/>
        <w:spacing w:after="0" w:line="259" w:lineRule="auto"/>
        <w:rPr>
          <w:sz w:val="20"/>
          <w:szCs w:val="20"/>
          <w:color w:val="auto"/>
        </w:rPr>
      </w:pPr>
      <w:r>
        <w:rPr>
          <w:rFonts w:ascii="Arial" w:cs="Arial" w:eastAsia="Arial" w:hAnsi="Arial"/>
          <w:sz w:val="18"/>
          <w:szCs w:val="18"/>
          <w:color w:val="auto"/>
        </w:rPr>
        <w:t>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6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subsequent to the Business Combination, Gemini has a majority of the voting power of the combined company, Gemini will comprise all of the ongoing operations of the combined entity, a majority of the governing body of the combined company and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.2180 shares of Gemini, the “Conversion Ratio”).</w:t>
      </w:r>
    </w:p>
    <w:p>
      <w:pPr>
        <w:spacing w:after="0" w:line="14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Business Combination, the Company incurred underwriting fees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Net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net proceeds from the Business Combination as of March 31, 2021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 - FSDC Trust Account and cash (net of redemptions)</w:t>
            </w:r>
          </w:p>
        </w:tc>
        <w:tc>
          <w:tcPr>
            <w:tcW w:w="680" w:type="dxa"/>
            <w:vAlign w:val="bottom"/>
            <w:gridSpan w:val="2"/>
            <w:shd w:val="clear" w:color="auto" w:fill="CFF0FC"/>
          </w:tcPr>
          <w:p>
            <w:pPr>
              <w:jc w:val="right"/>
              <w:ind w:right="54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121,782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Cash - PIPE Financing</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95,060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Underwriting fees and other issuance costs paid prior to March 31, 2021</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(20,523)</w:t>
            </w:r>
          </w:p>
        </w:tc>
      </w:tr>
      <w:tr>
        <w:trPr>
          <w:trHeight w:val="209"/>
        </w:trPr>
        <w:tc>
          <w:tcPr>
            <w:tcW w:w="9260" w:type="dxa"/>
            <w:vAlign w:val="bottom"/>
          </w:tcPr>
          <w:p>
            <w:pPr>
              <w:ind w:left="260"/>
              <w:spacing w:after="0"/>
              <w:rPr>
                <w:sz w:val="20"/>
                <w:szCs w:val="20"/>
                <w:color w:val="auto"/>
              </w:rPr>
            </w:pPr>
            <w:r>
              <w:rPr>
                <w:rFonts w:ascii="Arial" w:cs="Arial" w:eastAsia="Arial" w:hAnsi="Arial"/>
                <w:sz w:val="18"/>
                <w:szCs w:val="18"/>
                <w:color w:val="auto"/>
              </w:rPr>
              <w:t>Proceeds from Business Combination, net of issuance costs paid per the Cash Flows</w:t>
            </w: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from Financing Activities</w:t>
            </w:r>
          </w:p>
        </w:tc>
        <w:tc>
          <w:tcPr>
            <w:tcW w:w="680" w:type="dxa"/>
            <w:vAlign w:val="bottom"/>
            <w:gridSpan w:val="2"/>
          </w:tcPr>
          <w:p>
            <w:pPr>
              <w:jc w:val="right"/>
              <w:ind w:right="54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196,319</w:t>
            </w:r>
          </w:p>
        </w:tc>
        <w:tc>
          <w:tcPr>
            <w:tcW w:w="100" w:type="dxa"/>
            <w:vAlign w:val="bottom"/>
          </w:tcPr>
          <w:p>
            <w:pPr>
              <w:spacing w:after="0"/>
              <w:rPr>
                <w:sz w:val="20"/>
                <w:szCs w:val="20"/>
                <w:color w:val="auto"/>
              </w:rPr>
            </w:pPr>
          </w:p>
        </w:tc>
      </w:tr>
      <w:tr>
        <w:trPr>
          <w:trHeight w:val="21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Other issuance costs included in accounts payable and accrued expenses and</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9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(437)</w:t>
            </w: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color w:val="auto"/>
              </w:rPr>
              <w:t>Net proceeds from the Business Combination</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195,882</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Shares Issued</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15,535,150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9,506,000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25,041,150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8,657,869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7,744,785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1,539,603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60" w:type="dxa"/>
            <w:vAlign w:val="bottom"/>
          </w:tcPr>
          <w:p>
            <w:pPr>
              <w:ind w:left="260"/>
              <w:spacing w:after="0"/>
              <w:rPr>
                <w:sz w:val="20"/>
                <w:szCs w:val="20"/>
                <w:color w:val="auto"/>
              </w:rPr>
            </w:pPr>
            <w:r>
              <w:rPr>
                <w:rFonts w:ascii="Arial" w:cs="Arial" w:eastAsia="Arial" w:hAnsi="Arial"/>
                <w:sz w:val="18"/>
                <w:szCs w:val="18"/>
                <w:color w:val="auto"/>
              </w:rPr>
              <w:t>Total shares of New Gemini common stock outstanding immediately following</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380"/>
              <w:spacing w:after="0"/>
              <w:rPr>
                <w:sz w:val="20"/>
                <w:szCs w:val="20"/>
                <w:color w:val="auto"/>
              </w:rPr>
            </w:pPr>
            <w:r>
              <w:rPr>
                <w:rFonts w:ascii="Arial" w:cs="Arial" w:eastAsia="Arial" w:hAnsi="Arial"/>
                <w:sz w:val="18"/>
                <w:szCs w:val="18"/>
                <w:color w:val="auto"/>
              </w:rPr>
              <w:t>the Business Combination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42,998,664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10" w:name="page11"/>
    <w:bookmarkEnd w:id="10"/>
    <w:p>
      <w:pPr>
        <w:ind w:right="7700" w:firstLine="8"/>
        <w:spacing w:after="0" w:line="46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right="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 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3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the opinion of management, all adjustments necessary for a fair statement of the financial information, which are of a normal and recurring nature, have been made for the interim periods reported. Results of operations for the three months ended March 31, 2021 and 2020 are not necessarily indicative of the results for the entire fiscal year or any other period. The condensed consolidated financial information for the three months ended March 31, 2021 and 2020 have been prepared on the same basis as and should be read in conjunction with Old Gemini’s audited financial statements and notes thereto for the year ended December 31, 2020 included the Company’s Form 8-K/A as filed with the SEC on March 29, 2021.</w:t>
      </w:r>
    </w:p>
    <w:p>
      <w:pPr>
        <w:spacing w:after="0" w:line="13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effect the reported amounts of assets and liabilities and disclosure of contingent assets and liabilities at the date of the financial statements and the reported amounts of expenses during the reporting periods.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March 31, 2021 and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Restricted cash amounted to $323 thousand as of March 31, 2021 and December 31, 2020, which consists of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tcBorders>
          </w:tcPr>
          <w:p>
            <w:pPr>
              <w:spacing w:after="0"/>
              <w:rPr>
                <w:sz w:val="20"/>
                <w:szCs w:val="20"/>
                <w:color w:val="auto"/>
              </w:rPr>
            </w:pPr>
          </w:p>
        </w:tc>
        <w:tc>
          <w:tcPr>
            <w:tcW w:w="3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184,986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3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185,309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40" w:type="dxa"/>
            <w:vAlign w:val="bottom"/>
            <w:vMerge w:val="restart"/>
          </w:tcPr>
          <w:p>
            <w:pPr>
              <w:jc w:val="right"/>
              <w:ind w:right="197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88"/>
              </w:rPr>
              <w:t>5 years</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6760" w:type="dxa"/>
            <w:vAlign w:val="bottom"/>
          </w:tcPr>
          <w:p>
            <w:pPr>
              <w:jc w:val="center"/>
              <w:ind w:left="1110"/>
              <w:spacing w:after="0" w:line="201" w:lineRule="exact"/>
              <w:rPr>
                <w:sz w:val="20"/>
                <w:szCs w:val="20"/>
                <w:color w:val="auto"/>
              </w:rPr>
            </w:pPr>
            <w:r>
              <w:rPr>
                <w:rFonts w:ascii="Arial" w:cs="Arial" w:eastAsia="Arial" w:hAnsi="Arial"/>
                <w:sz w:val="18"/>
                <w:szCs w:val="18"/>
                <w:color w:val="auto"/>
                <w:w w:val="90"/>
              </w:rPr>
              <w:t>Shorter of the useful life of the asset</w:t>
            </w:r>
          </w:p>
        </w:tc>
      </w:tr>
      <w:tr>
        <w:trPr>
          <w:trHeight w:val="230"/>
        </w:trPr>
        <w:tc>
          <w:tcPr>
            <w:tcW w:w="4480" w:type="dxa"/>
            <w:vAlign w:val="bottom"/>
          </w:tcPr>
          <w:p>
            <w:pPr>
              <w:spacing w:after="0"/>
              <w:rPr>
                <w:sz w:val="20"/>
                <w:szCs w:val="20"/>
                <w:color w:val="auto"/>
              </w:rPr>
            </w:pP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90"/>
              </w:rPr>
              <w:t>or the life of the lease</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condensed consolidated statements of operations and comprehensive loss. The Company had no deferred offering costs as of March 31, 2021. As of December 31, 2020, the Company recorded deferred offering costs of $2.6 million related to the costs incurred in connection with the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classified and disclosed in one of the following three levels of the fair value hierarchy, of which the first two are considered observable and the last is considered unobservable: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185"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3"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equivalents and preferred stock warrant liability (outstanding as of December 31, 2020 only) are carried at fair value, determined according to the fair value hierarchy described above (see Note 5). The carrying values of the Company’s prepaid expenses and other current assets and accounts payable and accrued expenses approximate their fair values due to the short-term nature of these assets and liabilities. The carrying value of the Company’s term loan as of March 31, 2021 and December 31, 2020 (see Note 7) approximated fair value based on interest rates currently available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2019, concurrent with the Company’s term loan agreement (see Note 7), the Company issued warrants to purchase shares of Old Gemini’s Series A preferred stock. The Company accounts for the warrants to purchase Series A preferred stock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condensed consolidated statements of operations and comprehensive loss. The estimates in the Black-Scholes Option Pricing Model are based, in part, on subjective assumptions, including, stock price volatility, term of the warrants, risk-free interest rate, dividend yield and the fair value of the preferred stock underlying the warrants. Such assumptions could differ materially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the warrants were automatically exercised for 15,257 shares of the Company’s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Patent costs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Prior to the completion of the Business Combination transaction, given that there had been no public market for the Company’s common stock, the estimated fair value of its common stock was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Company’s common stock valuations were 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the Company’s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the Company’s common stock as reported by Nasdaq on the date of grant.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Business Combination, the Company was a private company and, therefore, lacked company-specific historical and implied volatility information for its stock. Therefore, it estimated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condensed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calculates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two-class method of computing earnings per share is required for entities that have participating securities. Under the two-class method, net income is allocated between ordinary shares and participating securities based on dividends declared (or accumulated) and participating rights in undistributed earnings as if all the earnings for the reporting period had been distributed.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three months ended March 31, 2021 and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closing of the Business Combination, the Company is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 election, the condensed consolidated financial statements may not be comparable to companies that comply with public company FASB standards’ effective 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(“ASU 2018-13”). The new standard removes certain disclosures, modifies certain disclosures and adds additional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fair value measurement. ASU 2018-13 is effective for annual periods after December 15, 2019. This standard became effective for the Company on January 1, 2020 and did not have a material impact on the Company’s disclosures.</w:t>
      </w:r>
    </w:p>
    <w:p>
      <w:pPr>
        <w:spacing w:after="0" w:line="14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standard became effective for the Company on January 1, 2021 and did not have an impact on its condensed consolidated financial statements for the three months ended March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2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financial statements and related disclosures.</w:t>
      </w:r>
    </w:p>
    <w:p>
      <w:pPr>
        <w:spacing w:after="0" w:line="13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beginning after December 15, 2021. The Company is currently evaluating the potential impact ASU 2018-18 will have on its financial statements.</w:t>
      </w:r>
    </w:p>
    <w:p>
      <w:pPr>
        <w:spacing w:after="0" w:line="14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8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Money market funds in cash and cash equivalents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184,061</w:t>
            </w:r>
          </w:p>
        </w:tc>
        <w:tc>
          <w:tcPr>
            <w:tcW w:w="240" w:type="dxa"/>
            <w:vAlign w:val="bottom"/>
          </w:tcPr>
          <w:p>
            <w:pPr>
              <w:spacing w:after="0"/>
              <w:rPr>
                <w:sz w:val="19"/>
                <w:szCs w:val="19"/>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6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40" w:type="dxa"/>
            <w:vAlign w:val="bottom"/>
          </w:tcPr>
          <w:p>
            <w:pPr>
              <w:jc w:val="right"/>
              <w:ind w:right="24"/>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Money market funds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Pr>
          <w:p>
            <w:pPr>
              <w:spacing w:after="0"/>
              <w:rPr>
                <w:sz w:val="19"/>
                <w:szCs w:val="19"/>
                <w:color w:val="auto"/>
              </w:rPr>
            </w:pP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76</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March 31, 2021 and December 31, 2020, cash equivalents were comprised of funds in money market accounts. There were no transfers or reclassifications between Level 1, Level 2 and Level 3 during the three months ended March 31, 2021.</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value of the warrant liability is classified as a Level 3 measurement under the fair value hierarchy, as this liability has been valued based on significant inputs not observable in the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2019, concurrent with the Company’s term loan agreement, the Company issued warrants to purchase 15,257 shares of Old Gemini’s Series A preferred stock. The warrants had an exercise price of $5.46 per share and expired in February 2029, representing a contractual term of ten years from issuance. At the closing of the Business Combination, the warrants were automatically exercised for 15,257 shares of the Company’s common stock.</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was recorded as a liability on the date of issuance and was revalued at the end of each reporting period until being exercised upon the closing of the Business Combination.</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warrant liability balance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Change in fair value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 exercise</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Ending warrant liability balance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external 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15,257 shares of the Company’s Series A preferred stock at an exercise price of $5.46 (see Note 5). As of March 31, 2021 and December 31, 2020, the Company had $9.2 million and $10.0 million, respectively, in principal outstanding under the Term Loan.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7" w:name="page18"/>
    <w:bookmarkEnd w:id="17"/>
    <w:p>
      <w:pPr>
        <w:jc w:val="both"/>
        <w:spacing w:after="0" w:line="296" w:lineRule="auto"/>
        <w:rPr>
          <w:sz w:val="20"/>
          <w:szCs w:val="20"/>
          <w:color w:val="auto"/>
        </w:rPr>
      </w:pPr>
      <w:r>
        <w:rPr>
          <w:rFonts w:ascii="Arial" w:cs="Arial" w:eastAsia="Arial" w:hAnsi="Arial"/>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 million was available as single term loan advance until January 31, 2020. The second tranche was also available until January 31, 2020 as single term loan advance for $2.5 million and required that the Company meet a certain milestone event. On April 18, 2019, the Company borrowed $7.5 million under the first tranche, and on December 17, 2019, the Company borrowed $2.5 million under the second tranche having satisfied the milestone requirement.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initially matured on July 1, 2022 and accrues interest at a floating rate per annum equal to the greater of 3.75% or the prime rate minus 1.5% (1.75% as of March 31, 2021).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7,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January 1,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March 31, 2021 and December 31, 2020, the Company accrued $275 thousand and $239 thousand, respectively, related to the end of term charge, which has been classified within other long-term liabilities.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March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As of March 31, 2021, scheduled principal payments for the Term Loan are as follows (in thousands):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2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40" w:type="dxa"/>
            <w:vAlign w:val="bottom"/>
            <w:gridSpan w:val="2"/>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principal</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discounts</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Carrying amount</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Long-term portion</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three months ended March 31, 2021 and 2020 was approximately $138 thousand and $153 thousand,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21, 2020, the Company entered into a purchase agreement with various investors to issue $14.0 million in convertible promissory notes (the “Notes”). The Notes accrued simple interest at 8% per annum. The Company determined that a beneficial conversion feature (“BCF”) exists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at a per share conversion price equal to the lowest per share price paid for such shares of common stock in the PIPE. The Notes were amended to allow for the principal and interest to convert to shares of Series B preferred stock prior to the closing of the Business Combination. Accordingly,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2,341,316 shares of Series B preferred stock at a per share conversion price of $6.1986 and the Notes liability was extinguished. The Company recorded other expense of $0.7 million for the difference between the reacquisition price of the Notes and the net carrying amount of the Notes in the condensed consolidated statements of operations and comprehensive loss for the three months ended 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was as follows:</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66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Unamortized discount (beneficial conversion feature)</w:t>
            </w:r>
          </w:p>
        </w:tc>
        <w:tc>
          <w:tcPr>
            <w:tcW w:w="1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19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(11,689)</w:t>
            </w:r>
          </w:p>
        </w:tc>
      </w:tr>
      <w:tr>
        <w:trPr>
          <w:trHeight w:val="223"/>
        </w:trPr>
        <w:tc>
          <w:tcPr>
            <w:tcW w:w="7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the Company recognized interest expense of $1.7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condensed consolidated statement of stockholders’ equity (deficit) has been retroactively adjusted for all periods presented to reflect the Business Combination and reverse recapitalization as defined in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closing of the Business Combination, pursuant to the terms of the Amended and Restated Certificate of Incorporation dated February 5, 2021,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March 31, 2021.</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Business Combination, all previously issued and outstanding Series A convertible preferred stock and Series B convertible preferred stock were exchanged for common stock in Gemini pursuant to the Conversion Ratio established in the Merger Agreement. All fractional shares were rounded down.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 of the Amended and Restated Certificate of Incorporation, the Company authorized 250,000,000 shares of common stock with a par value of $0.0001 per share. Immediately following the closing of the Business Combination and as of March 31, 2021, there were 42,998,664 and 43,002,144 shares of common stock issued and outstanding, respectively.</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discussed in Note 3,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Common stockholders are entitled to receive dividends, as may be declared by the board of directors. No dividends have been declared to date.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Old Gemini Equity Incentive Plan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completion of the Business Combination, the Company ceased granting awards under the 2017 Plan. All awards under the 2017 Plan continue in full force and effect on the same terms and conditions as were previously applicable to such awards, subject to adjustments to the exercise price and number of shares of common stock issuable upon exercise based on the Conversion Ratio.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Awards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Closing Date, the 10,567,508 options and 163,157 restricted stock units (“RSUs”) outstanding under the 2017 Plan and 2015 Plan were converted into 2,303,309 options and 35,561 RSUs upon completion of the Business Combination after effect of the Conversion Ratio. This effect of the Conversion Ratio has been retroactively adjusted throughout the Company’s unaudited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Gemini Equity Incentive Plan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3,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of each award granted under the 2021 Plan requiring exercise will be 100% of the fair market value of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2021 Inducement Plan</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On February 12,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March 31, 2021, 1,616,895 shares were available for issuance under the 2021 Inducement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condensed consolidated statements of operations and comprehensive loss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Business Combination, the Company has retroactively restated the weighted average shares outstanding prior to February 5, 2021 to give effect to the Conversion Ratio.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32,027,161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14,495,972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potentially dilutive securities, which include options and unvested restricted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5,602,935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1,836,271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shares of Series A preferred stock (as converted to common stock)</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5,602,935</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jc w:val="right"/>
              <w:ind w:right="1910"/>
              <w:spacing w:after="0"/>
              <w:rPr>
                <w:sz w:val="20"/>
                <w:szCs w:val="20"/>
                <w:color w:val="auto"/>
              </w:rPr>
            </w:pPr>
            <w:r>
              <w:rPr>
                <w:rFonts w:ascii="Arial" w:cs="Arial" w:eastAsia="Arial" w:hAnsi="Arial"/>
                <w:sz w:val="18"/>
                <w:szCs w:val="18"/>
                <w:color w:val="auto"/>
              </w:rPr>
              <w:t>18</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1" w:name="page22"/>
    <w:bookmarkEnd w:id="21"/>
    <w:p>
      <w:pPr>
        <w:ind w:right="8460" w:firstLine="8"/>
        <w:spacing w:after="0" w:line="464"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jc w:val="both"/>
        <w:spacing w:after="0" w:line="257" w:lineRule="auto"/>
        <w:rPr>
          <w:sz w:val="20"/>
          <w:szCs w:val="20"/>
          <w:color w:val="auto"/>
        </w:rPr>
      </w:pPr>
      <w:r>
        <w:rPr>
          <w:rFonts w:ascii="Arial" w:cs="Arial" w:eastAsia="Arial" w:hAnsi="Arial"/>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facility leases, debt obligations, license agreements and other purchase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March 31, 2021 do not include liabilities with respect to this agreement as the Company has not yet generated revenue and the achievement of certain milestones is not probable.</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additional consideration under the 2018 License Agreement as of March 31, 2021.</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additional consideration under the 2019 License Agreement as of March 31, 2021.</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March 31, 2021 do not include liabilities with respect to additional consideration under this agreement as the Company has not yet generated revenue and the achievement of certain milestones is not probable.</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March 31, 2021 do not include liabilities with respect to this agreement as the Company has not yet generated revenue and the achievement of certain milestones is not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March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March 31, 2021, the Company was not a party to any material legal matters or claims.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engaged a firm managed by an executive of the Company for professional services related to accounting, finance and other administrative functions. For the three months ended March 31, 2021, the costs incurred under this arrangement totaled $105 thousand, of which $95 thousand was recorded in stockholders’ equity (deficit) as a reduction to additional paid-in capital as a result of the Business Combination and $10 thousand was recorded as general and administrative expense in the accompanying condensed consolidated statements of operations and comprehensive loss. As of March 31, 2021 and December 31, 2020, amounts owed under this arrangement totaled $6 and $257 thousand, respectively, and is included in accounts payable and/or accrued expenses in the accompanying consolidated balance sheet for each period. The executive of the Company associated with this firm resigned from the Company in February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and Old Gemini’s audited financial statements and notes thereto for the year ended December 31, 2020 included in our Form 8-K/A as filed with the Securities and Exchange Commission on March 29,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Management’s Discussion &amp; Analysis of Financial Condition and Results of Operations section to “Gemini,” “we,” “us,” “our” and other similar terms refer to Old Gemini (as defined below) prior to the Business Combination (as defined below) and to Gemini and its consolidated subsidiaries after giving effect to the Business Combination.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Prior to the Business Combination (as defined below), we have primarily financed our operations through the sale of convertible preferred stock, borrowings under convertible promissory notes and borrowings from our term loan facility with Silicon Valley Bank, (“SVB”).</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.2180 shares of New Gemini), or the Conversion Ratio.</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Business Combination, please read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our unaudited condensed consolidated financial statements included elsewhere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incurred significant operating losses since inception. Our net losses were $40.8 million for the year ended December 31, 2020 and $19.0 million for the three months ended March 31, 2021. As of March 31, 2021, we had an accumulated deficit of $131.9 million. We expect to continue to incur net losses for the foreseeable future and expect our research and development expenses and general and administrative expenses to continue to increase. We expect that our expenses and capital requirements will increase substantially in connection with our ongoing development activities, particularly if and as we:</w:t>
      </w:r>
    </w:p>
    <w:p>
      <w:pPr>
        <w:spacing w:after="0" w:line="188" w:lineRule="exact"/>
        <w:rPr>
          <w:sz w:val="20"/>
          <w:szCs w:val="20"/>
          <w:color w:val="auto"/>
        </w:rPr>
      </w:pPr>
    </w:p>
    <w:p>
      <w:pPr>
        <w:jc w:val="both"/>
        <w:ind w:left="74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clinical trial in geographic atrophy;</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potentiating antibody as a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AAV as a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hire additional clinical, quality control, medical, scientific and other technical personnel to support our clinical and research operations;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a growing employee base; and</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research and development programs and any future commercialization efforts.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as a result of the Business Combination, we expect to incur additional costs associated with operating as a public company, including significant legal, accounting, investor relations and other expenses that we did not incur as a private company.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incurred significant operating losses since our inception and as of March 31, 2021, had an accumulated deficit of $131.9 million and have not yet generated revenues. In addition, we expect to continue to incur significant and increasing expenses and operating losses for the foreseeable future. We believe that our cash resources will enable us to fund our operating expenses and capital expenditure requirements into 2023. Our belief with respect to our ability to fund operations is based on estimates that are subject to risks and uncertainties. If actual results are different from our estimates, we may need to seek additional funding sooner that would otherwise be expected. There can be no assurance that we will be able to obtain additional funding on acceptable terms, if at all. Our future viability beyond that point is dependent on our ability to raise additional capital to finance our operations. For additional information on the Business Combination, please read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 unaudited condensed consolidated financial statements included elsewhere in this Form 10-Q.</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COVID-19 pandemic continues to present significant business challenges in 2021, and the future progression of the outbreak and its effects on our business and operations are uncertain.</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our third-party contract manufacturers (“CMOs”), contract research organizations (“CROs”) and clinical sites may experience disruptions in supply of product candidates and/or procuring items that are essential for our research 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outbreak.</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we have enrolled, and will seek to enroll, patients in our clinical trials at sites located both in the United States and internationally. Most of our clinical trial sites are in areas affected by COVID-19 and, as a result, our trials are being impacted. We cannot predict how long or impactful these delays 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incurred impairment losses in the carrying values of our assets as a result of the COVID-19 pandemic, and we are not aware of any specific related event or circumstance that would require us to revise our estimates reflected in our condensed consolidated financial statements. Although the COVID-19 pandemic did not have a significant impact on our financial results in the first quarter of 2021, the full extent to which the COVID-19 pandemic will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2019, we entered into a term loan facility of up to $10.0 million (the “Term Loan”) with SVB. The proceeds were used for general corporate and working capital purposes. Concurrent with the Term Loan, we issued SVB warrants to purchase 15,257 shares of Old Gemini’s Series A preferred stock at an exercise price of $5.46. At the closing of the Business Combination, these warrants were automatically exercised for 15,257 shares of our common stock. As of March 31, 2021 and December 31, 2020, we had $9.2 million and $10.0 million, respectively, in principal outstanding under the Term Loan.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governed by a loan and security agreement, dated February 8, 2019, between Gemini and SVB (the “SVB Loan Agreement”). The SVB Loan Agreement provided for two separate tranches under which we could borrow. The first tranche for $7.5 million was available as single term loan advance until January 31, 2020. The second tranche was also available until January 31, 2020 as single term loan advance for $2.5 million and required that we meet a certain milestone event. On April 18, 2019, we borrowed $7.5 million under the first tranche, and on December 17, 2019, we borrowed $2.5 million under the second tranche having satisfied the milestone requirement.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Loan matures on January 1, 2023 and accrues interest at a floating rate per annum equal to the greater of 3.75% or the prime rate minus 1.5% (1.75% as of March 31, 2021).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7,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1, 2023.</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21, 2020, we entered into a purchase agreement with existing investors to issue $14.0 million in convertible promissory notes, (the “Notes”). The Notes accrue simple interest at 8% per annum and mature on February 21,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development of our product candidates. We expense research and development costs as incurred, which include:</w:t>
      </w:r>
    </w:p>
    <w:p>
      <w:pPr>
        <w:spacing w:after="0" w:line="170" w:lineRule="exact"/>
        <w:rPr>
          <w:sz w:val="20"/>
          <w:szCs w:val="20"/>
          <w:color w:val="auto"/>
        </w:rPr>
      </w:pPr>
    </w:p>
    <w:p>
      <w:pPr>
        <w:ind w:left="5540" w:right="1940" w:hanging="5168"/>
        <w:spacing w:after="0" w:line="778"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183"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facilities-related costs, depreciation and other expenses, which include rent and utilities.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existing, and commence additional, planned clinical trials for GEM103, as well as conduct other preclinical and clinical development, including submitting regulatory filings for our other product candidates. We also expect our discovery research efforts and related personnel costs will increase and, as a result, we expect our research and development expenses, including costs associated with stock-based compensation, will increase above historical levels. In addition, we may incur additional expenses related to milestone and royalty payments payable to third parties with whom we may enter into license, acquisition and option agreements to acquire the rights to future product candidates.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171"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 enabling studies;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740" w:hanging="368"/>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receipt and terms of any marketing approvals from applicable regulatory authorities including the FDA and non-U.S. regulators;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17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the continued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 We also expect to incur additional intellectual property-related expenses as we file patent applications to protect innovations arising from our research and development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of interest accrued on our term loan entered into on February 8, 2019 and the Notes, including the accretion of the beneficial conversion feature discount recognized on the issuance date of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79" w:lineRule="auto"/>
        <w:rPr>
          <w:sz w:val="20"/>
          <w:szCs w:val="20"/>
          <w:color w:val="auto"/>
        </w:rPr>
      </w:pPr>
      <w:r>
        <w:rPr>
          <w:rFonts w:ascii="Arial" w:cs="Arial" w:eastAsia="Arial" w:hAnsi="Arial"/>
          <w:sz w:val="17"/>
          <w:szCs w:val="17"/>
          <w:color w:val="auto"/>
        </w:rPr>
        <w:t>In February 2019, in conjunction with our term loan, we issued warrants to purchase 15,257 shares of Old Gemini’s Series A preferred stock. We account for, and classify, these warrants as a liability on our balance sheet because the warrants are freestanding financial instruments. We remeasure this liability to fair value at each reporting date and recognize changes in the fair value of the warrant liability in our statements of operations. At the closing of the Business Combination, these warrants were automatically exercised for 15,257 shares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assets and liabilities for the expected future tax consequences of events that have been included in the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 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11,786</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8,217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Other income (expense):</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conversion of convertible notes</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were $11.8 million for the three months ended March 31, 2021, compared to $8.2 million for the three months ended March 31, 2020. The increase of $3.6 million was primarily due to an increase in external research and development costs related to clinical trial activities of GEM103. In addition, research and development personnel costs were higher period over period due to an increase in headcount in our research and development function to support the advancement of our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were $4.7 million for the three months ended March 31, 2021, compared to $1.4 million for the three months ended March 31, 2020. The increase of $3.3 million was primarily due to higher personnel-related costs, including stock-based compensation, in support of organizational growth and higher legal and other professional fees incurred in connection with operating as a public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expense was $1.9 million for the three months ended March 31, 2021, compared to $0.2 million for the three months ended March 31, 2020. The increase of $1.7 million is due to the accretion of the beneficial conversion feature discount recognized at the issuance date of the Notes.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was less than $0.1 million for the three months ended March 31, 2021 and 2020 and consisted of interest income associated with our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loss on conversion of convertible notes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 in fair value of warrant liability reflects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reduction of the fair value of the Series A preferred stock warrant.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We have funded our operations to date primarily with proceeds from the sale of preferred stock, borrowings under convertible promissory notes and borrowings under loan agreements. Through March 31, 2021, we have received net proceeds of $195.9 million in connection with the closing of the Business Combination, gross proceeds of $76.0 million from sales of our preferred stock, gross proceeds of $16.9 million from borrowings under convertible promissory notes and $10.0 million of cash proceeds from our term loan with SVB.</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cash and cash equivalents of $185.0 million. We have incurred operating losses and experienced negative operating cash flows since inception, and we anticipate that we will continue to incur losses for at least the foreseeable future. Our net losses totaled $40.8 million for the year ended December 31, 2020 and $19.0 million for the three months ended March 31, 2021. As of March 31, 2021, we had an accumulated deficit of $131.9 million.</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three months ended March 31, 2021, we experienced a loss from operations and negative cash flows from operations. We anticipate to incur operating losses and negative cash flows from operations for the foreseeable future, particularly as we move forward with our clinical-stage programs. We do not expect to generate revenue from product sales for several years, if at all.</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(15,007)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195,490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180,483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2021, we used cash in operating activities of $15.0 million, reflecting a net loss of $19.0 million, partially offset by non-cash charges of $4.2 million and a net change of $0.1 million in our operating assets and liabilities. The non-cash charges consist primarily of $1.6 million accretion of the discount on the Notes, $1.6 million of stock-based compensation expense, $0.7 million of expense related to the conversion of the Notes and $0.2 million of non-cash interest expense. The net change in our operating assets and liabilities was primarily due to an increase in prepaid expenses and other current currents, other assets and accounts payable, partially offset by a decrease in deferred offering costs and accrued expenses and other current liabilities.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we used cash in operating activities of $9.9 million, reflecting a net loss of $9.8 million, and a net decrease in accounts payable and accrued expenses and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1640"/>
        <w:spacing w:after="0" w:line="453" w:lineRule="auto"/>
        <w:rPr>
          <w:sz w:val="20"/>
          <w:szCs w:val="20"/>
          <w:color w:val="auto"/>
        </w:rPr>
      </w:pPr>
      <w:r>
        <w:rPr>
          <w:rFonts w:ascii="Arial" w:cs="Arial" w:eastAsia="Arial" w:hAnsi="Arial"/>
          <w:sz w:val="18"/>
          <w:szCs w:val="18"/>
          <w:color w:val="auto"/>
        </w:rPr>
        <w:t xml:space="preserve">During the three months ended March 31, 2021 and 2020, we did not generate any cash inflows or outflows from investing activities. </w:t>
      </w:r>
      <w:r>
        <w:rPr>
          <w:rFonts w:ascii="Arial" w:cs="Arial" w:eastAsia="Arial" w:hAnsi="Arial"/>
          <w:sz w:val="18"/>
          <w:szCs w:val="18"/>
          <w:i w:val="1"/>
          <w:iCs w:val="1"/>
          <w:color w:val="auto"/>
        </w:rPr>
        <w:t>Financing activities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net cash provided by financing activities was $195.5 million, consisting primarily of $196.3 million of net proceeds received from the Business Combination, partially offset by principal payments made on our term loan.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net cash provided by financing activities was $20.1 million, consisting primarily of the net proceeds received from the issuance of our Series B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including significant legal, accounting, investor relations and other expenses that we did not incur as a private company. The timing and amount of our operating expenditures will depend largely on our ability to:</w:t>
      </w:r>
    </w:p>
    <w:p>
      <w:pPr>
        <w:spacing w:after="0" w:line="146"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18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or have manufactured on our behalf, our preclinical and clinical drug material and develop processes for late stage and commercial manufacturing;</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2" w:name="page33"/>
    <w:bookmarkEnd w:id="32"/>
    <w:p>
      <w:pPr>
        <w:ind w:left="74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8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 and</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the costs of operating as a public company.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we had cash and cash equivalents of $185.0 million. We believe that our cash and cash equivalents will enable us to fund our operating expenses and capital expenditure requirements into 2023. We have based this estimate on assumptions that may prove to be wrong, and we could utilize our available capital resources sooner than we expect.</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 will be diluted, and the terms of these securities may include liquidation or other preferences that adversely affect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143"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w:t>
      </w:r>
    </w:p>
    <w:p>
      <w:pPr>
        <w:spacing w:after="0" w:line="196" w:lineRule="exact"/>
        <w:rPr>
          <w:rFonts w:ascii="Arial" w:cs="Arial" w:eastAsia="Arial" w:hAnsi="Arial"/>
          <w:sz w:val="17"/>
          <w:szCs w:val="17"/>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129"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 and necessary inventory to support commercial launch;</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96"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4 to the unaudited condensed consolidated financial statements appearing elsewhere in this Form 10-Q, we believe that the following accounting policies are those most critical to the judgments and estimates used in the preparation of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all stock-based awards granted to employees, directors and non-employees based on the fair value on the date of grant and recognize compensation expense of those awards over the requisite service period, which is generally the vesting period of the respective award. Forfeitures are accounted for as they occur. We grant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 the probability that certain performance criteria will be met and do not recognize compensation expense until it is probable that the performance-based vesting condition will be achieved.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Prior to the completion of the Business Combination, given there had been no public market for our common stock,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an option pricing method, or OPM, or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both of which used market approaches to estimate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our common stock. These estimates and assumptions include a number of objective and subjective factors, including external market conditions, the prices at which we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our common stock as reported by Nasdaq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each restricted common stock award is estimated on the date of grant based on the fair value of our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Business Combination, we were a private company and, therefore, lack company-specific historical and implied volatility information for our common stock. Therefore, we estimated our expected stock price volatility based on the historical volatility of publicly traded peer companies and expect to continue to do so until such time as we have adequate historical data regarding the volatility of ours own traded stock price. The expected term of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does not expect to pay any cash dividends in the foreseeable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2120"/>
        <w:spacing w:after="0" w:line="453" w:lineRule="auto"/>
        <w:rPr>
          <w:sz w:val="20"/>
          <w:szCs w:val="20"/>
          <w:color w:val="auto"/>
        </w:rPr>
      </w:pPr>
      <w:r>
        <w:rPr>
          <w:rFonts w:ascii="Arial" w:cs="Arial" w:eastAsia="Arial" w:hAnsi="Arial"/>
          <w:sz w:val="18"/>
          <w:szCs w:val="18"/>
          <w:color w:val="auto"/>
        </w:rPr>
        <w:t xml:space="preserve">As of March 31, 2021, we did not have any off-balance sheet arrangements, as defined in the rules and regulations of the SEC. </w:t>
      </w:r>
      <w:r>
        <w:rPr>
          <w:rFonts w:ascii="Arial" w:cs="Arial" w:eastAsia="Arial" w:hAnsi="Arial"/>
          <w:sz w:val="18"/>
          <w:szCs w:val="18"/>
          <w:b w:val="1"/>
          <w:bCs w:val="1"/>
          <w:color w:val="auto"/>
        </w:rPr>
        <w:t>Recently issued accounting pronouncements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Quarterly Report on Form 10-Q contains forward-looking statements which are made pursuant to the safe harbor provisions of Section 27A of the Securities Act of 1933, as amended, and Section 21E of the Securities Exchange Act of 1934, as amended (the “Exchange Act”). The forward-looking statements in this Quarterly Report on Form 10-Q do not constitute guarantees of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17"/>
          <w:szCs w:val="17"/>
          <w:color w:val="auto"/>
        </w:rPr>
        <w:t>performance. Investors are cautioned that statements in this Quarterly Report on Form 10-Q which are not strictly historical statements, including, without limitation, express or implied statements or guidance regarding current or future financial performance and position, potential impairment of future earnings, management’s strategy, plans and objectives for future operations or acquisitions, product development and sales, product candidate research, development and regulatory approval, SG&amp;A expenditures, intellectual property, development and manufacturing plans, availability of materials and product and adequacy of capital resources, our financing plans, and the projected impact of, and response to, the COVID-19 coronavirus pandemic and the related downturn of the U.S. and global economies constitute forward-looking statements. These forward-looking statements are based on current expectations, estimates, forecasts and projections about the industry and markets in which the Company operates, and management’s beliefs and assumptions. We undertake no obligation to publicly update or revise the statements in light of future developments. In addition, other written and oral statements that constitute forward-looking statements may be made by us or on our behalf. Words such as “expect,” “seek,” “anticipate,” “intend,” “plan,” “believe,” “could,” “estimate,” “may,” “target,” “project,” or variations of such words and similar expressions are intended to identify forward-looking statements. Such forward-looking statements are subject to a number of risks and uncertainties that could cause actual results to differ materially from those anticipated. Information on potential risk factors that could affect our financial results are included under the sections titled “Risk Factors” in our Form 8-K/A as filed with the SEC on March 29, 2021, and Form 10-K filed with the SEC on March 29, 2021, or in future filings made by us from time to time with the Securities and Exchange Commission.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the same time that they become applicable to other public companies that are not emerging growth companies, unless we choose to early adopt a new or revised accounting standard.</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in the ordinary course of our business. These risks primarily relate to changes in interest rates.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cash and cash equivalents as of March 31, 2021 consisted of cash and a money market fund account. Because of the short-term nature of our money market fund, a sudden change in market interest rates would not be expected to have a material impact on our financial position or results of operations.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the principal amount of our term loan was $9.2 million. The following table is an estimate of our interest expense based upon our floating rate term loan that could result from hypothetical interest rate changes, based on debt levels as of March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Hypothetical Change in Interest Rates (i)</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Annual Impact to Interest Expense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1-percent increase</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$100,000 increase</w:t>
            </w:r>
          </w:p>
        </w:tc>
      </w:tr>
      <w:tr>
        <w:trPr>
          <w:trHeight w:val="230"/>
        </w:trPr>
        <w:tc>
          <w:tcPr>
            <w:tcW w:w="5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1-percent decrease</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No Impact</w:t>
            </w:r>
          </w:p>
        </w:tc>
      </w:tr>
    </w:tbl>
    <w:p>
      <w:pPr>
        <w:spacing w:after="0" w:line="202" w:lineRule="exact"/>
        <w:rPr>
          <w:sz w:val="20"/>
          <w:szCs w:val="20"/>
          <w:color w:val="auto"/>
        </w:rPr>
      </w:pPr>
    </w:p>
    <w:p>
      <w:pPr>
        <w:ind w:left="420" w:right="20" w:hanging="358"/>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pay a floating rate per annum equal to the greater of 3.75% or the prime rate minus 1.5%. See Note 7 to our unaudited condensed consolidated financial statements for further information.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jc w:val="both"/>
        <w:spacing w:after="0" w:line="308" w:lineRule="auto"/>
        <w:rPr>
          <w:sz w:val="20"/>
          <w:szCs w:val="20"/>
          <w:color w:val="auto"/>
        </w:rPr>
      </w:pPr>
      <w:r>
        <w:rPr>
          <w:rFonts w:ascii="Arial" w:cs="Arial" w:eastAsia="Arial" w:hAnsi="Arial"/>
          <w:sz w:val="17"/>
          <w:szCs w:val="17"/>
          <w:color w:val="auto"/>
        </w:rPr>
        <w:t>Inflation would generally affect us by increasing our cost of labor and clinical trial costs. We do not believe that inflation had a material effect on our business, financial condition or results of operations during the three months ended March 31, 2021 and the year ended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principal executive officer and principal financial officer, after evaluating the effectiveness of our “disclosure controls and procedures” (as defined in the Exchange Act Rule 13a-15(e), or Rule 15d-15(e)), with the participation of our management, 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the end of the period covered by this report are effective at a level that provides such reasonable assurances.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(as such term is defined in Exchange Act Rules 13a-15(f) and 15d-15(f)) that occurred during the three months ended March 31, 2021 that have materially affected, or that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Gemini has little or no control. A number of important risks and uncertainties, including those identified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period ended December 31, 2020 and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our Form 8-K/A as filed with the SEC on March 29, 2021 and in subsequent filings, could cause our actual results to differ materially from those in the forward-looking statements. There are no material changes to the risk factors described in our Annual Report on Form 10-K for the period ended December 31, 2020 and our Form 8-K/A as filed with the SEC on March 29, 2021. We may disclose changes to such factors or disclose additional factors from time to time in our future filings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execution of the Merger Agreement, FSDC entered into subscription agreements (the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with each of the PIPE Investors, pursuant to which, at the Closing, the PIPE Investors subscribed for and purchased an aggregate of 9,506,000 shares of Common Stock at a price of $10.00 per share for aggregate gross proceeds of $95,060,000. These shares were issued to the PIPE Investors immediately prior to the closing of the Business Combination on February 5, 2021.</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shares of Common Stock issued pursuant to the Subscription Agreements (the “</w:t>
      </w:r>
      <w:r>
        <w:rPr>
          <w:rFonts w:ascii="Arial" w:cs="Arial" w:eastAsia="Arial" w:hAnsi="Arial"/>
          <w:sz w:val="17"/>
          <w:szCs w:val="17"/>
          <w:u w:val="single" w:color="auto"/>
          <w:color w:val="auto"/>
        </w:rPr>
        <w:t>PIPE Financing Shares</w:t>
      </w:r>
      <w:r>
        <w:rPr>
          <w:rFonts w:ascii="Arial" w:cs="Arial" w:eastAsia="Arial" w:hAnsi="Arial"/>
          <w:sz w:val="17"/>
          <w:szCs w:val="17"/>
          <w:color w:val="auto"/>
        </w:rPr>
        <w:t>”) have not been registered under the Securities Act in reliance upon the exemption provided in Section 4(a)(2) of the Securities Act. Pursuant to the Subscription Agreements, we agreed that, within 30 calendar days after the Closing Date, we will file with the SEC (at our sole cost and expense) a registration statement (the “</w:t>
      </w:r>
      <w:r>
        <w:rPr>
          <w:rFonts w:ascii="Arial" w:cs="Arial" w:eastAsia="Arial" w:hAnsi="Arial"/>
          <w:sz w:val="17"/>
          <w:szCs w:val="17"/>
          <w:u w:val="single" w:color="auto"/>
          <w:color w:val="auto"/>
        </w:rPr>
        <w:t>Resale Registration Statement</w:t>
      </w:r>
      <w:r>
        <w:rPr>
          <w:rFonts w:ascii="Arial" w:cs="Arial" w:eastAsia="Arial" w:hAnsi="Arial"/>
          <w:sz w:val="17"/>
          <w:szCs w:val="17"/>
          <w:color w:val="auto"/>
        </w:rPr>
        <w:t>”) registering the resale of the PIPE Financing Shares. We will use our commercially reasonable efforts to have the Resale Registration Statement declared effective as soon as practicable after the filing thereof, but no later than the earlier of (i) 90 calendar days (or 120 calendar days if the SEC notifies us that it will review the Resale Registration Statement) following the filing thereof and (ii) five business days after we are notified by the SEC that the Resale Registration Statement will not be reviewed or will not be subject to further review.</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agreed to cause such Resale Registration Statement, or another shelf registration statement that includes the PIPE Financing Shares, to remain effective until the earliest of (x) the third anniversary of the Closing, (y) the date on which no PIPE Investor holds PIPE Financing Shares or (z) the first date on which each PIPE Investor is able to sell all of its PIPE Financing Shares under Rule 144 of the Securities Act within 90 days without limitation as to the amount of such securities that may be sold and without the requirement for us to be in compliance with the current public information required under Rule 144(c)(i) (or Rule 144(i)(2), if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b w:val="1"/>
          <w:bCs w:val="1"/>
          <w:color w:val="auto"/>
        </w:rPr>
        <w:t>Registration No. 333-249785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020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3.1</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w w:val="94"/>
              </w:rPr>
              <w:t>Amended and Restated Articles of Incorporation of Gemini Therapeutics, Inc. (incorporated by reference to Annex B to the Registrant’s</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Proxy Statement/Prospectus on Form S-4 (Registration No. 333-249785)).</w:t>
            </w:r>
          </w:p>
        </w:tc>
        <w:tc>
          <w:tcPr>
            <w:tcW w:w="0" w:type="dxa"/>
            <w:vAlign w:val="bottom"/>
          </w:tcPr>
          <w:p>
            <w:pPr>
              <w:spacing w:after="0"/>
              <w:rPr>
                <w:sz w:val="1"/>
                <w:szCs w:val="1"/>
                <w:color w:val="auto"/>
              </w:rPr>
            </w:pPr>
          </w:p>
        </w:tc>
      </w:tr>
      <w:tr>
        <w:trPr>
          <w:trHeight w:val="216"/>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Amended and Restated By-laws of Gemini Therapeutics, Inc. (incorporated by reference to Annex C to the Registrant’s Proxy</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Statement/Prospectus on Form S-4 (Registration No. 333-249785)).</w:t>
            </w:r>
          </w:p>
        </w:tc>
        <w:tc>
          <w:tcPr>
            <w:tcW w:w="0" w:type="dxa"/>
            <w:vAlign w:val="bottom"/>
          </w:tcPr>
          <w:p>
            <w:pPr>
              <w:spacing w:after="0"/>
              <w:rPr>
                <w:sz w:val="1"/>
                <w:szCs w:val="1"/>
                <w:color w:val="auto"/>
              </w:rPr>
            </w:pPr>
          </w:p>
        </w:tc>
      </w:tr>
      <w:tr>
        <w:trPr>
          <w:trHeight w:val="216"/>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w w:val="93"/>
              </w:rPr>
              <w:t>Form of Specimen Common Stock Certificate (incorporated by reference to Exhibit 4.1 to Form S-4/A (Registration No. 333-249785) filed</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on January 19, 2021).</w:t>
            </w:r>
          </w:p>
        </w:tc>
        <w:tc>
          <w:tcPr>
            <w:tcW w:w="0" w:type="dxa"/>
            <w:vAlign w:val="bottom"/>
          </w:tcPr>
          <w:p>
            <w:pPr>
              <w:spacing w:after="0"/>
              <w:rPr>
                <w:sz w:val="1"/>
                <w:szCs w:val="1"/>
                <w:color w:val="auto"/>
              </w:rPr>
            </w:pPr>
          </w:p>
        </w:tc>
      </w:tr>
      <w:tr>
        <w:trPr>
          <w:trHeight w:val="230"/>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Employment Agreement, dated as of February 22, 2021, by and between Gemini Therapeutics, Inc. and Dr. Walter Strapps.</w:t>
            </w:r>
          </w:p>
        </w:tc>
        <w:tc>
          <w:tcPr>
            <w:tcW w:w="0" w:type="dxa"/>
            <w:vAlign w:val="bottom"/>
          </w:tcPr>
          <w:p>
            <w:pPr>
              <w:spacing w:after="0"/>
              <w:rPr>
                <w:sz w:val="1"/>
                <w:szCs w:val="1"/>
                <w:color w:val="auto"/>
              </w:rPr>
            </w:pPr>
          </w:p>
        </w:tc>
      </w:tr>
      <w:tr>
        <w:trPr>
          <w:trHeight w:val="22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10.2*</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Employment Agreement, dated as of February 4, 2021, by and between Gemini Therapeutics, Inc. and Brian Piekos.</w:t>
            </w:r>
          </w:p>
        </w:tc>
        <w:tc>
          <w:tcPr>
            <w:tcW w:w="0" w:type="dxa"/>
            <w:vAlign w:val="bottom"/>
          </w:tcPr>
          <w:p>
            <w:pPr>
              <w:spacing w:after="0"/>
              <w:rPr>
                <w:sz w:val="1"/>
                <w:szCs w:val="1"/>
                <w:color w:val="auto"/>
              </w:rPr>
            </w:pPr>
          </w:p>
        </w:tc>
      </w:tr>
      <w:tr>
        <w:trPr>
          <w:trHeight w:val="216"/>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31.1*</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w w:val="96"/>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31.2*</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w w:val="97"/>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30"/>
        </w:trPr>
        <w:tc>
          <w:tcPr>
            <w:tcW w:w="840" w:type="dxa"/>
            <w:vAlign w:val="bottom"/>
          </w:tcPr>
          <w:p>
            <w:pPr>
              <w:jc w:val="right"/>
              <w:ind w:right="232"/>
              <w:spacing w:after="0"/>
              <w:rPr>
                <w:sz w:val="20"/>
                <w:szCs w:val="20"/>
                <w:color w:val="auto"/>
              </w:rPr>
            </w:pPr>
            <w:r>
              <w:rPr>
                <w:rFonts w:ascii="Arial" w:cs="Arial" w:eastAsia="Arial" w:hAnsi="Arial"/>
                <w:sz w:val="18"/>
                <w:szCs w:val="18"/>
                <w:color w:val="auto"/>
              </w:rPr>
              <w:t>32.1+</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GEMINI THERAPEUTICS, INC.</w:t>
      </w:r>
    </w:p>
    <w:p>
      <w:pPr>
        <w:spacing w:after="0" w:line="252" w:lineRule="exact"/>
        <w:rPr>
          <w:sz w:val="20"/>
          <w:szCs w:val="20"/>
          <w:color w:val="auto"/>
        </w:rPr>
      </w:pPr>
    </w:p>
    <w:p>
      <w:pPr>
        <w:spacing w:after="0"/>
        <w:tabs>
          <w:tab w:leader="none" w:pos="5680" w:val="left"/>
          <w:tab w:leader="none" w:pos="786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Gemini Therapeutics, Inc.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13, 2021</w:t>
            </w:r>
          </w:p>
        </w:tc>
        <w:tc>
          <w:tcPr>
            <w:tcW w:w="2520" w:type="dxa"/>
            <w:vAlign w:val="bottom"/>
          </w:tcPr>
          <w:p>
            <w:pPr>
              <w:jc w:val="right"/>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Brian Piekos</w:t>
            </w:r>
          </w:p>
        </w:tc>
      </w:tr>
      <w:tr>
        <w:trPr>
          <w:trHeight w:val="230"/>
        </w:trPr>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Gemini Therapeutics, Inc.</w:t>
            </w:r>
          </w:p>
        </w:tc>
      </w:tr>
      <w:tr>
        <w:trPr>
          <w:trHeight w:val="648"/>
        </w:trPr>
        <w:tc>
          <w:tcPr>
            <w:tcW w:w="3500" w:type="dxa"/>
            <w:vAlign w:val="bottom"/>
          </w:tcPr>
          <w:p>
            <w:pPr>
              <w:spacing w:after="0"/>
              <w:rPr>
                <w:sz w:val="24"/>
                <w:szCs w:val="24"/>
                <w:color w:val="auto"/>
              </w:rPr>
            </w:pPr>
          </w:p>
        </w:tc>
        <w:tc>
          <w:tcPr>
            <w:tcW w:w="252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52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4"/>
    </w:lvl>
  </w:abstractNum>
  <w:abstractNum w:abstractNumId="3">
    <w:nsid w:val="1F16E9E8"/>
    <w:multiLevelType w:val="hybridMultilevel"/>
    <w:lvl w:ilvl="0">
      <w:lvlJc w:val="left"/>
      <w:lvlText w:val="%1."/>
      <w:numFmt w:val="decimal"/>
      <w:start w:val="1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2021-05-13T06:42:52Z</dcterms:created>
  <dcterms:modified xsi:type="dcterms:W3CDTF">2021-05-13T06:42:52Z</dcterms:modified>
</cp:coreProperties>
</file>