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19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SCHEDULE 13G</w:t>
      </w:r>
    </w:p>
    <w:p>
      <w:pPr>
        <w:spacing w:after="0" w:line="216"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(Amendment No.)*</w:t>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Gemini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36870G105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October 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13" w:lineRule="exact"/>
        <w:rPr>
          <w:sz w:val="24"/>
          <w:szCs w:val="24"/>
          <w:color w:val="auto"/>
        </w:rPr>
      </w:pPr>
    </w:p>
    <w:p>
      <w:pPr>
        <w:ind w:left="66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[_] Rule 13d-1(b)</w:t>
      </w:r>
    </w:p>
    <w:p>
      <w:pPr>
        <w:spacing w:after="0" w:line="225" w:lineRule="exact"/>
        <w:rPr>
          <w:sz w:val="24"/>
          <w:szCs w:val="24"/>
          <w:color w:val="auto"/>
        </w:rPr>
      </w:pPr>
    </w:p>
    <w:p>
      <w:pPr>
        <w:jc w:val="both"/>
        <w:ind w:left="1300" w:right="8560" w:firstLine="4"/>
        <w:spacing w:after="0" w:line="571" w:lineRule="auto"/>
        <w:tabs>
          <w:tab w:leader="none" w:pos="1595"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13d-1(c) [_] Rule 13d-1(d)</w:t>
      </w:r>
    </w:p>
    <w:p>
      <w:pPr>
        <w:spacing w:after="0"/>
        <w:rPr>
          <w:sz w:val="20"/>
          <w:szCs w:val="20"/>
          <w:color w:val="auto"/>
        </w:rPr>
      </w:pPr>
      <w:r>
        <w:rPr>
          <w:rFonts w:ascii="Courier New" w:cs="Courier New" w:eastAsia="Courier New" w:hAnsi="Courier New"/>
          <w:sz w:val="18"/>
          <w:szCs w:val="18"/>
          <w:color w:val="auto"/>
        </w:rPr>
        <w:t>__________</w:t>
      </w:r>
    </w:p>
    <w:p>
      <w:pPr>
        <w:spacing w:after="0" w:line="263"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398" w:lineRule="exact"/>
        <w:rPr>
          <w:sz w:val="24"/>
          <w:szCs w:val="24"/>
          <w:color w:val="auto"/>
        </w:rPr>
      </w:pPr>
    </w:p>
    <w:p>
      <w:pPr>
        <w:ind w:right="380" w:firstLine="648"/>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445" w:right="4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CUSIP No.</w:t>
            </w:r>
          </w:p>
        </w:tc>
        <w:tc>
          <w:tcPr>
            <w:tcW w:w="2260" w:type="dxa"/>
            <w:vAlign w:val="bottom"/>
          </w:tcPr>
          <w:p>
            <w:pPr>
              <w:ind w:left="100"/>
              <w:spacing w:after="0"/>
              <w:rPr>
                <w:sz w:val="20"/>
                <w:szCs w:val="20"/>
                <w:color w:val="auto"/>
              </w:rPr>
            </w:pPr>
            <w:r>
              <w:rPr>
                <w:rFonts w:ascii="Arial" w:cs="Arial" w:eastAsia="Arial" w:hAnsi="Arial"/>
                <w:sz w:val="18"/>
                <w:szCs w:val="18"/>
                <w:color w:val="auto"/>
              </w:rPr>
              <w:t>36870G105</w:t>
            </w:r>
          </w:p>
        </w:tc>
      </w:tr>
      <w:tr>
        <w:trPr>
          <w:trHeight w:val="27"/>
        </w:trPr>
        <w:tc>
          <w:tcPr>
            <w:tcW w:w="1140" w:type="dxa"/>
            <w:vAlign w:val="bottom"/>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bl>
    <w:p>
      <w:pPr>
        <w:spacing w:after="0" w:line="215" w:lineRule="exact"/>
        <w:rPr>
          <w:sz w:val="20"/>
          <w:szCs w:val="20"/>
          <w:color w:val="auto"/>
        </w:rPr>
      </w:pPr>
    </w:p>
    <w:p>
      <w:pPr>
        <w:ind w:left="900" w:hanging="89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36" w:lineRule="exact"/>
        <w:rPr>
          <w:rFonts w:ascii="Arial" w:cs="Arial" w:eastAsia="Arial" w:hAnsi="Arial"/>
          <w:sz w:val="18"/>
          <w:szCs w:val="18"/>
          <w:color w:val="auto"/>
        </w:rPr>
      </w:pPr>
    </w:p>
    <w:p>
      <w:pPr>
        <w:ind w:left="900" w:right="4120"/>
        <w:spacing w:after="0" w:line="563"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Suvretta Capital Management, LLC</w:t>
      </w:r>
    </w:p>
    <w:p>
      <w:pPr>
        <w:ind w:left="900" w:hanging="89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0120"/>
        <w:spacing w:after="0"/>
        <w:rPr>
          <w:sz w:val="20"/>
          <w:szCs w:val="20"/>
          <w:color w:val="auto"/>
        </w:rPr>
      </w:pPr>
      <w:r>
        <w:rPr>
          <w:rFonts w:ascii="Arial" w:cs="Arial" w:eastAsia="Arial" w:hAnsi="Arial"/>
          <w:sz w:val="18"/>
          <w:szCs w:val="18"/>
          <w:color w:val="auto"/>
        </w:rPr>
        <w:t>(a) [_]</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 [_]</w:t>
      </w:r>
    </w:p>
    <w:p>
      <w:pPr>
        <w:spacing w:after="0" w:line="279" w:lineRule="exact"/>
        <w:rPr>
          <w:sz w:val="20"/>
          <w:szCs w:val="20"/>
          <w:color w:val="auto"/>
        </w:rPr>
      </w:pPr>
    </w:p>
    <w:p>
      <w:pPr>
        <w:ind w:left="900" w:hanging="89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5" w:lineRule="exact"/>
        <w:rPr>
          <w:rFonts w:ascii="Arial" w:cs="Arial" w:eastAsia="Arial" w:hAnsi="Arial"/>
          <w:sz w:val="18"/>
          <w:szCs w:val="18"/>
          <w:color w:val="auto"/>
        </w:rPr>
      </w:pPr>
    </w:p>
    <w:p>
      <w:pPr>
        <w:ind w:left="900" w:right="6040" w:hanging="895"/>
        <w:spacing w:after="0" w:line="590"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0" w:lineRule="exact"/>
        <w:rPr>
          <w:sz w:val="20"/>
          <w:szCs w:val="20"/>
          <w:color w:val="auto"/>
        </w:rPr>
      </w:pPr>
    </w:p>
    <w:p>
      <w:pPr>
        <w:spacing w:after="0" w:line="213" w:lineRule="exact"/>
        <w:rPr>
          <w:sz w:val="20"/>
          <w:szCs w:val="20"/>
          <w:color w:val="auto"/>
        </w:rPr>
      </w:pPr>
    </w:p>
    <w:p>
      <w:pPr>
        <w:ind w:left="900" w:right="7860" w:hanging="895"/>
        <w:spacing w:after="0" w:line="563"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 0</w:t>
      </w:r>
    </w:p>
    <w:p>
      <w:pPr>
        <w:ind w:left="900" w:right="7580" w:hanging="895"/>
        <w:spacing w:after="0" w:line="563"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VOTING POWER 2,232,843</w:t>
      </w:r>
    </w:p>
    <w:p>
      <w:pPr>
        <w:ind w:left="900" w:right="7460" w:hanging="895"/>
        <w:spacing w:after="0" w:line="563"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900" w:right="7180" w:hanging="895"/>
        <w:spacing w:after="0" w:line="563"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DISPOSITIVE POWER 2,232,843</w:t>
      </w:r>
    </w:p>
    <w:p>
      <w:pPr>
        <w:ind w:left="900" w:right="3160" w:hanging="895"/>
        <w:spacing w:after="0" w:line="54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2,232,843</w:t>
      </w:r>
    </w:p>
    <w:p>
      <w:pPr>
        <w:spacing w:after="0" w:line="1" w:lineRule="exact"/>
        <w:rPr>
          <w:sz w:val="20"/>
          <w:szCs w:val="20"/>
          <w:color w:val="auto"/>
        </w:rPr>
      </w:pPr>
    </w:p>
    <w:p>
      <w:pPr>
        <w:spacing w:after="0"/>
        <w:tabs>
          <w:tab w:leader="none" w:pos="880" w:val="left"/>
          <w:tab w:leader="none" w:pos="1010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BOX IF THE AGGREGATE AMOUNT IN ROW (9) EXCLUDES CERTAIN SHARES (SEE INSTRUCTIONS)</w:t>
      </w:r>
      <w:r>
        <w:rPr>
          <w:sz w:val="20"/>
          <w:szCs w:val="20"/>
          <w:color w:val="auto"/>
        </w:rPr>
        <w:tab/>
      </w:r>
      <w:r>
        <w:rPr>
          <w:rFonts w:ascii="Arial" w:cs="Arial" w:eastAsia="Arial" w:hAnsi="Arial"/>
          <w:sz w:val="17"/>
          <w:szCs w:val="17"/>
          <w:color w:val="auto"/>
        </w:rPr>
        <w:t>[_]</w:t>
      </w:r>
    </w:p>
    <w:p>
      <w:pPr>
        <w:spacing w:after="0" w:line="252" w:lineRule="exact"/>
        <w:rPr>
          <w:sz w:val="20"/>
          <w:szCs w:val="20"/>
          <w:color w:val="auto"/>
        </w:rPr>
      </w:pPr>
    </w:p>
    <w:p>
      <w:pPr>
        <w:ind w:left="900" w:right="4660" w:hanging="895"/>
        <w:spacing w:after="0" w:line="563"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(9) 5.2%</w:t>
      </w:r>
    </w:p>
    <w:p>
      <w:pPr>
        <w:ind w:left="900" w:right="5380" w:hanging="895"/>
        <w:spacing w:after="0" w:line="590"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(SEE INSTRUCTIONS) IA,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391795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20"/>
          </w:cols>
          <w:pgMar w:left="420" w:top="719" w:right="8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CUSIP No.</w:t>
            </w:r>
          </w:p>
        </w:tc>
        <w:tc>
          <w:tcPr>
            <w:tcW w:w="2260" w:type="dxa"/>
            <w:vAlign w:val="bottom"/>
          </w:tcPr>
          <w:p>
            <w:pPr>
              <w:ind w:left="100"/>
              <w:spacing w:after="0"/>
              <w:rPr>
                <w:sz w:val="20"/>
                <w:szCs w:val="20"/>
                <w:color w:val="auto"/>
              </w:rPr>
            </w:pPr>
            <w:r>
              <w:rPr>
                <w:rFonts w:ascii="Arial" w:cs="Arial" w:eastAsia="Arial" w:hAnsi="Arial"/>
                <w:sz w:val="18"/>
                <w:szCs w:val="18"/>
                <w:color w:val="auto"/>
              </w:rPr>
              <w:t>36870G105</w:t>
            </w:r>
          </w:p>
        </w:tc>
      </w:tr>
      <w:tr>
        <w:trPr>
          <w:trHeight w:val="27"/>
        </w:trPr>
        <w:tc>
          <w:tcPr>
            <w:tcW w:w="1140" w:type="dxa"/>
            <w:vAlign w:val="bottom"/>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bl>
    <w:p>
      <w:pPr>
        <w:spacing w:after="0" w:line="215" w:lineRule="exact"/>
        <w:rPr>
          <w:sz w:val="20"/>
          <w:szCs w:val="20"/>
          <w:color w:val="auto"/>
        </w:rPr>
      </w:pPr>
    </w:p>
    <w:p>
      <w:pPr>
        <w:ind w:left="900" w:hanging="89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36" w:lineRule="exact"/>
        <w:rPr>
          <w:rFonts w:ascii="Arial" w:cs="Arial" w:eastAsia="Arial" w:hAnsi="Arial"/>
          <w:sz w:val="18"/>
          <w:szCs w:val="18"/>
          <w:color w:val="auto"/>
        </w:rPr>
      </w:pPr>
    </w:p>
    <w:p>
      <w:pPr>
        <w:ind w:left="900" w:right="3539"/>
        <w:spacing w:after="0" w:line="563"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Averill Master Fund, Ltd.</w:t>
      </w:r>
    </w:p>
    <w:p>
      <w:pPr>
        <w:ind w:left="900" w:hanging="89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52"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(a) [_]</w:t>
      </w:r>
    </w:p>
    <w:p>
      <w:pPr>
        <w:spacing w:after="0" w:line="23"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(b) [_]</w:t>
      </w:r>
    </w:p>
    <w:p>
      <w:pPr>
        <w:spacing w:after="0" w:line="238" w:lineRule="exact"/>
        <w:rPr>
          <w:sz w:val="20"/>
          <w:szCs w:val="20"/>
          <w:color w:val="auto"/>
        </w:rPr>
      </w:pPr>
    </w:p>
    <w:p>
      <w:pPr>
        <w:ind w:left="900" w:hanging="89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5" w:lineRule="exact"/>
        <w:rPr>
          <w:rFonts w:ascii="Arial" w:cs="Arial" w:eastAsia="Arial" w:hAnsi="Arial"/>
          <w:sz w:val="18"/>
          <w:szCs w:val="18"/>
          <w:color w:val="auto"/>
        </w:rPr>
      </w:pPr>
    </w:p>
    <w:p>
      <w:pPr>
        <w:ind w:left="900" w:right="5459" w:hanging="895"/>
        <w:spacing w:after="0" w:line="590"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 Cayman Islands</w:t>
      </w:r>
    </w:p>
    <w:p>
      <w:pPr>
        <w:spacing w:after="0" w:line="200" w:lineRule="exact"/>
        <w:rPr>
          <w:sz w:val="20"/>
          <w:szCs w:val="20"/>
          <w:color w:val="auto"/>
        </w:rPr>
      </w:pPr>
    </w:p>
    <w:p>
      <w:pPr>
        <w:spacing w:after="0" w:line="213" w:lineRule="exact"/>
        <w:rPr>
          <w:sz w:val="20"/>
          <w:szCs w:val="20"/>
          <w:color w:val="auto"/>
        </w:rPr>
      </w:pPr>
    </w:p>
    <w:p>
      <w:pPr>
        <w:ind w:left="900" w:right="7279" w:hanging="895"/>
        <w:spacing w:after="0" w:line="563"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VOTING POWER 0</w:t>
      </w:r>
    </w:p>
    <w:p>
      <w:pPr>
        <w:ind w:left="900" w:right="6999" w:hanging="895"/>
        <w:spacing w:after="0" w:line="563"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VOTING POWER 2,232,843</w:t>
      </w:r>
    </w:p>
    <w:p>
      <w:pPr>
        <w:ind w:left="900" w:right="6879" w:hanging="895"/>
        <w:spacing w:after="0" w:line="563"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900" w:right="6599" w:hanging="895"/>
        <w:spacing w:after="0" w:line="563"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DISPOSITIVE POWER 2,232,843</w:t>
      </w:r>
    </w:p>
    <w:p>
      <w:pPr>
        <w:ind w:left="900" w:right="2579" w:hanging="895"/>
        <w:spacing w:after="0" w:line="54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2,232,843</w:t>
      </w:r>
    </w:p>
    <w:p>
      <w:pPr>
        <w:spacing w:after="0" w:line="1" w:lineRule="exact"/>
        <w:rPr>
          <w:rFonts w:ascii="Arial" w:cs="Arial" w:eastAsia="Arial" w:hAnsi="Arial"/>
          <w:sz w:val="18"/>
          <w:szCs w:val="18"/>
          <w:color w:val="auto"/>
        </w:rPr>
      </w:pPr>
    </w:p>
    <w:p>
      <w:pPr>
        <w:jc w:val="center"/>
        <w:ind w:left="5400" w:right="239" w:hanging="5395"/>
        <w:spacing w:after="0" w:line="277" w:lineRule="auto"/>
        <w:tabs>
          <w:tab w:leader="none" w:pos="902"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 [_]</w:t>
      </w:r>
    </w:p>
    <w:p>
      <w:pPr>
        <w:spacing w:after="0" w:line="197" w:lineRule="exact"/>
        <w:rPr>
          <w:rFonts w:ascii="Arial" w:cs="Arial" w:eastAsia="Arial" w:hAnsi="Arial"/>
          <w:sz w:val="18"/>
          <w:szCs w:val="18"/>
          <w:color w:val="auto"/>
        </w:rPr>
      </w:pPr>
    </w:p>
    <w:p>
      <w:pPr>
        <w:ind w:left="900" w:right="4079" w:hanging="895"/>
        <w:spacing w:after="0" w:line="563"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(9) 5.2%</w:t>
      </w:r>
    </w:p>
    <w:p>
      <w:pPr>
        <w:ind w:left="900" w:right="4799" w:hanging="895"/>
        <w:spacing w:after="0" w:line="590"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 (SEE INSTRUCTIONS)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262890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039"/>
          </w:cols>
          <w:pgMar w:left="420" w:top="922"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CUSIP No.</w:t>
            </w:r>
          </w:p>
        </w:tc>
        <w:tc>
          <w:tcPr>
            <w:tcW w:w="1700" w:type="dxa"/>
            <w:vAlign w:val="bottom"/>
          </w:tcPr>
          <w:p>
            <w:pPr>
              <w:ind w:left="100"/>
              <w:spacing w:after="0"/>
              <w:rPr>
                <w:sz w:val="20"/>
                <w:szCs w:val="20"/>
                <w:color w:val="auto"/>
              </w:rPr>
            </w:pPr>
            <w:r>
              <w:rPr>
                <w:rFonts w:ascii="Arial" w:cs="Arial" w:eastAsia="Arial" w:hAnsi="Arial"/>
                <w:sz w:val="18"/>
                <w:szCs w:val="18"/>
                <w:color w:val="auto"/>
              </w:rPr>
              <w:t>36870G105</w:t>
            </w:r>
          </w:p>
        </w:tc>
      </w:tr>
      <w:tr>
        <w:trPr>
          <w:trHeight w:val="27"/>
        </w:trPr>
        <w:tc>
          <w:tcPr>
            <w:tcW w:w="114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bl>
    <w:p>
      <w:pPr>
        <w:spacing w:after="0" w:line="215" w:lineRule="exact"/>
        <w:rPr>
          <w:sz w:val="20"/>
          <w:szCs w:val="20"/>
          <w:color w:val="auto"/>
        </w:rPr>
      </w:pPr>
    </w:p>
    <w:p>
      <w:pPr>
        <w:ind w:left="900" w:hanging="89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36" w:lineRule="exact"/>
        <w:rPr>
          <w:rFonts w:ascii="Arial" w:cs="Arial" w:eastAsia="Arial" w:hAnsi="Arial"/>
          <w:sz w:val="18"/>
          <w:szCs w:val="18"/>
          <w:color w:val="auto"/>
        </w:rPr>
      </w:pPr>
    </w:p>
    <w:p>
      <w:pPr>
        <w:ind w:left="900" w:right="4120"/>
        <w:spacing w:after="0" w:line="563"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Aaron Cowen</w:t>
      </w:r>
    </w:p>
    <w:p>
      <w:pPr>
        <w:ind w:left="900" w:hanging="89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0120"/>
        <w:spacing w:after="0"/>
        <w:rPr>
          <w:sz w:val="20"/>
          <w:szCs w:val="20"/>
          <w:color w:val="auto"/>
        </w:rPr>
      </w:pPr>
      <w:r>
        <w:rPr>
          <w:rFonts w:ascii="Arial" w:cs="Arial" w:eastAsia="Arial" w:hAnsi="Arial"/>
          <w:sz w:val="18"/>
          <w:szCs w:val="18"/>
          <w:color w:val="auto"/>
        </w:rPr>
        <w:t>(a) [_]</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 [_]</w:t>
      </w:r>
    </w:p>
    <w:p>
      <w:pPr>
        <w:spacing w:after="0" w:line="279" w:lineRule="exact"/>
        <w:rPr>
          <w:sz w:val="20"/>
          <w:szCs w:val="20"/>
          <w:color w:val="auto"/>
        </w:rPr>
      </w:pPr>
    </w:p>
    <w:p>
      <w:pPr>
        <w:ind w:left="900" w:hanging="89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5" w:lineRule="exact"/>
        <w:rPr>
          <w:rFonts w:ascii="Arial" w:cs="Arial" w:eastAsia="Arial" w:hAnsi="Arial"/>
          <w:sz w:val="18"/>
          <w:szCs w:val="18"/>
          <w:color w:val="auto"/>
        </w:rPr>
      </w:pPr>
    </w:p>
    <w:p>
      <w:pPr>
        <w:ind w:left="900" w:hanging="89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900" w:right="7860" w:hanging="895"/>
        <w:spacing w:after="0" w:line="563"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SOLE VOTING POWER 0</w:t>
      </w:r>
    </w:p>
    <w:p>
      <w:pPr>
        <w:ind w:left="900" w:right="7580" w:hanging="895"/>
        <w:spacing w:after="0" w:line="563"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SHARED VOTING POWER 2,232,843</w:t>
      </w:r>
    </w:p>
    <w:p>
      <w:pPr>
        <w:ind w:left="900" w:right="7460" w:hanging="895"/>
        <w:spacing w:after="0" w:line="563"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900" w:right="7180" w:hanging="895"/>
        <w:spacing w:after="0" w:line="563"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SHARED DISPOSITIVE POWER 2,232,843</w:t>
      </w:r>
    </w:p>
    <w:p>
      <w:pPr>
        <w:ind w:left="900" w:right="3160" w:hanging="895"/>
        <w:spacing w:after="0" w:line="54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2,232,843</w:t>
      </w:r>
    </w:p>
    <w:p>
      <w:pPr>
        <w:spacing w:after="0" w:line="1" w:lineRule="exact"/>
        <w:rPr>
          <w:sz w:val="20"/>
          <w:szCs w:val="20"/>
          <w:color w:val="auto"/>
        </w:rPr>
      </w:pPr>
    </w:p>
    <w:p>
      <w:pPr>
        <w:spacing w:after="0"/>
        <w:tabs>
          <w:tab w:leader="none" w:pos="880" w:val="left"/>
          <w:tab w:leader="none" w:pos="1010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BOX IF THE AGGREGATE AMOUNT IN ROW (9) EXCLUDES CERTAIN SHARES (SEE INSTRUCTIONS)</w:t>
      </w:r>
      <w:r>
        <w:rPr>
          <w:sz w:val="20"/>
          <w:szCs w:val="20"/>
          <w:color w:val="auto"/>
        </w:rPr>
        <w:tab/>
      </w:r>
      <w:r>
        <w:rPr>
          <w:rFonts w:ascii="Arial" w:cs="Arial" w:eastAsia="Arial" w:hAnsi="Arial"/>
          <w:sz w:val="17"/>
          <w:szCs w:val="17"/>
          <w:color w:val="auto"/>
        </w:rPr>
        <w:t>[_]</w:t>
      </w:r>
    </w:p>
    <w:p>
      <w:pPr>
        <w:spacing w:after="0" w:line="252" w:lineRule="exact"/>
        <w:rPr>
          <w:sz w:val="20"/>
          <w:szCs w:val="20"/>
          <w:color w:val="auto"/>
        </w:rPr>
      </w:pPr>
    </w:p>
    <w:p>
      <w:pPr>
        <w:ind w:left="900" w:right="4660" w:hanging="895"/>
        <w:spacing w:after="0" w:line="563"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PERCENT OF CLASS REPRESENTED BY AMOUNT IN ROW (9) 5.2%</w:t>
      </w:r>
    </w:p>
    <w:p>
      <w:pPr>
        <w:ind w:left="900" w:right="5380" w:hanging="895"/>
        <w:spacing w:after="0" w:line="590"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TYPE OF REPORTING PERSON (SEE INSTRUCTIONS) 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408940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20"/>
          </w:cols>
          <w:pgMar w:left="420" w:top="1097" w:right="8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w w:val="95"/>
              </w:rPr>
              <w:t>CUSIP No.</w:t>
            </w:r>
          </w:p>
        </w:tc>
        <w:tc>
          <w:tcPr>
            <w:tcW w:w="400" w:type="dxa"/>
            <w:vAlign w:val="bottom"/>
          </w:tcPr>
          <w:p>
            <w:pPr>
              <w:spacing w:after="0"/>
              <w:rPr>
                <w:sz w:val="20"/>
                <w:szCs w:val="20"/>
                <w:color w:val="auto"/>
              </w:rPr>
            </w:pPr>
          </w:p>
        </w:tc>
        <w:tc>
          <w:tcPr>
            <w:tcW w:w="9880" w:type="dxa"/>
            <w:vAlign w:val="bottom"/>
            <w:gridSpan w:val="3"/>
          </w:tcPr>
          <w:p>
            <w:pPr>
              <w:ind w:left="100"/>
              <w:spacing w:after="0"/>
              <w:rPr>
                <w:sz w:val="20"/>
                <w:szCs w:val="20"/>
                <w:color w:val="auto"/>
              </w:rPr>
            </w:pPr>
            <w:r>
              <w:rPr>
                <w:rFonts w:ascii="Arial" w:cs="Arial" w:eastAsia="Arial" w:hAnsi="Arial"/>
                <w:sz w:val="18"/>
                <w:szCs w:val="18"/>
                <w:color w:val="auto"/>
              </w:rPr>
              <w:t>36870G105</w:t>
            </w:r>
          </w:p>
        </w:tc>
      </w:tr>
      <w:tr>
        <w:trPr>
          <w:trHeight w:val="27"/>
        </w:trPr>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7420" w:type="dxa"/>
            <w:vAlign w:val="bottom"/>
          </w:tcPr>
          <w:p>
            <w:pPr>
              <w:spacing w:after="0"/>
              <w:rPr>
                <w:sz w:val="2"/>
                <w:szCs w:val="2"/>
                <w:color w:val="auto"/>
              </w:rPr>
            </w:pPr>
          </w:p>
        </w:tc>
      </w:tr>
      <w:tr>
        <w:trPr>
          <w:trHeight w:val="695"/>
        </w:trPr>
        <w:tc>
          <w:tcPr>
            <w:tcW w:w="860" w:type="dxa"/>
            <w:vAlign w:val="bottom"/>
          </w:tcPr>
          <w:p>
            <w:pPr>
              <w:spacing w:after="0"/>
              <w:rPr>
                <w:sz w:val="20"/>
                <w:szCs w:val="20"/>
                <w:color w:val="auto"/>
              </w:rPr>
            </w:pPr>
            <w:r>
              <w:rPr>
                <w:rFonts w:ascii="Arial" w:cs="Arial" w:eastAsia="Arial" w:hAnsi="Arial"/>
                <w:sz w:val="18"/>
                <w:szCs w:val="18"/>
                <w:color w:val="auto"/>
              </w:rPr>
              <w:t>Item 1.</w:t>
            </w:r>
          </w:p>
        </w:tc>
        <w:tc>
          <w:tcPr>
            <w:tcW w:w="400" w:type="dxa"/>
            <w:vAlign w:val="bottom"/>
          </w:tcPr>
          <w:p>
            <w:pPr>
              <w:ind w:left="40"/>
              <w:spacing w:after="0"/>
              <w:rPr>
                <w:sz w:val="20"/>
                <w:szCs w:val="20"/>
                <w:color w:val="auto"/>
              </w:rPr>
            </w:pPr>
            <w:r>
              <w:rPr>
                <w:rFonts w:ascii="Arial" w:cs="Arial" w:eastAsia="Arial" w:hAnsi="Arial"/>
                <w:sz w:val="18"/>
                <w:szCs w:val="18"/>
                <w:color w:val="auto"/>
              </w:rPr>
              <w:t>(a).</w:t>
            </w:r>
          </w:p>
        </w:tc>
        <w:tc>
          <w:tcPr>
            <w:tcW w:w="340" w:type="dxa"/>
            <w:vAlign w:val="bottom"/>
          </w:tcPr>
          <w:p>
            <w:pPr>
              <w:spacing w:after="0"/>
              <w:rPr>
                <w:sz w:val="24"/>
                <w:szCs w:val="24"/>
                <w:color w:val="auto"/>
              </w:rPr>
            </w:pPr>
          </w:p>
        </w:tc>
        <w:tc>
          <w:tcPr>
            <w:tcW w:w="9540" w:type="dxa"/>
            <w:vAlign w:val="bottom"/>
            <w:gridSpan w:val="2"/>
          </w:tcPr>
          <w:p>
            <w:pPr>
              <w:ind w:left="100"/>
              <w:spacing w:after="0"/>
              <w:rPr>
                <w:sz w:val="20"/>
                <w:szCs w:val="20"/>
                <w:color w:val="auto"/>
              </w:rPr>
            </w:pPr>
            <w:r>
              <w:rPr>
                <w:rFonts w:ascii="Arial" w:cs="Arial" w:eastAsia="Arial" w:hAnsi="Arial"/>
                <w:sz w:val="18"/>
                <w:szCs w:val="18"/>
                <w:color w:val="auto"/>
              </w:rPr>
              <w:t>Name of Issuer:</w:t>
            </w:r>
          </w:p>
        </w:tc>
      </w:tr>
      <w:tr>
        <w:trPr>
          <w:trHeight w:val="459"/>
        </w:trPr>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540" w:type="dxa"/>
            <w:vAlign w:val="bottom"/>
            <w:gridSpan w:val="2"/>
          </w:tcPr>
          <w:p>
            <w:pPr>
              <w:ind w:left="100"/>
              <w:spacing w:after="0"/>
              <w:rPr>
                <w:sz w:val="20"/>
                <w:szCs w:val="20"/>
                <w:color w:val="auto"/>
              </w:rPr>
            </w:pPr>
            <w:r>
              <w:rPr>
                <w:rFonts w:ascii="Arial" w:cs="Arial" w:eastAsia="Arial" w:hAnsi="Arial"/>
                <w:sz w:val="18"/>
                <w:szCs w:val="18"/>
                <w:color w:val="auto"/>
              </w:rPr>
              <w:t>Gemini Therapeutics, Inc.</w:t>
            </w:r>
          </w:p>
        </w:tc>
      </w:tr>
      <w:tr>
        <w:trPr>
          <w:trHeight w:val="27"/>
        </w:trPr>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540" w:type="dxa"/>
            <w:vAlign w:val="bottom"/>
            <w:tcBorders>
              <w:bottom w:val="single" w:sz="8" w:color="auto"/>
            </w:tcBorders>
            <w:gridSpan w:val="2"/>
          </w:tcPr>
          <w:p>
            <w:pPr>
              <w:spacing w:after="0"/>
              <w:rPr>
                <w:sz w:val="2"/>
                <w:szCs w:val="2"/>
                <w:color w:val="auto"/>
              </w:rPr>
            </w:pPr>
          </w:p>
        </w:tc>
      </w:tr>
      <w:tr>
        <w:trPr>
          <w:trHeight w:val="453"/>
        </w:trPr>
        <w:tc>
          <w:tcPr>
            <w:tcW w:w="860" w:type="dxa"/>
            <w:vAlign w:val="bottom"/>
          </w:tcPr>
          <w:p>
            <w:pPr>
              <w:spacing w:after="0"/>
              <w:rPr>
                <w:sz w:val="24"/>
                <w:szCs w:val="24"/>
                <w:color w:val="auto"/>
              </w:rPr>
            </w:pPr>
          </w:p>
        </w:tc>
        <w:tc>
          <w:tcPr>
            <w:tcW w:w="400" w:type="dxa"/>
            <w:vAlign w:val="bottom"/>
          </w:tcPr>
          <w:p>
            <w:pPr>
              <w:ind w:left="40"/>
              <w:spacing w:after="0"/>
              <w:rPr>
                <w:sz w:val="20"/>
                <w:szCs w:val="20"/>
                <w:color w:val="auto"/>
              </w:rPr>
            </w:pPr>
            <w:r>
              <w:rPr>
                <w:rFonts w:ascii="Arial" w:cs="Arial" w:eastAsia="Arial" w:hAnsi="Arial"/>
                <w:sz w:val="18"/>
                <w:szCs w:val="18"/>
                <w:color w:val="auto"/>
              </w:rPr>
              <w:t>(b).</w:t>
            </w:r>
          </w:p>
        </w:tc>
        <w:tc>
          <w:tcPr>
            <w:tcW w:w="340" w:type="dxa"/>
            <w:vAlign w:val="bottom"/>
          </w:tcPr>
          <w:p>
            <w:pPr>
              <w:spacing w:after="0"/>
              <w:rPr>
                <w:sz w:val="24"/>
                <w:szCs w:val="24"/>
                <w:color w:val="auto"/>
              </w:rPr>
            </w:pPr>
          </w:p>
        </w:tc>
        <w:tc>
          <w:tcPr>
            <w:tcW w:w="9540" w:type="dxa"/>
            <w:vAlign w:val="bottom"/>
            <w:gridSpan w:val="2"/>
          </w:tcPr>
          <w:p>
            <w:pPr>
              <w:ind w:left="100"/>
              <w:spacing w:after="0"/>
              <w:rPr>
                <w:sz w:val="20"/>
                <w:szCs w:val="20"/>
                <w:color w:val="auto"/>
              </w:rPr>
            </w:pPr>
            <w:r>
              <w:rPr>
                <w:rFonts w:ascii="Arial" w:cs="Arial" w:eastAsia="Arial" w:hAnsi="Arial"/>
                <w:sz w:val="18"/>
                <w:szCs w:val="18"/>
                <w:color w:val="auto"/>
              </w:rPr>
              <w:t>Address of Issuer's Principal Executive Offices:</w:t>
            </w:r>
          </w:p>
        </w:tc>
      </w:tr>
    </w:tbl>
    <w:p>
      <w:pPr>
        <w:spacing w:after="0" w:line="195" w:lineRule="exact"/>
        <w:rPr>
          <w:sz w:val="20"/>
          <w:szCs w:val="20"/>
          <w:color w:val="auto"/>
        </w:rPr>
      </w:pPr>
    </w:p>
    <w:p>
      <w:pPr>
        <w:sectPr>
          <w:pgSz w:w="11900" w:h="16838" w:orient="portrait"/>
          <w:cols w:equalWidth="0" w:num="1">
            <w:col w:w="11140"/>
          </w:cols>
          <w:pgMar w:left="420" w:top="719" w:right="339" w:bottom="1440" w:gutter="0" w:footer="0" w:header="0"/>
        </w:sect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 –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300 One Kendall Square, 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Floor</w:t>
      </w:r>
    </w:p>
    <w:p>
      <w:pPr>
        <w:spacing w:after="0"/>
        <w:rPr>
          <w:sz w:val="20"/>
          <w:szCs w:val="20"/>
          <w:color w:val="auto"/>
        </w:rPr>
      </w:pPr>
      <w:r>
        <w:rPr>
          <w:rFonts w:ascii="Arial" w:cs="Arial" w:eastAsia="Arial" w:hAnsi="Arial"/>
          <w:sz w:val="18"/>
          <w:szCs w:val="18"/>
          <w:color w:val="auto"/>
        </w:rPr>
        <w:t>Cambridge, MA 02139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158750</wp:posOffset>
            </wp:positionV>
            <wp:extent cx="59150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15025" cy="825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Name, Principal Business Address, and Citizenship of Persons Filing</w:t>
      </w:r>
      <w:r>
        <w:rPr>
          <w:rFonts w:ascii="Arial" w:cs="Arial" w:eastAsia="Arial" w:hAnsi="Arial"/>
          <w:sz w:val="19"/>
          <w:szCs w:val="19"/>
          <w:color w:val="auto"/>
        </w:rPr>
        <w:t>:</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Suvretta Capital Management, LLC – Delaware</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Averill Master Fund, Ltd. – Cayman Islands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Aaron Cowen – 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142875</wp:posOffset>
            </wp:positionV>
            <wp:extent cx="59150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15025" cy="825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Suvretta Capital Management, LLC:</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540 Madison Avenue, 7th Floor</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United States of America</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Averill Master Fund, Ltd.:</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 Maples Corporate Services Limited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P.O. Box 309</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Ugland House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Grand Cayman KY1-1104</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Cayman Islands</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Aaron Cowen:</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 Suvretta Capital Management, LLC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540 Madison Avenue, 7th Floor</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New York, New York 10022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5715</wp:posOffset>
            </wp:positionV>
            <wp:extent cx="59150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15025" cy="8890"/>
                    </a:xfrm>
                    <a:prstGeom prst="rect">
                      <a:avLst/>
                    </a:prstGeom>
                    <a:noFill/>
                  </pic:spPr>
                </pic:pic>
              </a:graphicData>
            </a:graphic>
          </wp:anchor>
        </w:drawing>
      </w:r>
    </w:p>
    <w:p>
      <w:pPr>
        <w:spacing w:after="0" w:line="23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0"/>
          <w:szCs w:val="20"/>
          <w:color w:val="auto"/>
        </w:rPr>
      </w:pPr>
    </w:p>
    <w:p>
      <w:pPr>
        <w:sectPr>
          <w:pgSz w:w="11900" w:h="16838" w:orient="portrait"/>
          <w:cols w:equalWidth="0" w:num="2">
            <w:col w:w="1620" w:space="80"/>
            <w:col w:w="9440"/>
          </w:cols>
          <w:pgMar w:left="420" w:top="719" w:right="339" w:bottom="1440" w:gutter="0" w:footer="0" w:header="0"/>
          <w:type w:val="continuous"/>
        </w:sectPr>
      </w:pPr>
    </w:p>
    <w:p>
      <w:pPr>
        <w:spacing w:after="0" w:line="7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Common stock, par value $0.0001 per share (the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1090295</wp:posOffset>
            </wp:positionH>
            <wp:positionV relativeFrom="paragraph">
              <wp:posOffset>31750</wp:posOffset>
            </wp:positionV>
            <wp:extent cx="59150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15025" cy="8890"/>
                    </a:xfrm>
                    <a:prstGeom prst="rect">
                      <a:avLst/>
                    </a:prstGeom>
                    <a:noFill/>
                  </pic:spPr>
                </pic:pic>
              </a:graphicData>
            </a:graphic>
          </wp:anchor>
        </w:drawing>
      </w:r>
    </w:p>
    <w:p>
      <w:pPr>
        <w:spacing w:after="0" w:line="273" w:lineRule="exact"/>
        <w:rPr>
          <w:sz w:val="20"/>
          <w:szCs w:val="20"/>
          <w:color w:val="auto"/>
        </w:rPr>
      </w:pPr>
    </w:p>
    <w:p>
      <w:pPr>
        <w:ind w:left="1040"/>
        <w:spacing w:after="0"/>
        <w:tabs>
          <w:tab w:leader="none" w:pos="1800" w:val="left"/>
        </w:tabs>
        <w:rPr>
          <w:sz w:val="20"/>
          <w:szCs w:val="20"/>
          <w:color w:val="auto"/>
        </w:rPr>
      </w:pPr>
      <w:r>
        <w:rPr>
          <w:rFonts w:ascii="Arial" w:cs="Arial" w:eastAsia="Arial" w:hAnsi="Arial"/>
          <w:sz w:val="18"/>
          <w:szCs w:val="18"/>
          <w:color w:val="auto"/>
        </w:rPr>
        <w:t>(e).</w:t>
      </w:r>
      <w:r>
        <w:rPr>
          <w:sz w:val="20"/>
          <w:szCs w:val="20"/>
          <w:color w:val="auto"/>
        </w:rPr>
        <w:tab/>
      </w:r>
      <w:r>
        <w:rPr>
          <w:rFonts w:ascii="Arial" w:cs="Arial" w:eastAsia="Arial" w:hAnsi="Arial"/>
          <w:sz w:val="16"/>
          <w:szCs w:val="16"/>
          <w:color w:val="auto"/>
        </w:rPr>
        <w:t>CUSIP Number:</w:t>
      </w:r>
    </w:p>
    <w:p>
      <w:pPr>
        <w:spacing w:after="0" w:line="27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36870G105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1090295</wp:posOffset>
            </wp:positionH>
            <wp:positionV relativeFrom="paragraph">
              <wp:posOffset>31750</wp:posOffset>
            </wp:positionV>
            <wp:extent cx="59150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15025" cy="8890"/>
                    </a:xfrm>
                    <a:prstGeom prst="rect">
                      <a:avLst/>
                    </a:prstGeom>
                    <a:noFill/>
                  </pic:spPr>
                </pic:pic>
              </a:graphicData>
            </a:graphic>
          </wp:anchor>
        </w:drawing>
      </w:r>
    </w:p>
    <w:p>
      <w:pPr>
        <w:spacing w:after="0" w:line="273" w:lineRule="exact"/>
        <w:rPr>
          <w:sz w:val="20"/>
          <w:szCs w:val="20"/>
          <w:color w:val="auto"/>
        </w:rPr>
      </w:pPr>
    </w:p>
    <w:p>
      <w:pPr>
        <w:spacing w:after="0"/>
        <w:tabs>
          <w:tab w:leader="none" w:pos="180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ss.240.13d-1(b) or 240.13d-2(b), or (c), check whether the person filing is a</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820" w:hanging="910"/>
        <w:spacing w:after="0"/>
        <w:tabs>
          <w:tab w:leader="none" w:pos="1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[_]   Broker or dealer registered under Section 15 of the Exchange Act (15 U.S.C. 78c).</w:t>
      </w:r>
    </w:p>
    <w:p>
      <w:pPr>
        <w:spacing w:after="0" w:line="279" w:lineRule="exact"/>
        <w:rPr>
          <w:rFonts w:ascii="Arial" w:cs="Arial" w:eastAsia="Arial" w:hAnsi="Arial"/>
          <w:sz w:val="18"/>
          <w:szCs w:val="18"/>
          <w:color w:val="auto"/>
        </w:rPr>
      </w:pPr>
    </w:p>
    <w:p>
      <w:pPr>
        <w:ind w:left="1820" w:hanging="910"/>
        <w:spacing w:after="0"/>
        <w:tabs>
          <w:tab w:leader="none" w:pos="1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[_]   Bank as defined in Section 3(a)(6) of the Exchange Act (15 U.S.C. 78c).</w:t>
      </w:r>
    </w:p>
    <w:p>
      <w:pPr>
        <w:spacing w:after="0" w:line="279" w:lineRule="exact"/>
        <w:rPr>
          <w:rFonts w:ascii="Arial" w:cs="Arial" w:eastAsia="Arial" w:hAnsi="Arial"/>
          <w:sz w:val="18"/>
          <w:szCs w:val="18"/>
          <w:color w:val="auto"/>
        </w:rPr>
      </w:pPr>
    </w:p>
    <w:p>
      <w:pPr>
        <w:ind w:left="1820" w:hanging="910"/>
        <w:spacing w:after="0"/>
        <w:tabs>
          <w:tab w:leader="none" w:pos="1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[_]   Insurance company as defined in Section 3(a)(19) of the Exchange Act (15 U.S.C. 78c).</w:t>
      </w:r>
    </w:p>
    <w:p>
      <w:pPr>
        <w:spacing w:after="0" w:line="279" w:lineRule="exact"/>
        <w:rPr>
          <w:rFonts w:ascii="Arial" w:cs="Arial" w:eastAsia="Arial" w:hAnsi="Arial"/>
          <w:sz w:val="18"/>
          <w:szCs w:val="18"/>
          <w:color w:val="auto"/>
        </w:rPr>
      </w:pPr>
    </w:p>
    <w:p>
      <w:pPr>
        <w:ind w:left="1820" w:hanging="910"/>
        <w:spacing w:after="0"/>
        <w:tabs>
          <w:tab w:leader="none" w:pos="18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[_]   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200660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420" w:top="719" w:right="339" w:bottom="1440" w:gutter="0" w:footer="0" w:header="0"/>
          <w:type w:val="continuous"/>
        </w:sectPr>
      </w:pPr>
    </w:p>
    <w:bookmarkStart w:id="5" w:name="page6"/>
    <w:bookmarkEnd w:id="5"/>
    <w:p>
      <w:pPr>
        <w:ind w:left="1820" w:hanging="910"/>
        <w:spacing w:after="0"/>
        <w:tabs>
          <w:tab w:leader="none" w:pos="1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[_]   An investment adviser in accordance with § 240.13d-1(b)(1)(ii)(E);</w:t>
      </w:r>
    </w:p>
    <w:p>
      <w:pPr>
        <w:spacing w:after="0" w:line="279" w:lineRule="exact"/>
        <w:rPr>
          <w:rFonts w:ascii="Arial" w:cs="Arial" w:eastAsia="Arial" w:hAnsi="Arial"/>
          <w:sz w:val="18"/>
          <w:szCs w:val="18"/>
          <w:color w:val="auto"/>
        </w:rPr>
      </w:pPr>
    </w:p>
    <w:p>
      <w:pPr>
        <w:ind w:left="1820" w:hanging="910"/>
        <w:spacing w:after="0"/>
        <w:tabs>
          <w:tab w:leader="none" w:pos="1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[_]   An employee benefit plan or endowment fund in accordance with § 240.13d-1(b)(1)(ii)(F);</w:t>
      </w:r>
    </w:p>
    <w:p>
      <w:pPr>
        <w:spacing w:after="0" w:line="279" w:lineRule="exact"/>
        <w:rPr>
          <w:rFonts w:ascii="Arial" w:cs="Arial" w:eastAsia="Arial" w:hAnsi="Arial"/>
          <w:sz w:val="18"/>
          <w:szCs w:val="18"/>
          <w:color w:val="auto"/>
        </w:rPr>
      </w:pPr>
    </w:p>
    <w:p>
      <w:pPr>
        <w:ind w:left="1820" w:hanging="910"/>
        <w:spacing w:after="0"/>
        <w:tabs>
          <w:tab w:leader="none" w:pos="1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[_]   A parent holding company or control person in accordance with Rule 13d-1(b)(1)(ii)(G);</w:t>
      </w:r>
    </w:p>
    <w:p>
      <w:pPr>
        <w:spacing w:after="0" w:line="279" w:lineRule="exact"/>
        <w:rPr>
          <w:rFonts w:ascii="Arial" w:cs="Arial" w:eastAsia="Arial" w:hAnsi="Arial"/>
          <w:sz w:val="18"/>
          <w:szCs w:val="18"/>
          <w:color w:val="auto"/>
        </w:rPr>
      </w:pPr>
    </w:p>
    <w:p>
      <w:pPr>
        <w:ind w:left="1820" w:hanging="910"/>
        <w:spacing w:after="0"/>
        <w:tabs>
          <w:tab w:leader="none" w:pos="1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[_]   A savings association as defined in Section 3(b) of the Federal Deposit Insurance Act (12 U.S.C.1813);</w:t>
      </w:r>
    </w:p>
    <w:p>
      <w:pPr>
        <w:spacing w:after="0" w:line="279" w:lineRule="exact"/>
        <w:rPr>
          <w:rFonts w:ascii="Arial" w:cs="Arial" w:eastAsia="Arial" w:hAnsi="Arial"/>
          <w:sz w:val="18"/>
          <w:szCs w:val="18"/>
          <w:color w:val="auto"/>
        </w:rPr>
      </w:pPr>
    </w:p>
    <w:p>
      <w:pPr>
        <w:ind w:left="2260" w:right="260" w:hanging="1350"/>
        <w:spacing w:after="0" w:line="277" w:lineRule="auto"/>
        <w:tabs>
          <w:tab w:leader="none" w:pos="1814" w:val="left"/>
        </w:tabs>
        <w:numPr>
          <w:ilvl w:val="0"/>
          <w:numId w:val="14"/>
        </w:numPr>
        <w:rPr>
          <w:rFonts w:ascii="Arial" w:cs="Arial" w:eastAsia="Arial" w:hAnsi="Arial"/>
          <w:sz w:val="18"/>
          <w:szCs w:val="18"/>
          <w:color w:val="auto"/>
        </w:rPr>
      </w:pPr>
      <w:r>
        <w:rPr>
          <w:rFonts w:ascii="Arial" w:cs="Arial" w:eastAsia="Arial" w:hAnsi="Arial"/>
          <w:sz w:val="18"/>
          <w:szCs w:val="18"/>
          <w:color w:val="auto"/>
        </w:rPr>
        <w:t>[_] A church plan that is excluded from the definition of an investment company under Section 3(c)(14) of the Investment Company Act of 1940 (15 U.S.C. 80a-3);</w:t>
      </w:r>
    </w:p>
    <w:p>
      <w:pPr>
        <w:spacing w:after="0" w:line="197" w:lineRule="exact"/>
        <w:rPr>
          <w:rFonts w:ascii="Arial" w:cs="Arial" w:eastAsia="Arial" w:hAnsi="Arial"/>
          <w:sz w:val="18"/>
          <w:szCs w:val="18"/>
          <w:color w:val="auto"/>
        </w:rPr>
      </w:pPr>
    </w:p>
    <w:p>
      <w:pPr>
        <w:ind w:left="1820" w:hanging="910"/>
        <w:spacing w:after="0"/>
        <w:tabs>
          <w:tab w:leader="none" w:pos="1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[_]   Group, in accordance with s.240.13d-1(b)(1)(ii)(J).</w:t>
      </w:r>
    </w:p>
    <w:p>
      <w:pPr>
        <w:spacing w:after="0" w:line="200" w:lineRule="exact"/>
        <w:rPr>
          <w:sz w:val="20"/>
          <w:szCs w:val="20"/>
          <w:color w:val="auto"/>
        </w:rPr>
      </w:pPr>
    </w:p>
    <w:p>
      <w:pPr>
        <w:spacing w:after="0" w:line="29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252" w:lineRule="exact"/>
        <w:rPr>
          <w:sz w:val="20"/>
          <w:szCs w:val="20"/>
          <w:color w:val="auto"/>
        </w:rPr>
      </w:pPr>
    </w:p>
    <w:p>
      <w:pPr>
        <w:ind w:left="740"/>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248" w:lineRule="exact"/>
        <w:rPr>
          <w:sz w:val="20"/>
          <w:szCs w:val="20"/>
          <w:color w:val="auto"/>
        </w:rPr>
      </w:pPr>
    </w:p>
    <w:p>
      <w:pPr>
        <w:ind w:left="1440" w:hanging="665"/>
        <w:spacing w:after="0"/>
        <w:tabs>
          <w:tab w:leader="none" w:pos="1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79"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Suvretta Capital Management, LLC – 2,232,843</w:t>
      </w:r>
    </w:p>
    <w:p>
      <w:pPr>
        <w:spacing w:after="0" w:line="49" w:lineRule="exact"/>
        <w:rPr>
          <w:rFonts w:ascii="Arial" w:cs="Arial" w:eastAsia="Arial" w:hAnsi="Arial"/>
          <w:sz w:val="18"/>
          <w:szCs w:val="18"/>
          <w:color w:val="auto"/>
        </w:rPr>
      </w:pPr>
    </w:p>
    <w:p>
      <w:pPr>
        <w:ind w:left="1440" w:right="6860"/>
        <w:spacing w:after="0" w:line="377" w:lineRule="auto"/>
        <w:rPr>
          <w:rFonts w:ascii="Arial" w:cs="Arial" w:eastAsia="Arial" w:hAnsi="Arial"/>
          <w:sz w:val="18"/>
          <w:szCs w:val="18"/>
          <w:color w:val="auto"/>
        </w:rPr>
      </w:pPr>
      <w:r>
        <w:rPr>
          <w:rFonts w:ascii="Arial" w:cs="Arial" w:eastAsia="Arial" w:hAnsi="Arial"/>
          <w:sz w:val="16"/>
          <w:szCs w:val="16"/>
          <w:color w:val="auto"/>
        </w:rPr>
        <w:t>Averill Master Fund, Ltd. – 2,232,843 Aaron Cowen – 2,232,843</w:t>
      </w:r>
    </w:p>
    <w:p>
      <w:pPr>
        <w:spacing w:after="0" w:line="150" w:lineRule="exact"/>
        <w:rPr>
          <w:rFonts w:ascii="Arial" w:cs="Arial" w:eastAsia="Arial" w:hAnsi="Arial"/>
          <w:sz w:val="18"/>
          <w:szCs w:val="18"/>
          <w:color w:val="auto"/>
        </w:rPr>
      </w:pPr>
    </w:p>
    <w:p>
      <w:pPr>
        <w:ind w:left="1440" w:hanging="665"/>
        <w:spacing w:after="0"/>
        <w:tabs>
          <w:tab w:leader="none" w:pos="1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79"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Suvretta Capital Management, LLC – 5.2%</w:t>
      </w:r>
    </w:p>
    <w:p>
      <w:pPr>
        <w:spacing w:after="0" w:line="49" w:lineRule="exact"/>
        <w:rPr>
          <w:rFonts w:ascii="Arial" w:cs="Arial" w:eastAsia="Arial" w:hAnsi="Arial"/>
          <w:sz w:val="18"/>
          <w:szCs w:val="18"/>
          <w:color w:val="auto"/>
        </w:rPr>
      </w:pPr>
    </w:p>
    <w:p>
      <w:pPr>
        <w:ind w:left="1440" w:right="7200"/>
        <w:spacing w:after="0" w:line="308" w:lineRule="auto"/>
        <w:rPr>
          <w:rFonts w:ascii="Arial" w:cs="Arial" w:eastAsia="Arial" w:hAnsi="Arial"/>
          <w:sz w:val="18"/>
          <w:szCs w:val="18"/>
          <w:color w:val="auto"/>
        </w:rPr>
      </w:pPr>
      <w:r>
        <w:rPr>
          <w:rFonts w:ascii="Arial" w:cs="Arial" w:eastAsia="Arial" w:hAnsi="Arial"/>
          <w:sz w:val="18"/>
          <w:szCs w:val="18"/>
          <w:color w:val="auto"/>
        </w:rPr>
        <w:t>Averill Master Fund, Ltd. – 5.2% Aaron Cowen – 5.2%</w:t>
      </w:r>
    </w:p>
    <w:p>
      <w:pPr>
        <w:spacing w:after="0" w:line="373" w:lineRule="exact"/>
        <w:rPr>
          <w:rFonts w:ascii="Arial" w:cs="Arial" w:eastAsia="Arial" w:hAnsi="Arial"/>
          <w:sz w:val="18"/>
          <w:szCs w:val="18"/>
          <w:color w:val="auto"/>
        </w:rPr>
      </w:pPr>
    </w:p>
    <w:p>
      <w:pPr>
        <w:ind w:left="1440" w:hanging="665"/>
        <w:spacing w:after="0"/>
        <w:tabs>
          <w:tab w:leader="none" w:pos="1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79" w:lineRule="exact"/>
        <w:rPr>
          <w:rFonts w:ascii="Arial" w:cs="Arial" w:eastAsia="Arial" w:hAnsi="Arial"/>
          <w:sz w:val="18"/>
          <w:szCs w:val="18"/>
          <w:color w:val="auto"/>
        </w:rPr>
      </w:pPr>
    </w:p>
    <w:p>
      <w:pPr>
        <w:ind w:left="2160" w:hanging="724"/>
        <w:spacing w:after="0"/>
        <w:tabs>
          <w:tab w:leader="none" w:pos="21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79" w:lineRule="exact"/>
        <w:rPr>
          <w:rFonts w:ascii="Arial" w:cs="Arial" w:eastAsia="Arial" w:hAnsi="Arial"/>
          <w:sz w:val="18"/>
          <w:szCs w:val="18"/>
          <w:color w:val="auto"/>
        </w:rPr>
      </w:pPr>
    </w:p>
    <w:p>
      <w:pPr>
        <w:ind w:left="2160"/>
        <w:spacing w:after="0"/>
        <w:rPr>
          <w:rFonts w:ascii="Arial" w:cs="Arial" w:eastAsia="Arial" w:hAnsi="Arial"/>
          <w:sz w:val="18"/>
          <w:szCs w:val="18"/>
          <w:color w:val="auto"/>
        </w:rPr>
      </w:pPr>
      <w:r>
        <w:rPr>
          <w:rFonts w:ascii="Arial" w:cs="Arial" w:eastAsia="Arial" w:hAnsi="Arial"/>
          <w:sz w:val="18"/>
          <w:szCs w:val="18"/>
          <w:color w:val="auto"/>
        </w:rPr>
        <w:t>Suvretta Capital Management, LLC – 0</w:t>
      </w:r>
    </w:p>
    <w:p>
      <w:pPr>
        <w:spacing w:after="0" w:line="49" w:lineRule="exact"/>
        <w:rPr>
          <w:rFonts w:ascii="Arial" w:cs="Arial" w:eastAsia="Arial" w:hAnsi="Arial"/>
          <w:sz w:val="18"/>
          <w:szCs w:val="18"/>
          <w:color w:val="auto"/>
        </w:rPr>
      </w:pPr>
    </w:p>
    <w:p>
      <w:pPr>
        <w:ind w:left="2160" w:right="6760"/>
        <w:spacing w:after="0" w:line="308" w:lineRule="auto"/>
        <w:rPr>
          <w:rFonts w:ascii="Arial" w:cs="Arial" w:eastAsia="Arial" w:hAnsi="Arial"/>
          <w:sz w:val="18"/>
          <w:szCs w:val="18"/>
          <w:color w:val="auto"/>
        </w:rPr>
      </w:pPr>
      <w:r>
        <w:rPr>
          <w:rFonts w:ascii="Arial" w:cs="Arial" w:eastAsia="Arial" w:hAnsi="Arial"/>
          <w:sz w:val="18"/>
          <w:szCs w:val="18"/>
          <w:color w:val="auto"/>
        </w:rPr>
        <w:t>Averill Master Fund, Ltd. – 0 Aaron Cowen – 0</w:t>
      </w:r>
    </w:p>
    <w:p>
      <w:pPr>
        <w:spacing w:after="0" w:line="197" w:lineRule="exact"/>
        <w:rPr>
          <w:rFonts w:ascii="Arial" w:cs="Arial" w:eastAsia="Arial" w:hAnsi="Arial"/>
          <w:sz w:val="18"/>
          <w:szCs w:val="18"/>
          <w:color w:val="auto"/>
        </w:rPr>
      </w:pPr>
    </w:p>
    <w:p>
      <w:pPr>
        <w:ind w:left="2160" w:hanging="724"/>
        <w:spacing w:after="0"/>
        <w:tabs>
          <w:tab w:leader="none" w:pos="21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79" w:lineRule="exact"/>
        <w:rPr>
          <w:rFonts w:ascii="Arial" w:cs="Arial" w:eastAsia="Arial" w:hAnsi="Arial"/>
          <w:sz w:val="18"/>
          <w:szCs w:val="18"/>
          <w:color w:val="auto"/>
        </w:rPr>
      </w:pPr>
    </w:p>
    <w:p>
      <w:pPr>
        <w:ind w:left="2140"/>
        <w:spacing w:after="0"/>
        <w:rPr>
          <w:rFonts w:ascii="Arial" w:cs="Arial" w:eastAsia="Arial" w:hAnsi="Arial"/>
          <w:sz w:val="18"/>
          <w:szCs w:val="18"/>
          <w:color w:val="auto"/>
        </w:rPr>
      </w:pPr>
      <w:r>
        <w:rPr>
          <w:rFonts w:ascii="Arial" w:cs="Arial" w:eastAsia="Arial" w:hAnsi="Arial"/>
          <w:sz w:val="18"/>
          <w:szCs w:val="18"/>
          <w:color w:val="auto"/>
        </w:rPr>
        <w:t>Suvretta Capital Management, LLC – 2,232,843</w:t>
      </w:r>
    </w:p>
    <w:p>
      <w:pPr>
        <w:spacing w:after="0" w:line="49" w:lineRule="exact"/>
        <w:rPr>
          <w:rFonts w:ascii="Arial" w:cs="Arial" w:eastAsia="Arial" w:hAnsi="Arial"/>
          <w:sz w:val="18"/>
          <w:szCs w:val="18"/>
          <w:color w:val="auto"/>
        </w:rPr>
      </w:pPr>
    </w:p>
    <w:p>
      <w:pPr>
        <w:ind w:left="2140" w:right="6160"/>
        <w:spacing w:after="0" w:line="377" w:lineRule="auto"/>
        <w:rPr>
          <w:rFonts w:ascii="Arial" w:cs="Arial" w:eastAsia="Arial" w:hAnsi="Arial"/>
          <w:sz w:val="18"/>
          <w:szCs w:val="18"/>
          <w:color w:val="auto"/>
        </w:rPr>
      </w:pPr>
      <w:r>
        <w:rPr>
          <w:rFonts w:ascii="Arial" w:cs="Arial" w:eastAsia="Arial" w:hAnsi="Arial"/>
          <w:sz w:val="16"/>
          <w:szCs w:val="16"/>
          <w:color w:val="auto"/>
        </w:rPr>
        <w:t>Averill Master Fund, Ltd. – 2,232,843 Aaron Cowen – 2,232,843</w:t>
      </w:r>
    </w:p>
    <w:p>
      <w:pPr>
        <w:spacing w:after="0" w:line="150" w:lineRule="exact"/>
        <w:rPr>
          <w:rFonts w:ascii="Arial" w:cs="Arial" w:eastAsia="Arial" w:hAnsi="Arial"/>
          <w:sz w:val="18"/>
          <w:szCs w:val="18"/>
          <w:color w:val="auto"/>
        </w:rPr>
      </w:pPr>
    </w:p>
    <w:p>
      <w:pPr>
        <w:ind w:left="2160" w:hanging="724"/>
        <w:spacing w:after="0"/>
        <w:tabs>
          <w:tab w:leader="none" w:pos="21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1313180</wp:posOffset>
            </wp:positionH>
            <wp:positionV relativeFrom="paragraph">
              <wp:posOffset>-284480</wp:posOffset>
            </wp:positionV>
            <wp:extent cx="57607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anchor simplePos="0" relativeHeight="251657728" behindDoc="1" locked="0" layoutInCell="0" allowOverlap="1">
            <wp:simplePos x="0" y="0"/>
            <wp:positionH relativeFrom="column">
              <wp:posOffset>1313180</wp:posOffset>
            </wp:positionH>
            <wp:positionV relativeFrom="paragraph">
              <wp:posOffset>-438785</wp:posOffset>
            </wp:positionV>
            <wp:extent cx="57607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anchor simplePos="0" relativeHeight="251657728" behindDoc="1" locked="0" layoutInCell="0" allowOverlap="1">
            <wp:simplePos x="0" y="0"/>
            <wp:positionH relativeFrom="column">
              <wp:posOffset>1313180</wp:posOffset>
            </wp:positionH>
            <wp:positionV relativeFrom="paragraph">
              <wp:posOffset>-593090</wp:posOffset>
            </wp:positionV>
            <wp:extent cx="57607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anchor simplePos="0" relativeHeight="251657728" behindDoc="1" locked="0" layoutInCell="0" allowOverlap="1">
            <wp:simplePos x="0" y="0"/>
            <wp:positionH relativeFrom="column">
              <wp:posOffset>1313180</wp:posOffset>
            </wp:positionH>
            <wp:positionV relativeFrom="paragraph">
              <wp:posOffset>-1219200</wp:posOffset>
            </wp:positionV>
            <wp:extent cx="57607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60720" cy="8890"/>
                    </a:xfrm>
                    <a:prstGeom prst="rect">
                      <a:avLst/>
                    </a:prstGeom>
                    <a:noFill/>
                  </pic:spPr>
                </pic:pic>
              </a:graphicData>
            </a:graphic>
          </wp:anchor>
        </w:drawing>
        <w:drawing>
          <wp:anchor simplePos="0" relativeHeight="251657728" behindDoc="1" locked="0" layoutInCell="0" allowOverlap="1">
            <wp:simplePos x="0" y="0"/>
            <wp:positionH relativeFrom="column">
              <wp:posOffset>1313180</wp:posOffset>
            </wp:positionH>
            <wp:positionV relativeFrom="paragraph">
              <wp:posOffset>-1373505</wp:posOffset>
            </wp:positionV>
            <wp:extent cx="57607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60720" cy="8890"/>
                    </a:xfrm>
                    <a:prstGeom prst="rect">
                      <a:avLst/>
                    </a:prstGeom>
                    <a:noFill/>
                  </pic:spPr>
                </pic:pic>
              </a:graphicData>
            </a:graphic>
          </wp:anchor>
        </w:drawing>
        <w:drawing>
          <wp:anchor simplePos="0" relativeHeight="251657728" behindDoc="1" locked="0" layoutInCell="0" allowOverlap="1">
            <wp:simplePos x="0" y="0"/>
            <wp:positionH relativeFrom="column">
              <wp:posOffset>1313180</wp:posOffset>
            </wp:positionH>
            <wp:positionV relativeFrom="paragraph">
              <wp:posOffset>-1527810</wp:posOffset>
            </wp:positionV>
            <wp:extent cx="57607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60720" cy="8890"/>
                    </a:xfrm>
                    <a:prstGeom prst="rect">
                      <a:avLst/>
                    </a:prstGeom>
                    <a:noFill/>
                  </pic:spPr>
                </pic:pic>
              </a:graphicData>
            </a:graphic>
          </wp:anchor>
        </w:drawing>
        <w:drawing>
          <wp:anchor simplePos="0" relativeHeight="251657728" behindDoc="1" locked="0" layoutInCell="0" allowOverlap="1">
            <wp:simplePos x="0" y="0"/>
            <wp:positionH relativeFrom="column">
              <wp:posOffset>850265</wp:posOffset>
            </wp:positionH>
            <wp:positionV relativeFrom="paragraph">
              <wp:posOffset>-2573655</wp:posOffset>
            </wp:positionV>
            <wp:extent cx="62236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23635" cy="8255"/>
                    </a:xfrm>
                    <a:prstGeom prst="rect">
                      <a:avLst/>
                    </a:prstGeom>
                    <a:noFill/>
                  </pic:spPr>
                </pic:pic>
              </a:graphicData>
            </a:graphic>
          </wp:anchor>
        </w:drawing>
        <w:drawing>
          <wp:anchor simplePos="0" relativeHeight="251657728" behindDoc="1" locked="0" layoutInCell="0" allowOverlap="1">
            <wp:simplePos x="0" y="0"/>
            <wp:positionH relativeFrom="column">
              <wp:posOffset>850265</wp:posOffset>
            </wp:positionH>
            <wp:positionV relativeFrom="paragraph">
              <wp:posOffset>-2727960</wp:posOffset>
            </wp:positionV>
            <wp:extent cx="62236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23635" cy="8255"/>
                    </a:xfrm>
                    <a:prstGeom prst="rect">
                      <a:avLst/>
                    </a:prstGeom>
                    <a:noFill/>
                  </pic:spPr>
                </pic:pic>
              </a:graphicData>
            </a:graphic>
          </wp:anchor>
        </w:drawing>
        <w:drawing>
          <wp:anchor simplePos="0" relativeHeight="251657728" behindDoc="1" locked="0" layoutInCell="0" allowOverlap="1">
            <wp:simplePos x="0" y="0"/>
            <wp:positionH relativeFrom="column">
              <wp:posOffset>850265</wp:posOffset>
            </wp:positionH>
            <wp:positionV relativeFrom="paragraph">
              <wp:posOffset>-2882265</wp:posOffset>
            </wp:positionV>
            <wp:extent cx="62236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23635" cy="8890"/>
                    </a:xfrm>
                    <a:prstGeom prst="rect">
                      <a:avLst/>
                    </a:prstGeom>
                    <a:noFill/>
                  </pic:spPr>
                </pic:pic>
              </a:graphicData>
            </a:graphic>
          </wp:anchor>
        </w:drawing>
        <w:drawing>
          <wp:anchor simplePos="0" relativeHeight="251657728" behindDoc="1" locked="0" layoutInCell="0" allowOverlap="1">
            <wp:simplePos x="0" y="0"/>
            <wp:positionH relativeFrom="column">
              <wp:posOffset>850265</wp:posOffset>
            </wp:positionH>
            <wp:positionV relativeFrom="paragraph">
              <wp:posOffset>-3507740</wp:posOffset>
            </wp:positionV>
            <wp:extent cx="62236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23635" cy="8255"/>
                    </a:xfrm>
                    <a:prstGeom prst="rect">
                      <a:avLst/>
                    </a:prstGeom>
                    <a:noFill/>
                  </pic:spPr>
                </pic:pic>
              </a:graphicData>
            </a:graphic>
          </wp:anchor>
        </w:drawing>
        <w:drawing>
          <wp:anchor simplePos="0" relativeHeight="251657728" behindDoc="1" locked="0" layoutInCell="0" allowOverlap="1">
            <wp:simplePos x="0" y="0"/>
            <wp:positionH relativeFrom="column">
              <wp:posOffset>850265</wp:posOffset>
            </wp:positionH>
            <wp:positionV relativeFrom="paragraph">
              <wp:posOffset>-3662045</wp:posOffset>
            </wp:positionV>
            <wp:extent cx="62236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23635" cy="8255"/>
                    </a:xfrm>
                    <a:prstGeom prst="rect">
                      <a:avLst/>
                    </a:prstGeom>
                    <a:noFill/>
                  </pic:spPr>
                </pic:pic>
              </a:graphicData>
            </a:graphic>
          </wp:anchor>
        </w:drawing>
        <w:drawing>
          <wp:anchor simplePos="0" relativeHeight="251657728" behindDoc="1" locked="0" layoutInCell="0" allowOverlap="1">
            <wp:simplePos x="0" y="0"/>
            <wp:positionH relativeFrom="column">
              <wp:posOffset>850265</wp:posOffset>
            </wp:positionH>
            <wp:positionV relativeFrom="paragraph">
              <wp:posOffset>-3816350</wp:posOffset>
            </wp:positionV>
            <wp:extent cx="62236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23635" cy="8255"/>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Suvretta Capital Management, LLC – 0</w:t>
      </w:r>
    </w:p>
    <w:p>
      <w:pPr>
        <w:spacing w:after="0" w:line="50"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Averill Master Fund, Ltd. –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1313180</wp:posOffset>
            </wp:positionH>
            <wp:positionV relativeFrom="paragraph">
              <wp:posOffset>-130175</wp:posOffset>
            </wp:positionV>
            <wp:extent cx="57607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16"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Aaron Cowen –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1313180</wp:posOffset>
            </wp:positionH>
            <wp:positionV relativeFrom="paragraph">
              <wp:posOffset>23495</wp:posOffset>
            </wp:positionV>
            <wp:extent cx="57607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60720" cy="8890"/>
                    </a:xfrm>
                    <a:prstGeom prst="rect">
                      <a:avLst/>
                    </a:prstGeom>
                    <a:noFill/>
                  </pic:spPr>
                </pic:pic>
              </a:graphicData>
            </a:graphic>
          </wp:anchor>
        </w:drawing>
        <w:drawing>
          <wp:anchor simplePos="0" relativeHeight="251657728" behindDoc="1" locked="0" layoutInCell="0" allowOverlap="1">
            <wp:simplePos x="0" y="0"/>
            <wp:positionH relativeFrom="column">
              <wp:posOffset>1313180</wp:posOffset>
            </wp:positionH>
            <wp:positionV relativeFrom="paragraph">
              <wp:posOffset>-130175</wp:posOffset>
            </wp:positionV>
            <wp:extent cx="57607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259" w:lineRule="exact"/>
        <w:rPr>
          <w:sz w:val="20"/>
          <w:szCs w:val="20"/>
          <w:color w:val="auto"/>
        </w:rPr>
      </w:pPr>
    </w:p>
    <w:p>
      <w:pPr>
        <w:ind w:left="2160" w:hanging="724"/>
        <w:spacing w:after="0"/>
        <w:tabs>
          <w:tab w:leader="none" w:pos="2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79" w:lineRule="exact"/>
        <w:rPr>
          <w:rFonts w:ascii="Arial" w:cs="Arial" w:eastAsia="Arial" w:hAnsi="Arial"/>
          <w:sz w:val="18"/>
          <w:szCs w:val="18"/>
          <w:color w:val="auto"/>
        </w:rPr>
      </w:pPr>
    </w:p>
    <w:p>
      <w:pPr>
        <w:ind w:left="2160" w:right="5400"/>
        <w:spacing w:after="0" w:line="395" w:lineRule="auto"/>
        <w:rPr>
          <w:rFonts w:ascii="Arial" w:cs="Arial" w:eastAsia="Arial" w:hAnsi="Arial"/>
          <w:sz w:val="18"/>
          <w:szCs w:val="18"/>
          <w:color w:val="auto"/>
        </w:rPr>
      </w:pPr>
      <w:r>
        <w:rPr>
          <w:rFonts w:ascii="Arial" w:cs="Arial" w:eastAsia="Arial" w:hAnsi="Arial"/>
          <w:sz w:val="16"/>
          <w:szCs w:val="16"/>
          <w:color w:val="auto"/>
        </w:rPr>
        <w:t>Suvretta Capital Management, LLC – 2,232,843 Averill Master Fund, Ltd. – 2,232,843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1313180</wp:posOffset>
            </wp:positionH>
            <wp:positionV relativeFrom="paragraph">
              <wp:posOffset>-66040</wp:posOffset>
            </wp:positionV>
            <wp:extent cx="57607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anchor simplePos="0" relativeHeight="251657728" behindDoc="1" locked="0" layoutInCell="0" allowOverlap="1">
            <wp:simplePos x="0" y="0"/>
            <wp:positionH relativeFrom="column">
              <wp:posOffset>1313180</wp:posOffset>
            </wp:positionH>
            <wp:positionV relativeFrom="paragraph">
              <wp:posOffset>-220345</wp:posOffset>
            </wp:positionV>
            <wp:extent cx="57607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607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95885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40"/>
          </w:cols>
          <w:pgMar w:left="420" w:top="962" w:right="439" w:bottom="1440" w:gutter="0" w:footer="0" w:header="0"/>
        </w:sectPr>
      </w:pPr>
    </w:p>
    <w:bookmarkStart w:id="6" w:name="page7"/>
    <w:bookmarkEnd w:id="6"/>
    <w:p>
      <w:pPr>
        <w:ind w:left="2160"/>
        <w:spacing w:after="0"/>
        <w:rPr>
          <w:sz w:val="20"/>
          <w:szCs w:val="20"/>
          <w:color w:val="auto"/>
        </w:rPr>
      </w:pPr>
      <w:r>
        <w:rPr>
          <w:rFonts w:ascii="Arial" w:cs="Arial" w:eastAsia="Arial" w:hAnsi="Arial"/>
          <w:sz w:val="18"/>
          <w:szCs w:val="18"/>
          <w:color w:val="auto"/>
        </w:rPr>
        <w:t>Aaron Cowen – 2,232,843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1313180</wp:posOffset>
            </wp:positionH>
            <wp:positionV relativeFrom="paragraph">
              <wp:posOffset>-130175</wp:posOffset>
            </wp:positionV>
            <wp:extent cx="57607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anchor simplePos="0" relativeHeight="251657728" behindDoc="1" locked="0" layoutInCell="0" allowOverlap="1">
            <wp:simplePos x="0" y="0"/>
            <wp:positionH relativeFrom="column">
              <wp:posOffset>1313180</wp:posOffset>
            </wp:positionH>
            <wp:positionV relativeFrom="paragraph">
              <wp:posOffset>23495</wp:posOffset>
            </wp:positionV>
            <wp:extent cx="57607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[_].</w:t>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31750</wp:posOffset>
            </wp:positionV>
            <wp:extent cx="64890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52" w:lineRule="exact"/>
        <w:rPr>
          <w:sz w:val="20"/>
          <w:szCs w:val="20"/>
          <w:color w:val="auto"/>
        </w:rPr>
      </w:pPr>
    </w:p>
    <w:p>
      <w:pPr>
        <w:ind w:right="80" w:firstLine="725"/>
        <w:spacing w:after="0" w:line="279" w:lineRule="auto"/>
        <w:rPr>
          <w:sz w:val="20"/>
          <w:szCs w:val="20"/>
          <w:color w:val="auto"/>
        </w:rPr>
      </w:pPr>
      <w:r>
        <w:rPr>
          <w:rFonts w:ascii="Arial" w:cs="Arial" w:eastAsia="Arial" w:hAnsi="Arial"/>
          <w:sz w:val="17"/>
          <w:szCs w:val="17"/>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9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31750</wp:posOffset>
            </wp:positionV>
            <wp:extent cx="648906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color w:val="auto"/>
        </w:rPr>
        <w:t>Identification and Classification of the Subsidiary Which Acquired the Security Being Reported on by the Parent Holding Company.</w:t>
      </w:r>
    </w:p>
    <w:p>
      <w:pPr>
        <w:spacing w:after="0" w:line="252" w:lineRule="exact"/>
        <w:rPr>
          <w:sz w:val="20"/>
          <w:szCs w:val="20"/>
          <w:color w:val="auto"/>
        </w:rPr>
      </w:pPr>
    </w:p>
    <w:p>
      <w:pPr>
        <w:ind w:firstLine="725"/>
        <w:spacing w:after="0" w:line="263" w:lineRule="auto"/>
        <w:rPr>
          <w:sz w:val="20"/>
          <w:szCs w:val="20"/>
          <w:color w:val="auto"/>
        </w:rPr>
      </w:pPr>
      <w:r>
        <w:rPr>
          <w:rFonts w:ascii="Arial" w:cs="Arial" w:eastAsia="Arial" w:hAnsi="Arial"/>
          <w:sz w:val="18"/>
          <w:szCs w:val="18"/>
          <w:color w:val="auto"/>
        </w:rPr>
        <w:t>If a parent holding company has filed this schedule, pursuant to Rule 13d-1(b)(1)(ii)(G),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1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See Exhibit B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31750</wp:posOffset>
            </wp:positionV>
            <wp:extent cx="648906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52" w:lineRule="exact"/>
        <w:rPr>
          <w:sz w:val="20"/>
          <w:szCs w:val="20"/>
          <w:color w:val="auto"/>
        </w:rPr>
      </w:pPr>
    </w:p>
    <w:p>
      <w:pPr>
        <w:ind w:right="120" w:firstLine="725"/>
        <w:spacing w:after="0" w:line="263" w:lineRule="auto"/>
        <w:rPr>
          <w:sz w:val="20"/>
          <w:szCs w:val="20"/>
          <w:color w:val="auto"/>
        </w:rPr>
      </w:pPr>
      <w:r>
        <w:rPr>
          <w:rFonts w:ascii="Arial" w:cs="Arial" w:eastAsia="Arial" w:hAnsi="Arial"/>
          <w:sz w:val="18"/>
          <w:szCs w:val="18"/>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1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31750</wp:posOffset>
            </wp:positionV>
            <wp:extent cx="64890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52" w:lineRule="exact"/>
        <w:rPr>
          <w:sz w:val="20"/>
          <w:szCs w:val="20"/>
          <w:color w:val="auto"/>
        </w:rPr>
      </w:pPr>
    </w:p>
    <w:p>
      <w:pPr>
        <w:ind w:right="300" w:firstLine="725"/>
        <w:spacing w:after="0" w:line="308" w:lineRule="auto"/>
        <w:rPr>
          <w:sz w:val="20"/>
          <w:szCs w:val="20"/>
          <w:color w:val="auto"/>
        </w:rPr>
      </w:pPr>
      <w:r>
        <w:rPr>
          <w:rFonts w:ascii="Arial" w:cs="Arial" w:eastAsia="Arial" w:hAnsi="Arial"/>
          <w:sz w:val="17"/>
          <w:szCs w:val="17"/>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17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31750</wp:posOffset>
            </wp:positionV>
            <wp:extent cx="648906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color w:val="auto"/>
        </w:rPr>
        <w:t>Certification.</w:t>
      </w:r>
    </w:p>
    <w:p>
      <w:pPr>
        <w:spacing w:after="0" w:line="252" w:lineRule="exact"/>
        <w:rPr>
          <w:sz w:val="20"/>
          <w:szCs w:val="20"/>
          <w:color w:val="auto"/>
        </w:rPr>
      </w:pPr>
    </w:p>
    <w:p>
      <w:pPr>
        <w:ind w:left="1480" w:hanging="462"/>
        <w:spacing w:after="0"/>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§240.13d-1(c):</w:t>
      </w:r>
    </w:p>
    <w:p>
      <w:pPr>
        <w:spacing w:after="0" w:line="279" w:lineRule="exact"/>
        <w:rPr>
          <w:rFonts w:ascii="Arial" w:cs="Arial" w:eastAsia="Arial" w:hAnsi="Arial"/>
          <w:sz w:val="18"/>
          <w:szCs w:val="18"/>
          <w:color w:val="auto"/>
        </w:rPr>
      </w:pPr>
    </w:p>
    <w:p>
      <w:pPr>
        <w:ind w:left="1480" w:right="20"/>
        <w:spacing w:after="0" w:line="259" w:lineRule="auto"/>
        <w:rPr>
          <w:rFonts w:ascii="Arial" w:cs="Arial" w:eastAsia="Arial" w:hAnsi="Arial"/>
          <w:sz w:val="18"/>
          <w:szCs w:val="18"/>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299085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80"/>
          </w:cols>
          <w:pgMar w:left="420" w:top="733" w:right="49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27"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October 15, 2021</w:t>
      </w:r>
    </w:p>
    <w:p>
      <w:pPr>
        <w:spacing w:after="0" w:line="50"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-130175</wp:posOffset>
            </wp:positionV>
            <wp:extent cx="384873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848735" cy="8890"/>
                    </a:xfrm>
                    <a:prstGeom prst="rect">
                      <a:avLst/>
                    </a:prstGeom>
                    <a:noFill/>
                  </pic:spPr>
                </pic:pic>
              </a:graphicData>
            </a:graphic>
          </wp:anchor>
        </w:drawing>
      </w:r>
    </w:p>
    <w:p>
      <w:pPr>
        <w:spacing w:after="0" w:line="24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Suvretta Capital Management, LLC*</w:t>
      </w:r>
    </w:p>
    <w:p>
      <w:pPr>
        <w:spacing w:after="0" w:line="279"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By: /s/ Aaron Cowen</w:t>
      </w:r>
    </w:p>
    <w:p>
      <w:pPr>
        <w:spacing w:after="0" w:line="50"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-130175</wp:posOffset>
            </wp:positionV>
            <wp:extent cx="38487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246"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Authorized Signatory</w:t>
      </w:r>
    </w:p>
    <w:p>
      <w:pPr>
        <w:spacing w:after="0" w:line="50"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-130175</wp:posOffset>
            </wp:positionV>
            <wp:extent cx="38487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205"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Averill Master Fund, Ltd.*</w:t>
      </w:r>
    </w:p>
    <w:p>
      <w:pPr>
        <w:spacing w:after="0" w:line="252"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By: /s/ Aaron Cowen</w:t>
      </w:r>
    </w:p>
    <w:p>
      <w:pPr>
        <w:spacing w:after="0" w:line="50"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-130175</wp:posOffset>
            </wp:positionV>
            <wp:extent cx="38487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246"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Director</w:t>
      </w:r>
    </w:p>
    <w:p>
      <w:pPr>
        <w:spacing w:after="0" w:line="50"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-130175</wp:posOffset>
            </wp:positionV>
            <wp:extent cx="38487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219"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Aaron Cowen*</w:t>
      </w:r>
    </w:p>
    <w:p>
      <w:pPr>
        <w:spacing w:after="0" w:line="225"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/s/ Aaron Cowen</w:t>
      </w:r>
    </w:p>
    <w:p>
      <w:pPr>
        <w:spacing w:after="0" w:line="50"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-130175</wp:posOffset>
            </wp:positionV>
            <wp:extent cx="38487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*Each Reporting Person disclaims beneficial ownership over the securities reported herein except to the extent of its pecuniary interest therein.</w:t>
      </w:r>
    </w:p>
    <w:p>
      <w:pPr>
        <w:spacing w:after="0" w:line="2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s.240.13d-7 for other parties for whom copies are to be sent.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597535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AGREEMENT</w:t>
      </w:r>
    </w:p>
    <w:p>
      <w:pPr>
        <w:spacing w:after="0" w:line="212"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undersigned agree that this Schedule 13G dated October 15, 2021 relating to the Common stock, par value $0.0001 per share of Gemini Therapeutics, Inc. shall be filed on behalf of the undersigned.</w:t>
      </w:r>
    </w:p>
    <w:p>
      <w:pPr>
        <w:spacing w:after="0" w:line="170"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October 15, 2021</w:t>
      </w:r>
    </w:p>
    <w:p>
      <w:pPr>
        <w:spacing w:after="0" w:line="50"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-130175</wp:posOffset>
            </wp:positionV>
            <wp:extent cx="38487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246"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Suvretta Capital Management, LLC</w:t>
      </w:r>
    </w:p>
    <w:p>
      <w:pPr>
        <w:spacing w:after="0" w:line="279"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By: /s/ Aaron Cowen</w:t>
      </w:r>
    </w:p>
    <w:p>
      <w:pPr>
        <w:spacing w:after="0" w:line="50"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-130175</wp:posOffset>
            </wp:positionV>
            <wp:extent cx="38487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848735" cy="8890"/>
                    </a:xfrm>
                    <a:prstGeom prst="rect">
                      <a:avLst/>
                    </a:prstGeom>
                    <a:noFill/>
                  </pic:spPr>
                </pic:pic>
              </a:graphicData>
            </a:graphic>
          </wp:anchor>
        </w:drawing>
      </w:r>
    </w:p>
    <w:p>
      <w:pPr>
        <w:spacing w:after="0" w:line="246"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Authorized Signatory</w:t>
      </w:r>
    </w:p>
    <w:p>
      <w:pPr>
        <w:spacing w:after="0" w:line="50"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-130175</wp:posOffset>
            </wp:positionV>
            <wp:extent cx="38487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205"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Averill Master Fund, Ltd.</w:t>
      </w:r>
    </w:p>
    <w:p>
      <w:pPr>
        <w:spacing w:after="0" w:line="252"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By: /s/ Aaron Cowen</w:t>
      </w:r>
    </w:p>
    <w:p>
      <w:pPr>
        <w:spacing w:after="0" w:line="50"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-130175</wp:posOffset>
            </wp:positionV>
            <wp:extent cx="38487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246"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Director</w:t>
      </w:r>
    </w:p>
    <w:p>
      <w:pPr>
        <w:spacing w:after="0" w:line="50"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-130175</wp:posOffset>
            </wp:positionV>
            <wp:extent cx="38487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219"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Aaron Cowen</w:t>
      </w:r>
    </w:p>
    <w:p>
      <w:pPr>
        <w:spacing w:after="0" w:line="225"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/s/ Aaron Cowen</w:t>
      </w:r>
    </w:p>
    <w:p>
      <w:pPr>
        <w:spacing w:after="0" w:line="50"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-130175</wp:posOffset>
            </wp:positionV>
            <wp:extent cx="38487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8487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623570</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color w:val="auto"/>
        </w:rPr>
        <w:t>Exhibit 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Aaron Cowen has beneficial ownership by virtue of his role as a control person of Suvretta Capital Management, LLC.</w:t>
      </w:r>
    </w:p>
    <w:sectPr>
      <w:pgSz w:w="11900" w:h="16838" w:orient="portrait"/>
      <w:cols w:equalWidth="0" w:num="1">
        <w:col w:w="11240"/>
      </w:cols>
      <w:pgMar w:left="320" w:top="6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upperLetter"/>
      <w:start w:val="24"/>
    </w:lvl>
  </w:abstractNum>
  <w:abstractNum w:abstractNumId="1">
    <w:nsid w:val="12200854"/>
    <w:multiLevelType w:val="hybridMultilevel"/>
    <w:lvl w:ilvl="0">
      <w:lvlJc w:val="left"/>
      <w:lvlText w:val="%1."/>
      <w:numFmt w:val="decimal"/>
      <w:start w:val="1"/>
    </w:lvl>
  </w:abstractNum>
  <w:abstractNum w:abstractNumId="2">
    <w:nsid w:val="4DB127F8"/>
    <w:multiLevelType w:val="hybridMultilevel"/>
    <w:lvl w:ilvl="0">
      <w:lvlJc w:val="left"/>
      <w:lvlText w:val="%1."/>
      <w:numFmt w:val="decimal"/>
      <w:start w:val="3"/>
    </w:lvl>
  </w:abstractNum>
  <w:abstractNum w:abstractNumId="3">
    <w:nsid w:val="216231B"/>
    <w:multiLevelType w:val="hybridMultilevel"/>
    <w:lvl w:ilvl="0">
      <w:lvlJc w:val="left"/>
      <w:lvlText w:val="%1."/>
      <w:numFmt w:val="decimal"/>
      <w:start w:val="5"/>
    </w:lvl>
  </w:abstractNum>
  <w:abstractNum w:abstractNumId="4">
    <w:nsid w:val="1F16E9E8"/>
    <w:multiLevelType w:val="hybridMultilevel"/>
    <w:lvl w:ilvl="0">
      <w:lvlJc w:val="left"/>
      <w:lvlText w:val="%1."/>
      <w:numFmt w:val="decimal"/>
      <w:start w:val="1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3"/>
    </w:lvl>
  </w:abstractNum>
  <w:abstractNum w:abstractNumId="7">
    <w:nsid w:val="140E0F76"/>
    <w:multiLevelType w:val="hybridMultilevel"/>
    <w:lvl w:ilvl="0">
      <w:lvlJc w:val="left"/>
      <w:lvlText w:val="%1."/>
      <w:numFmt w:val="decimal"/>
      <w:start w:val="5"/>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decimal"/>
      <w:start w:val="3"/>
    </w:lvl>
  </w:abstractNum>
  <w:abstractNum w:abstractNumId="10">
    <w:nsid w:val="DED7263"/>
    <w:multiLevelType w:val="hybridMultilevel"/>
    <w:lvl w:ilvl="0">
      <w:lvlJc w:val="left"/>
      <w:lvlText w:val="%1."/>
      <w:numFmt w:val="decimal"/>
      <w:start w:val="5"/>
    </w:lvl>
  </w:abstractNum>
  <w:abstractNum w:abstractNumId="11">
    <w:nsid w:val="7FDCC233"/>
    <w:multiLevelType w:val="hybridMultilevel"/>
    <w:lvl w:ilvl="0">
      <w:lvlJc w:val="left"/>
      <w:lvlText w:val="%1."/>
      <w:numFmt w:val="decimal"/>
      <w:start w:val="11"/>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lowerLetter"/>
      <w:start w:val="5"/>
    </w:lvl>
  </w:abstractNum>
  <w:abstractNum w:abstractNumId="14">
    <w:nsid w:val="6B68079A"/>
    <w:multiLevelType w:val="hybridMultilevel"/>
    <w:lvl w:ilvl="0">
      <w:lvlJc w:val="left"/>
      <w:lvlText w:val="(%1)"/>
      <w:numFmt w:val="lowerLetter"/>
      <w:start w:val="1"/>
    </w:lvl>
    <w:lvl w:ilvl="1">
      <w:lvlJc w:val="left"/>
      <w:lvlText w:val="(%2)"/>
      <w:numFmt w:val="lowerRoman"/>
      <w:start w:val="1"/>
    </w:lvl>
  </w:abstractNum>
  <w:abstractNum w:abstractNumId="15">
    <w:nsid w:val="4E6AFB66"/>
    <w:multiLevelType w:val="hybridMultilevel"/>
    <w:lvl w:ilvl="0">
      <w:lvlJc w:val="left"/>
      <w:lvlText w:val="(%1)"/>
      <w:numFmt w:val="lowerRoman"/>
      <w:start w:val="4"/>
    </w:lvl>
  </w:abstractNum>
  <w:abstractNum w:abstractNumId="16">
    <w:nsid w:val="25E45D32"/>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2021-10-15T15:52:00Z</dcterms:created>
  <dcterms:modified xsi:type="dcterms:W3CDTF">2021-10-15T15:52:00Z</dcterms:modified>
</cp:coreProperties>
</file>