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07124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243205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11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January 14, 2022.</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January 13, 2022, the last reported sale price of our common stock on the NASDAQ Global Market was $2.05.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16" w:lineRule="exact"/>
        <w:rPr>
          <w:sz w:val="24"/>
          <w:szCs w:val="24"/>
          <w:color w:val="auto"/>
        </w:rPr>
      </w:pPr>
    </w:p>
    <w:p>
      <w:pPr>
        <w:ind w:right="200"/>
        <w:spacing w:after="0" w:line="243" w:lineRule="auto"/>
        <w:rPr>
          <w:sz w:val="20"/>
          <w:szCs w:val="20"/>
          <w:color w:val="auto"/>
        </w:rPr>
      </w:pPr>
      <w:r>
        <w:rPr>
          <w:rFonts w:ascii="Arial" w:cs="Arial" w:eastAsia="Arial" w:hAnsi="Arial"/>
          <w:sz w:val="22"/>
          <w:szCs w:val="22"/>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date of this prospectus supplement is January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0"/>
          <w:szCs w:val="20"/>
          <w:color w:val="auto"/>
        </w:rPr>
      </w:pPr>
    </w:p>
    <w:p>
      <w:pPr>
        <w:sectPr>
          <w:pgSz w:w="11900" w:h="16838" w:orient="portrait"/>
          <w:cols w:equalWidth="0" w:num="3">
            <w:col w:w="4504" w:space="720"/>
            <w:col w:w="2880" w:space="720"/>
            <w:col w:w="2200"/>
          </w:cols>
          <w:pgMar w:left="436" w:top="409" w:right="439" w:bottom="1440" w:gutter="0" w:footer="0" w:header="0"/>
          <w:type w:val="continuous"/>
        </w:sectPr>
      </w:pPr>
    </w:p>
    <w:p>
      <w:pPr>
        <w:spacing w:after="0" w:line="12" w:lineRule="exact"/>
        <w:rPr>
          <w:sz w:val="20"/>
          <w:szCs w:val="20"/>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0"/>
          <w:szCs w:val="20"/>
          <w:color w:val="auto"/>
        </w:rPr>
      </w:pPr>
    </w:p>
    <w:p>
      <w:pPr>
        <w:sectPr>
          <w:pgSz w:w="11900" w:h="16838" w:orient="portrait"/>
          <w:cols w:equalWidth="0" w:num="3">
            <w:col w:w="4484" w:space="720"/>
            <w:col w:w="2760" w:space="720"/>
            <w:col w:w="2340"/>
          </w:cols>
          <w:pgMar w:left="436" w:top="409" w:right="439" w:bottom="1440" w:gutter="0" w:footer="0" w:header="0"/>
          <w:type w:val="continuous"/>
        </w:sectPr>
      </w:pPr>
    </w:p>
    <w:p>
      <w:pPr>
        <w:spacing w:after="0" w:line="32" w:lineRule="exact"/>
        <w:rPr>
          <w:sz w:val="20"/>
          <w:szCs w:val="20"/>
          <w:color w:val="auto"/>
        </w:rPr>
      </w:pPr>
    </w:p>
    <w:p>
      <w:pPr>
        <w:ind w:left="1864"/>
        <w:spacing w:after="0"/>
        <w:rPr>
          <w:sz w:val="20"/>
          <w:szCs w:val="20"/>
          <w:color w:val="auto"/>
        </w:rPr>
      </w:pPr>
      <w:r>
        <w:rPr>
          <w:rFonts w:ascii="Arial" w:cs="Arial" w:eastAsia="Arial" w:hAnsi="Arial"/>
          <w:sz w:val="16"/>
          <w:szCs w:val="16"/>
          <w:b w:val="1"/>
          <w:bCs w:val="1"/>
          <w:color w:val="auto"/>
        </w:rPr>
        <w:t>Address Not Applicable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Not Applicable</w:t>
      </w:r>
    </w:p>
    <w:p>
      <w:pPr>
        <w:spacing w:after="0" w:line="50" w:lineRule="exact"/>
        <w:rPr>
          <w:sz w:val="20"/>
          <w:szCs w:val="20"/>
          <w:color w:val="auto"/>
        </w:rPr>
      </w:pPr>
    </w:p>
    <w:p>
      <w:pPr>
        <w:sectPr>
          <w:pgSz w:w="11900" w:h="16838" w:orient="portrait"/>
          <w:cols w:equalWidth="0" w:num="2">
            <w:col w:w="6704" w:space="720"/>
            <w:col w:w="3600"/>
          </w:cols>
          <w:pgMar w:left="436" w:top="409"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0"/>
          <w:szCs w:val="20"/>
          <w:color w:val="auto"/>
        </w:rPr>
      </w:pPr>
    </w:p>
    <w:p>
      <w:pPr>
        <w:sectPr>
          <w:pgSz w:w="11900" w:h="16838" w:orient="portrait"/>
          <w:cols w:equalWidth="0" w:num="2">
            <w:col w:w="7284" w:space="720"/>
            <w:col w:w="3020"/>
          </w:cols>
          <w:pgMar w:left="436" w:top="40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0"/>
          <w:szCs w:val="20"/>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type w:val="continuous"/>
        </w:sectPr>
      </w:pPr>
    </w:p>
    <w:bookmarkStart w:id="2" w:name="page3"/>
    <w:bookmarkEnd w:id="2"/>
    <w:p>
      <w:pPr>
        <w:ind w:left="1200" w:right="8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January 13, 2022, the Company awarded its Chief Financial Officer, Brian Piekos, a one-time cash and equity bonus award, pursuant to which Mr. Piekos is eligible to receive a cash incentive of up to $212,625 upon achievement of certain corporate milestones and a restricted stock unit award relating to 280,876 shares of the Company’s common stock vesting on the one (1)-year anniversary of the date of grant.</w:t>
      </w:r>
    </w:p>
    <w:p>
      <w:pPr>
        <w:sectPr>
          <w:pgSz w:w="11900" w:h="16838" w:orient="portrait"/>
          <w:cols w:equalWidth="0" w:num="1">
            <w:col w:w="10800"/>
          </w:cols>
          <w:pgMar w:left="440" w:top="270" w:right="65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Meyenburg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2022</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2022-01-14T07:04:42Z</dcterms:created>
  <dcterms:modified xsi:type="dcterms:W3CDTF">2022-01-14T07:04:42Z</dcterms:modified>
</cp:coreProperties>
</file>