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Carey Robert</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08/11/2020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FS Development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FSDC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FS DEVELOPMENT CORP</w:t>
      </w:r>
    </w:p>
    <w:p>
      <w:pPr>
        <w:spacing w:after="0" w:line="93" w:lineRule="exact"/>
        <w:rPr>
          <w:sz w:val="24"/>
          <w:szCs w:val="24"/>
          <w:color w:val="auto"/>
        </w:rPr>
      </w:pPr>
    </w:p>
    <w:p>
      <w:pPr>
        <w:ind w:left="140" w:right="1597"/>
        <w:spacing w:after="0" w:line="269" w:lineRule="auto"/>
        <w:rPr>
          <w:sz w:val="20"/>
          <w:szCs w:val="20"/>
          <w:color w:val="auto"/>
        </w:rPr>
      </w:pPr>
      <w:r>
        <w:rPr>
          <w:rFonts w:ascii="Arial" w:cs="Arial" w:eastAsia="Arial" w:hAnsi="Arial"/>
          <w:sz w:val="20"/>
          <w:szCs w:val="20"/>
          <w:color w:val="0000FF"/>
        </w:rPr>
        <w:t>600 MONTGOMERY STREET, SUITE 4500</w:t>
      </w:r>
    </w:p>
    <w:p>
      <w:pPr>
        <w:spacing w:after="0" w:line="28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1577"/>
        <w:spacing w:after="0" w:line="186" w:lineRule="auto"/>
        <w:rPr>
          <w:sz w:val="20"/>
          <w:szCs w:val="20"/>
          <w:color w:val="auto"/>
        </w:rPr>
      </w:pPr>
      <w:r>
        <w:rPr>
          <w:rFonts w:ascii="Arial" w:cs="Arial" w:eastAsia="Arial" w:hAnsi="Arial"/>
          <w:sz w:val="38"/>
          <w:szCs w:val="38"/>
          <w:color w:val="0000FF"/>
          <w:vertAlign w:val="superscript"/>
        </w:rPr>
        <w:t>SAN</w:t>
      </w:r>
      <w:r>
        <w:rPr>
          <w:rFonts w:ascii="Arial" w:cs="Arial" w:eastAsia="Arial" w:hAnsi="Arial"/>
          <w:sz w:val="19"/>
          <w:szCs w:val="19"/>
          <w:color w:val="0000FF"/>
        </w:rPr>
        <w:t xml:space="preserve"> CA 94111 FRANCISCO</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4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4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82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82943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0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8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0" w:type="dxa"/>
            <w:vAlign w:val="bottom"/>
          </w:tcPr>
          <w:p>
            <w:pPr>
              <w:ind w:left="14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4"/>
                <w:szCs w:val="14"/>
                <w:color w:val="auto"/>
              </w:rPr>
            </w:pPr>
          </w:p>
        </w:tc>
        <w:tc>
          <w:tcPr>
            <w:tcW w:w="8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0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3060" w:type="dxa"/>
            <w:vAlign w:val="bottom"/>
            <w:vMerge w:val="restart"/>
          </w:tcPr>
          <w:p>
            <w:pPr>
              <w:ind w:left="80"/>
              <w:spacing w:after="0"/>
              <w:rPr>
                <w:sz w:val="20"/>
                <w:szCs w:val="20"/>
                <w:color w:val="auto"/>
              </w:rPr>
            </w:pPr>
            <w:r>
              <w:rPr>
                <w:rFonts w:ascii="Arial" w:cs="Arial" w:eastAsia="Arial" w:hAnsi="Arial"/>
                <w:sz w:val="20"/>
                <w:szCs w:val="20"/>
                <w:color w:val="0000FF"/>
              </w:rPr>
              <w:t>Class B Common Stock</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900" w:type="dxa"/>
            <w:vAlign w:val="bottom"/>
            <w:vMerge w:val="restart"/>
          </w:tcPr>
          <w:p>
            <w:pPr>
              <w:jc w:val="right"/>
              <w:ind w:right="309"/>
              <w:spacing w:after="0"/>
              <w:rPr>
                <w:sz w:val="20"/>
                <w:szCs w:val="20"/>
                <w:color w:val="auto"/>
              </w:rPr>
            </w:pPr>
            <w:r>
              <w:rPr>
                <w:rFonts w:ascii="Arial" w:cs="Arial" w:eastAsia="Arial" w:hAnsi="Arial"/>
                <w:sz w:val="13"/>
                <w:szCs w:val="13"/>
                <w:color w:val="008000"/>
              </w:rPr>
              <w:t>(1)</w:t>
            </w:r>
          </w:p>
        </w:tc>
        <w:tc>
          <w:tcPr>
            <w:tcW w:w="1780" w:type="dxa"/>
            <w:vAlign w:val="bottom"/>
          </w:tcPr>
          <w:p>
            <w:pPr>
              <w:ind w:left="220"/>
              <w:spacing w:after="0"/>
              <w:rPr>
                <w:sz w:val="20"/>
                <w:szCs w:val="20"/>
                <w:color w:val="auto"/>
              </w:rPr>
            </w:pPr>
            <w:r>
              <w:rPr>
                <w:rFonts w:ascii="Arial" w:cs="Arial" w:eastAsia="Arial" w:hAnsi="Arial"/>
                <w:sz w:val="20"/>
                <w:szCs w:val="20"/>
                <w:color w:val="0000FF"/>
                <w:w w:val="98"/>
              </w:rPr>
              <w:t>Class A Common</w:t>
            </w:r>
          </w:p>
        </w:tc>
        <w:tc>
          <w:tcPr>
            <w:tcW w:w="800" w:type="dxa"/>
            <w:vAlign w:val="bottom"/>
            <w:vMerge w:val="restart"/>
          </w:tcPr>
          <w:p>
            <w:pPr>
              <w:ind w:left="160"/>
              <w:spacing w:after="0"/>
              <w:rPr>
                <w:sz w:val="20"/>
                <w:szCs w:val="20"/>
                <w:color w:val="auto"/>
              </w:rPr>
            </w:pPr>
            <w:r>
              <w:rPr>
                <w:rFonts w:ascii="Arial" w:cs="Arial" w:eastAsia="Arial" w:hAnsi="Arial"/>
                <w:sz w:val="20"/>
                <w:szCs w:val="20"/>
                <w:color w:val="0000FF"/>
              </w:rPr>
              <w:t>30,000</w:t>
            </w:r>
          </w:p>
        </w:tc>
        <w:tc>
          <w:tcPr>
            <w:tcW w:w="980" w:type="dxa"/>
            <w:vAlign w:val="bottom"/>
            <w:vMerge w:val="restart"/>
          </w:tcPr>
          <w:p>
            <w:pPr>
              <w:ind w:left="440"/>
              <w:spacing w:after="0"/>
              <w:rPr>
                <w:sz w:val="20"/>
                <w:szCs w:val="20"/>
                <w:color w:val="auto"/>
              </w:rPr>
            </w:pPr>
            <w:r>
              <w:rPr>
                <w:rFonts w:ascii="Arial" w:cs="Arial" w:eastAsia="Arial" w:hAnsi="Arial"/>
                <w:sz w:val="20"/>
                <w:szCs w:val="20"/>
                <w:color w:val="0000FF"/>
              </w:rPr>
              <w:t>0</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80" w:type="dxa"/>
            <w:vAlign w:val="bottom"/>
            <w:vMerge w:val="restart"/>
          </w:tcPr>
          <w:p>
            <w:pPr>
              <w:ind w:left="700"/>
              <w:spacing w:after="0"/>
              <w:rPr>
                <w:sz w:val="20"/>
                <w:szCs w:val="20"/>
                <w:color w:val="auto"/>
              </w:rPr>
            </w:pPr>
            <w:r>
              <w:rPr>
                <w:rFonts w:ascii="Arial" w:cs="Arial" w:eastAsia="Arial" w:hAnsi="Arial"/>
                <w:sz w:val="20"/>
                <w:szCs w:val="20"/>
                <w:color w:val="0000FF"/>
              </w:rPr>
              <w:t>Stock</w:t>
            </w:r>
          </w:p>
        </w:tc>
        <w:tc>
          <w:tcPr>
            <w:tcW w:w="8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4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of Class B common stock will automatically convert into shares of Class A common stock at the time of the issuer's initial business combination or earlier at the option of the holder, on a one-for-one basis, subject to adjustment for stock splits, stock capitalizations, reorganizations, recapitalizations and the like, and certain anti-dilution rights and have no expiration date.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Dennis Ryan as</w:t>
            </w:r>
          </w:p>
        </w:tc>
        <w:tc>
          <w:tcPr>
            <w:tcW w:w="880" w:type="dxa"/>
            <w:vAlign w:val="bottom"/>
            <w:vMerge w:val="restart"/>
          </w:tcPr>
          <w:p>
            <w:pPr>
              <w:spacing w:after="0"/>
              <w:rPr>
                <w:sz w:val="20"/>
                <w:szCs w:val="20"/>
                <w:color w:val="auto"/>
              </w:rPr>
            </w:pPr>
            <w:r>
              <w:rPr>
                <w:rFonts w:ascii="Arial" w:cs="Arial" w:eastAsia="Arial" w:hAnsi="Arial"/>
                <w:sz w:val="20"/>
                <w:szCs w:val="20"/>
                <w:color w:val="0000FF"/>
                <w:w w:val="85"/>
              </w:rPr>
              <w:t>08/11/2020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4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w w:val="99"/>
              </w:rPr>
              <w:t>Attorney-in-Fact</w:t>
            </w:r>
          </w:p>
        </w:tc>
        <w:tc>
          <w:tcPr>
            <w:tcW w:w="74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LIMITED POWER OF ATTORNEY</w:t>
      </w:r>
    </w:p>
    <w:p>
      <w:pPr>
        <w:spacing w:after="0" w:line="254" w:lineRule="exact"/>
        <w:rPr>
          <w:sz w:val="20"/>
          <w:szCs w:val="20"/>
          <w:color w:val="auto"/>
        </w:rPr>
      </w:pPr>
    </w:p>
    <w:p>
      <w:pPr>
        <w:ind w:right="60" w:firstLine="720"/>
        <w:spacing w:after="0" w:line="277" w:lineRule="auto"/>
        <w:rPr>
          <w:sz w:val="20"/>
          <w:szCs w:val="20"/>
          <w:color w:val="auto"/>
        </w:rPr>
      </w:pPr>
      <w:r>
        <w:rPr>
          <w:rFonts w:ascii="Arial" w:cs="Arial" w:eastAsia="Arial" w:hAnsi="Arial"/>
          <w:sz w:val="20"/>
          <w:szCs w:val="20"/>
          <w:color w:val="auto"/>
        </w:rPr>
        <w:t>The undersigned hereby constitutes and appoints each of Jim Tananbaum and Dennis Ryan, signing singly, and with full power of substitution, the undersigned’s true and lawful attorney-in-fact to:</w:t>
      </w:r>
    </w:p>
    <w:p>
      <w:pPr>
        <w:spacing w:after="0" w:line="189" w:lineRule="exact"/>
        <w:rPr>
          <w:sz w:val="20"/>
          <w:szCs w:val="20"/>
          <w:color w:val="auto"/>
        </w:rPr>
      </w:pPr>
    </w:p>
    <w:p>
      <w:pPr>
        <w:ind w:right="60" w:firstLine="720"/>
        <w:spacing w:after="0" w:line="270" w:lineRule="auto"/>
        <w:tabs>
          <w:tab w:leader="none" w:pos="1004" w:val="left"/>
        </w:tabs>
        <w:numPr>
          <w:ilvl w:val="0"/>
          <w:numId w:val="6"/>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officer and/or director of FS Development Corp. (the “Company”), from time to time the following U.S. Securities and Exchange Commission (“SEC”) forms: (i) Form 3, Initial Statement of Beneficial Ownership of Securities, including any attached documents; (ii) Form 4, Statement of Changes in Beneficial Ownership of Securities, including any attached documents; (iii) Form 5, Annual Statement of Beneficial Ownership of Securities in accordance with Section 16(a) of the Securities Exchange Act of 1934, as amended, and the rules thereunder, including any attached documents; (iv) Schedules 13D and 13G; and (v) amendments of each thereof, in accordance with the Securities Exchange Act of 1934, as amended, and the rules thereunder, including any attached documents;</w:t>
      </w:r>
    </w:p>
    <w:p>
      <w:pPr>
        <w:spacing w:after="0" w:line="200" w:lineRule="exact"/>
        <w:rPr>
          <w:rFonts w:ascii="Arial" w:cs="Arial" w:eastAsia="Arial" w:hAnsi="Arial"/>
          <w:sz w:val="19"/>
          <w:szCs w:val="19"/>
          <w:color w:val="auto"/>
        </w:rPr>
      </w:pPr>
    </w:p>
    <w:p>
      <w:pPr>
        <w:ind w:right="60" w:firstLine="720"/>
        <w:spacing w:after="0" w:line="264" w:lineRule="auto"/>
        <w:tabs>
          <w:tab w:leader="none" w:pos="1004" w:val="left"/>
        </w:tabs>
        <w:numPr>
          <w:ilvl w:val="0"/>
          <w:numId w:val="6"/>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201" w:lineRule="exact"/>
        <w:rPr>
          <w:rFonts w:ascii="Arial" w:cs="Arial" w:eastAsia="Arial" w:hAnsi="Arial"/>
          <w:sz w:val="20"/>
          <w:szCs w:val="20"/>
          <w:color w:val="auto"/>
        </w:rPr>
      </w:pPr>
    </w:p>
    <w:p>
      <w:pPr>
        <w:ind w:firstLine="720"/>
        <w:spacing w:after="0" w:line="277" w:lineRule="auto"/>
        <w:tabs>
          <w:tab w:leader="none" w:pos="1004" w:val="left"/>
        </w:tabs>
        <w:numPr>
          <w:ilvl w:val="0"/>
          <w:numId w:val="6"/>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ind w:right="80" w:firstLine="720"/>
        <w:spacing w:after="0" w:line="253" w:lineRule="auto"/>
        <w:rPr>
          <w:sz w:val="20"/>
          <w:szCs w:val="20"/>
          <w:color w:val="auto"/>
        </w:rPr>
      </w:pPr>
      <w:r>
        <w:rPr>
          <w:rFonts w:ascii="Arial" w:cs="Arial" w:eastAsia="Arial" w:hAnsi="Arial"/>
          <w:sz w:val="20"/>
          <w:szCs w:val="20"/>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spacing w:after="0" w:line="217" w:lineRule="exact"/>
        <w:rPr>
          <w:sz w:val="20"/>
          <w:szCs w:val="20"/>
          <w:color w:val="auto"/>
        </w:rPr>
      </w:pPr>
    </w:p>
    <w:p>
      <w:pPr>
        <w:ind w:right="60" w:firstLine="720"/>
        <w:spacing w:after="0" w:line="274"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457200</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9"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August 11, 2020.</w:t>
      </w:r>
    </w:p>
    <w:p>
      <w:pPr>
        <w:spacing w:after="0" w:line="273"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/s/ Robert Carey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16510</wp:posOffset>
            </wp:positionV>
            <wp:extent cx="277304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73045" cy="19050"/>
                    </a:xfrm>
                    <a:prstGeom prst="rect">
                      <a:avLst/>
                    </a:prstGeom>
                    <a:noFill/>
                  </pic:spPr>
                </pic:pic>
              </a:graphicData>
            </a:graphic>
          </wp:anchor>
        </w:drawing>
      </w:r>
    </w:p>
    <w:p>
      <w:pPr>
        <w:spacing w:after="0" w:line="20"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Signature</w:t>
      </w:r>
    </w:p>
    <w:p>
      <w:pPr>
        <w:spacing w:after="0" w:line="250"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Robert Carey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16510</wp:posOffset>
            </wp:positionV>
            <wp:extent cx="277304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73045" cy="19050"/>
                    </a:xfrm>
                    <a:prstGeom prst="rect">
                      <a:avLst/>
                    </a:prstGeom>
                    <a:noFill/>
                  </pic:spPr>
                </pic:pic>
              </a:graphicData>
            </a:graphic>
          </wp:anchor>
        </w:drawing>
      </w:r>
    </w:p>
    <w:p>
      <w:pPr>
        <w:spacing w:after="0" w:line="20"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474345</wp:posOffset>
            </wp:positionV>
            <wp:extent cx="694690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9340"/>
      </w:cols>
      <w:pgMar w:left="1200" w:top="994"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cgi-bin/browse-edgar?action=getcompany&amp;CIK=0001602064" TargetMode="External"/><Relationship Id="rId11"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2020-08-11T20:36:28Z</dcterms:created>
  <dcterms:modified xsi:type="dcterms:W3CDTF">2020-08-11T20:36:28Z</dcterms:modified>
</cp:coreProperties>
</file>