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9387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878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660"/>
        <w:spacing w:after="0" w:line="346"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520" w:type="dxa"/>
            <w:vAlign w:val="bottom"/>
            <w:tcBorders>
              <w:top w:val="single" w:sz="8" w:color="0000EE"/>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20"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2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Amount of</w:t>
            </w:r>
          </w:p>
        </w:tc>
        <w:tc>
          <w:tcPr>
            <w:tcW w:w="130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12/18/2023</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1,724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w:t>
            </w:r>
          </w:p>
        </w:tc>
        <w:tc>
          <w:tcPr>
            <w:tcW w:w="780" w:type="dxa"/>
            <w:vAlign w:val="bottom"/>
            <w:tcBorders>
              <w:bottom w:val="single" w:sz="8" w:color="2C2C2C"/>
            </w:tcBorders>
            <w:gridSpan w:val="2"/>
          </w:tcPr>
          <w:p>
            <w:pPr>
              <w:jc w:val="center"/>
              <w:ind w:left="240"/>
              <w:spacing w:after="0"/>
              <w:rPr>
                <w:sz w:val="20"/>
                <w:szCs w:val="20"/>
                <w:color w:val="auto"/>
              </w:rPr>
            </w:pPr>
            <w:r>
              <w:rPr>
                <w:rFonts w:ascii="Times New Roman" w:cs="Times New Roman" w:eastAsia="Times New Roman" w:hAnsi="Times New Roman"/>
                <w:sz w:val="17"/>
                <w:szCs w:val="17"/>
                <w:color w:val="0000FF"/>
                <w:w w:val="99"/>
              </w:rPr>
              <w:t>1,724</w:t>
            </w: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12/18/2023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1,724</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59.24</w:t>
            </w:r>
          </w:p>
        </w:tc>
        <w:tc>
          <w:tcPr>
            <w:tcW w:w="780" w:type="dxa"/>
            <w:vAlign w:val="bottom"/>
            <w:gridSpan w:val="2"/>
          </w:tcPr>
          <w:p>
            <w:pPr>
              <w:jc w:val="center"/>
              <w:ind w:left="260"/>
              <w:spacing w:after="0"/>
              <w:rPr>
                <w:sz w:val="20"/>
                <w:szCs w:val="20"/>
                <w:color w:val="auto"/>
              </w:rPr>
            </w:pPr>
            <w:r>
              <w:rPr>
                <w:rFonts w:ascii="Times New Roman" w:cs="Times New Roman" w:eastAsia="Times New Roman" w:hAnsi="Times New Roman"/>
                <w:sz w:val="17"/>
                <w:szCs w:val="17"/>
                <w:color w:val="0000FF"/>
                <w:w w:val="93"/>
              </w:rPr>
              <w:t>0</w:t>
            </w:r>
          </w:p>
        </w:tc>
        <w:tc>
          <w:tcPr>
            <w:tcW w:w="740" w:type="dxa"/>
            <w:vAlign w:val="bottom"/>
          </w:tcPr>
          <w:p>
            <w:pPr>
              <w:spacing w:after="0"/>
              <w:rPr>
                <w:sz w:val="22"/>
                <w:szCs w:val="22"/>
                <w:color w:val="auto"/>
              </w:rPr>
            </w:pPr>
          </w:p>
        </w:tc>
        <w:tc>
          <w:tcPr>
            <w:tcW w:w="56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580,207</w:t>
            </w:r>
          </w:p>
        </w:tc>
        <w:tc>
          <w:tcPr>
            <w:tcW w:w="560" w:type="dxa"/>
            <w:vAlign w:val="bottom"/>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897,625</w:t>
            </w:r>
          </w:p>
        </w:tc>
        <w:tc>
          <w:tcPr>
            <w:tcW w:w="560" w:type="dxa"/>
            <w:vAlign w:val="bottom"/>
            <w:tcBorders>
              <w:top w:val="single" w:sz="8" w:color="2C2C2C"/>
            </w:tcBorders>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41"/>
              <w:spacing w:after="0"/>
              <w:rPr>
                <w:sz w:val="20"/>
                <w:szCs w:val="20"/>
                <w:color w:val="auto"/>
              </w:rPr>
            </w:pPr>
            <w:r>
              <w:rPr>
                <w:rFonts w:ascii="Times New Roman" w:cs="Times New Roman" w:eastAsia="Times New Roman" w:hAnsi="Times New Roman"/>
                <w:sz w:val="17"/>
                <w:szCs w:val="17"/>
                <w:color w:val="0000FF"/>
              </w:rPr>
              <w:t>224,405</w:t>
            </w:r>
          </w:p>
        </w:tc>
        <w:tc>
          <w:tcPr>
            <w:tcW w:w="560" w:type="dxa"/>
            <w:vAlign w:val="bottom"/>
            <w:tcBorders>
              <w:top w:val="single" w:sz="8" w:color="2C2C2C"/>
            </w:tcBorders>
            <w:vMerge w:val="restart"/>
          </w:tcPr>
          <w:p>
            <w:pPr>
              <w:jc w:val="center"/>
              <w:ind w:right="39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(4)(5)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20" w:type="dxa"/>
            <w:vAlign w:val="bottom"/>
            <w:gridSpan w:val="15"/>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00" w:type="dxa"/>
            <w:vAlign w:val="bottom"/>
            <w:gridSpan w:val="11"/>
          </w:tcPr>
          <w:p>
            <w:pPr>
              <w:ind w:left="6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12/18/2023</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1,724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10/03/2031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1,724</w:t>
            </w:r>
          </w:p>
        </w:tc>
        <w:tc>
          <w:tcPr>
            <w:tcW w:w="780" w:type="dxa"/>
            <w:vAlign w:val="bottom"/>
            <w:gridSpan w:val="2"/>
          </w:tcPr>
          <w:p>
            <w:pPr>
              <w:jc w:val="right"/>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0000FF"/>
                <w:w w:val="74"/>
              </w:rPr>
              <w:t>D</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0000EE"/>
            </w:tcBorders>
            <w:gridSpan w:val="4"/>
          </w:tcPr>
          <w:p>
            <w:pPr>
              <w:spacing w:after="0" w:line="222"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ORBIMED ADVISORS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10022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-4573905</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54TH FLOOR</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4"/>
          </w:tcPr>
          <w:p>
            <w:pPr>
              <w:spacing w:after="0" w:line="222"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OrbiMed Capital GP VIII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22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4"/>
          </w:tcPr>
          <w:p>
            <w:pPr>
              <w:spacing w:after="0" w:line="222"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Genesis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-4025265</wp:posOffset>
            </wp:positionV>
            <wp:extent cx="2812415" cy="4102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2415" cy="410273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right="60" w:firstLine="3"/>
        <w:spacing w:after="0" w:line="23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granted to Carl L. Gordon ("Gordon") on October 4, 2021 by Gemini Therapeutics, Inc. ("Gemini"). On December 29, 2022, Gemstone Merger Sub, Inc., a wholly owned subsidiary of Gemini, merged with and into Disc Medicine Opco, Inc. ("Disc"), with Disc continuing as a wholly owned subsidiary of Gemini and the surviving corporation of the merger. In connection with the merger, Disc changed its name to Disc Medicine, Inc. Gordon is a member of OrbiMed Advisors LLC ("OrbiMed Advisors") and was a member of Gemini's board of directors. Pursuant to an agreement with OrbiMed Advisors, Gordon assigned these stock options to OrbiMed Advisors.</w:t>
      </w:r>
    </w:p>
    <w:p>
      <w:pPr>
        <w:spacing w:after="0" w:line="27" w:lineRule="exact"/>
        <w:rPr>
          <w:rFonts w:ascii="Times New Roman" w:cs="Times New Roman" w:eastAsia="Times New Roman" w:hAnsi="Times New Roman"/>
          <w:sz w:val="13"/>
          <w:szCs w:val="13"/>
          <w:color w:val="008000"/>
        </w:rPr>
      </w:pPr>
    </w:p>
    <w:p>
      <w:pPr>
        <w:ind w:left="20" w:right="40" w:firstLine="3"/>
        <w:spacing w:after="0" w:line="23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7" w:lineRule="exact"/>
        <w:rPr>
          <w:rFonts w:ascii="Times New Roman" w:cs="Times New Roman" w:eastAsia="Times New Roman" w:hAnsi="Times New Roman"/>
          <w:sz w:val="13"/>
          <w:szCs w:val="13"/>
          <w:color w:val="008000"/>
        </w:rPr>
      </w:pPr>
    </w:p>
    <w:p>
      <w:pPr>
        <w:ind w:left="20" w:right="180" w:firstLine="3"/>
        <w:spacing w:after="0" w:line="23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7" w:lineRule="exact"/>
        <w:rPr>
          <w:rFonts w:ascii="Times New Roman" w:cs="Times New Roman" w:eastAsia="Times New Roman" w:hAnsi="Times New Roman"/>
          <w:sz w:val="13"/>
          <w:szCs w:val="13"/>
          <w:color w:val="008000"/>
        </w:rPr>
      </w:pPr>
    </w:p>
    <w:p>
      <w:pPr>
        <w:ind w:left="20" w:right="20" w:firstLine="3"/>
        <w:spacing w:after="0" w:line="23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7" w:lineRule="exact"/>
        <w:rPr>
          <w:rFonts w:ascii="Times New Roman" w:cs="Times New Roman" w:eastAsia="Times New Roman" w:hAnsi="Times New Roman"/>
          <w:sz w:val="13"/>
          <w:szCs w:val="13"/>
          <w:color w:val="008000"/>
        </w:rPr>
      </w:pPr>
    </w:p>
    <w:p>
      <w:pPr>
        <w:ind w:left="20" w:firstLine="3"/>
        <w:spacing w:after="0" w:line="23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pacing w:after="0" w:line="27"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vested on October 4, 2022.</w:t>
      </w:r>
    </w:p>
    <w:p>
      <w:pPr>
        <w:sectPr>
          <w:pgSz w:w="11900" w:h="16838" w:orient="portrait"/>
          <w:cols w:equalWidth="0" w:num="1">
            <w:col w:w="10900"/>
          </w:cols>
          <w:pgMar w:left="480" w:top="128" w:right="519" w:bottom="1440" w:gutter="0" w:footer="0" w:header="0"/>
        </w:sectPr>
      </w:pP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036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1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220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 of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-7620</wp:posOffset>
            </wp:positionV>
            <wp:extent cx="1336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842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18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220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 of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-7620</wp:posOffset>
            </wp:positionV>
            <wp:extent cx="1336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Capital GP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913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18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220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 of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-7620</wp:posOffset>
            </wp:positionV>
            <wp:extent cx="13366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732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80" w:space="100"/>
            <w:col w:w="2120"/>
          </w:cols>
          <w:pgMar w:left="480" w:top="128"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380" w:firstLine="3"/>
        <w:spacing w:after="0" w:line="338"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682115" TargetMode="External"/><Relationship Id="rId16" Type="http://schemas.openxmlformats.org/officeDocument/2006/relationships/hyperlink" Target="http://www.sec.gov/cgi-bin/browse-edgar?action=getcompany&amp;CIK=0001845804" TargetMode="External"/><Relationship Id="rId17"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2023-12-20T17:30:46Z</dcterms:created>
  <dcterms:modified xsi:type="dcterms:W3CDTF">2023-12-20T17:30:46Z</dcterms:modified>
</cp:coreProperties>
</file>