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tabs>
          <w:tab w:leader="none" w:pos="240" w:val="left"/>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tab/>
        <w:t>n/a</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3785235</wp:posOffset>
            </wp:positionH>
            <wp:positionV relativeFrom="paragraph">
              <wp:posOffset>-12065</wp:posOffset>
            </wp:positionV>
            <wp:extent cx="497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254604 101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480" w:hanging="247"/>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520" w:hanging="287"/>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52" w:lineRule="exact"/>
        <w:rPr>
          <w:sz w:val="24"/>
          <w:szCs w:val="24"/>
          <w:color w:val="auto"/>
        </w:rPr>
      </w:pPr>
    </w:p>
    <w:p>
      <w:pPr>
        <w:ind w:left="480" w:hanging="247"/>
        <w:spacing w:after="0"/>
        <w:tabs>
          <w:tab w:leader="none" w:pos="480" w:val="left"/>
        </w:tabs>
        <w:numPr>
          <w:ilvl w:val="1"/>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52" w:lineRule="exact"/>
        <w:rPr>
          <w:rFonts w:ascii="Wingdings" w:cs="Wingdings" w:eastAsia="Wingdings" w:hAnsi="Wingdings"/>
          <w:sz w:val="18"/>
          <w:szCs w:val="18"/>
          <w:b w:val="1"/>
          <w:bCs w:val="1"/>
          <w:color w:val="auto"/>
        </w:rPr>
      </w:pPr>
    </w:p>
    <w:p>
      <w:pPr>
        <w:spacing w:after="0" w:line="282"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1"/>
        </w:trPr>
        <w:tc>
          <w:tcPr>
            <w:tcW w:w="820" w:type="dxa"/>
            <w:vAlign w:val="bottom"/>
            <w:tcBorders>
              <w:right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CUSIP</w:t>
            </w:r>
          </w:p>
        </w:tc>
        <w:tc>
          <w:tcPr>
            <w:tcW w:w="1120" w:type="dxa"/>
            <w:vAlign w:val="bottom"/>
            <w:tcBorders>
              <w:top w:val="single" w:sz="8" w:color="auto"/>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254604 101</w:t>
            </w:r>
          </w:p>
        </w:tc>
        <w:tc>
          <w:tcPr>
            <w:tcW w:w="0" w:type="dxa"/>
            <w:vAlign w:val="bottom"/>
          </w:tcPr>
          <w:p>
            <w:pPr>
              <w:spacing w:after="0"/>
              <w:rPr>
                <w:sz w:val="1"/>
                <w:szCs w:val="1"/>
                <w:color w:val="auto"/>
              </w:rPr>
            </w:pPr>
          </w:p>
        </w:tc>
      </w:tr>
      <w:tr>
        <w:trPr>
          <w:trHeight w:val="126"/>
        </w:trPr>
        <w:tc>
          <w:tcPr>
            <w:tcW w:w="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2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2117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1170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1</w:t>
            </w: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106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BML Investment Partners, L.P.</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2</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0220" w:type="dxa"/>
            <w:vAlign w:val="bottom"/>
          </w:tcPr>
          <w:p>
            <w:pPr>
              <w:ind w:left="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0220" w:type="dxa"/>
            <w:vAlign w:val="bottom"/>
            <w:tcBorders>
              <w:bottom w:val="single" w:sz="8" w:color="auto"/>
            </w:tcBorders>
          </w:tcPr>
          <w:p>
            <w:pPr>
              <w:ind w:left="8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500000</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8"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Wingdings" w:cs="Wingdings" w:eastAsia="Wingdings" w:hAnsi="Wingdings"/>
          <w:sz w:val="23"/>
          <w:szCs w:val="23"/>
          <w:b w:val="1"/>
          <w:bCs w:val="1"/>
          <w:color w:val="auto"/>
          <w:vertAlign w:val="subscript"/>
        </w:rPr>
        <w:t>o</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2.95%</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PN</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79" w:lineRule="exact"/>
        <w:rPr>
          <w:sz w:val="20"/>
          <w:szCs w:val="20"/>
          <w:color w:val="auto"/>
        </w:rPr>
      </w:pPr>
    </w:p>
    <w:p>
      <w:pPr>
        <w:ind w:left="760" w:right="220"/>
        <w:spacing w:after="0" w:line="282" w:lineRule="auto"/>
        <w:rPr>
          <w:sz w:val="20"/>
          <w:szCs w:val="20"/>
          <w:color w:val="auto"/>
        </w:rPr>
      </w:pPr>
      <w:r>
        <w:rPr>
          <w:rFonts w:ascii="Times New Roman" w:cs="Times New Roman" w:eastAsia="Times New Roman" w:hAnsi="Times New Roman"/>
          <w:sz w:val="18"/>
          <w:szCs w:val="18"/>
          <w:color w:val="auto"/>
        </w:rPr>
        <w:t>Percent of class is calculated based on 16,923,285 shares of the Common Stock of the Issuer outstanding as of December 29, 2022, as reported by the Issuer in the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1"/>
        </w:trPr>
        <w:tc>
          <w:tcPr>
            <w:tcW w:w="820" w:type="dxa"/>
            <w:vAlign w:val="bottom"/>
            <w:tcBorders>
              <w:right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CUSIP</w:t>
            </w:r>
          </w:p>
        </w:tc>
        <w:tc>
          <w:tcPr>
            <w:tcW w:w="1120" w:type="dxa"/>
            <w:vAlign w:val="bottom"/>
            <w:tcBorders>
              <w:top w:val="single" w:sz="8" w:color="auto"/>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254604 101</w:t>
            </w:r>
          </w:p>
        </w:tc>
        <w:tc>
          <w:tcPr>
            <w:tcW w:w="0" w:type="dxa"/>
            <w:vAlign w:val="bottom"/>
          </w:tcPr>
          <w:p>
            <w:pPr>
              <w:spacing w:after="0"/>
              <w:rPr>
                <w:sz w:val="1"/>
                <w:szCs w:val="1"/>
                <w:color w:val="auto"/>
              </w:rPr>
            </w:pPr>
          </w:p>
        </w:tc>
      </w:tr>
      <w:tr>
        <w:trPr>
          <w:trHeight w:val="126"/>
        </w:trPr>
        <w:tc>
          <w:tcPr>
            <w:tcW w:w="8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2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2117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1170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1</w:t>
            </w: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106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Braden M Leonard</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2</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0220" w:type="dxa"/>
            <w:vAlign w:val="bottom"/>
          </w:tcPr>
          <w:p>
            <w:pPr>
              <w:ind w:left="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0220" w:type="dxa"/>
            <w:vAlign w:val="bottom"/>
            <w:tcBorders>
              <w:bottom w:val="single" w:sz="8" w:color="auto"/>
            </w:tcBorders>
          </w:tcPr>
          <w:p>
            <w:pPr>
              <w:ind w:left="80"/>
              <w:spacing w:after="0"/>
              <w:rPr>
                <w:sz w:val="20"/>
                <w:szCs w:val="20"/>
                <w:color w:val="auto"/>
              </w:rPr>
            </w:pPr>
            <w:r>
              <w:rPr>
                <w:rFonts w:ascii="Wingdings" w:cs="Wingdings" w:eastAsia="Wingdings" w:hAnsi="Wingdings"/>
                <w:sz w:val="18"/>
                <w:szCs w:val="18"/>
                <w:b w:val="1"/>
                <w:bCs w:val="1"/>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United States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24750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24750</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97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7"/>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524750</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8"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Wingdings" w:cs="Wingdings" w:eastAsia="Wingdings" w:hAnsi="Wingdings"/>
          <w:sz w:val="23"/>
          <w:szCs w:val="23"/>
          <w:b w:val="1"/>
          <w:bCs w:val="1"/>
          <w:color w:val="auto"/>
          <w:vertAlign w:val="subscript"/>
        </w:rPr>
        <w:t>o</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3.1%</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N/A</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79" w:lineRule="exact"/>
        <w:rPr>
          <w:sz w:val="20"/>
          <w:szCs w:val="20"/>
          <w:color w:val="auto"/>
        </w:rPr>
      </w:pPr>
    </w:p>
    <w:p>
      <w:pPr>
        <w:ind w:left="760" w:right="220"/>
        <w:spacing w:after="0" w:line="282" w:lineRule="auto"/>
        <w:rPr>
          <w:sz w:val="20"/>
          <w:szCs w:val="20"/>
          <w:color w:val="auto"/>
        </w:rPr>
      </w:pPr>
      <w:r>
        <w:rPr>
          <w:rFonts w:ascii="Times New Roman" w:cs="Times New Roman" w:eastAsia="Times New Roman" w:hAnsi="Times New Roman"/>
          <w:sz w:val="18"/>
          <w:szCs w:val="18"/>
          <w:color w:val="auto"/>
        </w:rPr>
        <w:t>Percent of class is calculated based on 16,923,285 shares of the Common Stock of the Issuer outstanding as of December 29, 2022, as reported by the Issuer in the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1300" w:right="848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Disc Medicine, Inc.</w:t>
      </w:r>
    </w:p>
    <w:p>
      <w:pPr>
        <w:spacing w:after="0" w:line="166"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ONE KENDALL SQUARE, 3RD FLOOR, CAMBRIDGE, MA, 02139</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BML Investment Partners, L.P.</w:t>
      </w:r>
    </w:p>
    <w:p>
      <w:pPr>
        <w:spacing w:after="0" w:line="233"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65 E Cedar - Suite 2</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Zionsville, IN 46077</w:t>
      </w:r>
    </w:p>
    <w:p>
      <w:pPr>
        <w:spacing w:after="0" w:line="233"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166" w:lineRule="exact"/>
        <w:rPr>
          <w:rFonts w:ascii="Times New Roman" w:cs="Times New Roman" w:eastAsia="Times New Roman" w:hAnsi="Times New Roman"/>
          <w:sz w:val="17"/>
          <w:szCs w:val="17"/>
          <w:color w:val="auto"/>
        </w:rPr>
      </w:pPr>
    </w:p>
    <w:p>
      <w:pPr>
        <w:ind w:left="1300" w:right="798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88"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254604 101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 240.13d-1(b)(1)(ii)(G);</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 of 1940 (15 U.S.C. 80a-3);</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group, in accordance with § 240.13d-1(b)(1)(ii)(K). If filing as a non-U.S. institution in accordance with § 240.13d-1(b)(1)(ii)</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524,750</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3.10%</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24,750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500,000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24,750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500,000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p>
    <w:p>
      <w:pPr>
        <w:spacing w:after="0" w:line="17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On December 29, 2022, the Company completed its business combination with Disc Medicine Opco, Inc. (formerly Disc Medicine, Inc.) (“Disc”) in accordance with the terms of the Agreement and Plan of Merger and Reorganization, dated as of August 9, 2022 (the “Merger Agreement”), by and among the Company, Disc and Gemstone Merger Sub, Inc., a Delaware corporation and a wholly owned subsidiary of the Company (“Merger Sub”), pursuant to which, among other matters, Merger Sub merged with and into Disc, with Disc continuing as a wholly owned subsidiary of the Company and the surviving corporation of the merger (the “Merger”). In addition, on December 29, 2022, the Company effected a 1-for-10 reverse stock split of its common stock and implemented a reduction in the number of authorized shares of common stock to 100,000,000. In connection with the Merger, the Company changed its name to “Disc Medicine, Inc.” Following the completion of the Merger, the business conducted by the Company became primarily the business conducted by Disc.</w:t>
      </w:r>
    </w:p>
    <w:p>
      <w:pPr>
        <w:spacing w:after="0" w:line="210"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This Amendment is being filed to report that on December 29, 2022, as a result of the completion of the foregoing Merger and Share Issuance, each of the Reporting Persons ceased to be the beneficial owner of more than five percent of the outstanding Common Stock of the Issuer.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right="1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BML Capital Management, LLC</w:t>
      </w:r>
    </w:p>
    <w:p>
      <w:pPr>
        <w:sectPr>
          <w:pgSz w:w="11900" w:h="16838" w:orient="portrait"/>
          <w:cols w:equalWidth="0" w:num="1">
            <w:col w:w="11200"/>
          </w:cols>
          <w:pgMar w:left="320" w:top="752" w:right="37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09, 2023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Braden M Leonard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Braden M Leonard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ectPr>
          <w:pgSz w:w="11900" w:h="16838" w:orient="portrait"/>
          <w:cols w:equalWidth="0" w:num="3">
            <w:col w:w="4920" w:space="720"/>
            <w:col w:w="260" w:space="80"/>
            <w:col w:w="5220"/>
          </w:cols>
          <w:pgMar w:left="320" w:top="75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09,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Braden M Leonard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Braden M Leonard</w:t>
      </w:r>
    </w:p>
    <w:p>
      <w:pPr>
        <w:spacing w:after="0" w:line="200" w:lineRule="exact"/>
        <w:rPr>
          <w:sz w:val="20"/>
          <w:szCs w:val="20"/>
          <w:color w:val="auto"/>
        </w:rPr>
      </w:pPr>
    </w:p>
    <w:p>
      <w:pPr>
        <w:sectPr>
          <w:pgSz w:w="11900" w:h="16838" w:orient="portrait"/>
          <w:cols w:equalWidth="0" w:num="3">
            <w:col w:w="4920" w:space="720"/>
            <w:col w:w="260" w:space="80"/>
            <w:col w:w="5220"/>
          </w:cols>
          <w:pgMar w:left="320" w:top="752" w:right="37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ind w:left="860" w:hanging="8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Footnotes: </w:t>
      </w:r>
      <w:r>
        <w:rPr>
          <w:rFonts w:ascii="Times New Roman" w:cs="Times New Roman" w:eastAsia="Times New Roman" w:hAnsi="Times New Roman"/>
          <w:sz w:val="18"/>
          <w:szCs w:val="18"/>
          <w:color w:val="auto"/>
        </w:rPr>
        <w:t>BML Investment Partners, L.P. is a Delaware limited partnership whose sole general partner is BML Capital Management, LLC. The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BML Capital Management, LLC is Braden M.Leonard. As a result, Braden M.Leonard is deemed to be the indirect owner of the shares held directly by BML Investment Partners, L.P. Despite such shared beneficial ownership, the reporting persons disclaim that they constitute a statutory group within the meaning of Rule 13d-5(b) (1) of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200"/>
      </w:cols>
      <w:pgMar w:left="320" w:top="75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x"/>
      <w:numFmt w:val="bullet"/>
      <w:start w:val="1"/>
    </w:lvl>
  </w:abstractNum>
  <w:abstractNum w:abstractNumId="2">
    <w:nsid w:val="41B71EFB"/>
    <w:multiLevelType w:val="hybridMultilevel"/>
    <w:lvl w:ilvl="0">
      <w:lvlJc w:val="left"/>
      <w:lvlText w:val="*"/>
      <w:numFmt w:val="bullet"/>
      <w:start w:val="1"/>
    </w:lvl>
    <w:lvl w:ilvl="1">
      <w:lvlJc w:val="left"/>
      <w:lvlText w:val="o"/>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2023-01-09T11:31:04Z</dcterms:created>
  <dcterms:modified xsi:type="dcterms:W3CDTF">2023-01-09T11:31:04Z</dcterms:modified>
</cp:coreProperties>
</file>