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928370</wp:posOffset>
            </wp:positionH>
            <wp:positionV relativeFrom="page">
              <wp:posOffset>1117600</wp:posOffset>
            </wp:positionV>
            <wp:extent cx="57003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149860</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160020</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280" w:hanging="265"/>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280" w:hanging="265"/>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44" w:lineRule="exact"/>
        <w:rPr>
          <w:rFonts w:ascii="MS PGothic" w:cs="MS PGothic" w:eastAsia="MS PGothic" w:hAnsi="MS PGothic"/>
          <w:sz w:val="18"/>
          <w:szCs w:val="18"/>
          <w:color w:val="auto"/>
        </w:rPr>
      </w:pPr>
    </w:p>
    <w:p>
      <w:pPr>
        <w:ind w:left="280" w:hanging="265"/>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280" w:hanging="265"/>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570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42"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-125095</wp:posOffset>
            </wp:positionV>
            <wp:extent cx="5700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280" w:hanging="265"/>
        <w:spacing w:after="0"/>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280" w:hanging="265"/>
        <w:spacing w:after="0"/>
        <w:tabs>
          <w:tab w:leader="none" w:pos="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280" w:hanging="265"/>
        <w:spacing w:after="0"/>
        <w:tabs>
          <w:tab w:leader="none" w:pos="2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1204595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171450</wp:posOffset>
            </wp:positionV>
            <wp:extent cx="57003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1049020</wp:posOffset>
            </wp:positionV>
            <wp:extent cx="2014220"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1422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18,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or Annual Meeting, of Disc Medicine, Inc., will be held on June 18, 2026 at 9:00 A.M. Eastern Time. The Annual Meeting will be a completely virtual meeting, which will be conducted by live webcast at www.virtualshareholdermeeting.com/IRON2026.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purpose of the Annual Meeting is the following:</w:t>
      </w:r>
    </w:p>
    <w:p>
      <w:pPr>
        <w:spacing w:after="0" w:line="75"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III directors to our board of directors, to serve until the 2029 annual meeting of stockholders and until their successors have been duly elected and qualified, or until their earlier death, resignation or removal;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to our named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three Class III directors nominated by the board of directors.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Only Disc Medicine, Inc. stockholders of record at the close of business on April 22, 2026 will be entitled to vote at the Annual Meeting and any adjournment or postponement thereof.</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find more information on each of the matters to be voted on at the Annual Meeting, including information regarding the nominees for election to our board of directors, in the accompanying Proxy Statement. Our board of directors recommends a vote “FOR” the election of the three nominees for Class III directors, “FOR” the approval, on a non-binding, advisory basis, of the compensation paid to our named executive officers, and “FOR” the ratification of the appointment of the Company’s independent registered public accounting firm for the fiscal year ending December 31, 2026.</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 Medicine,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2025, or 2025 Annual Report. The Notice contains instructions on how to access both the 2025 Annual Report and accompanying proxy statement over the Internet. This method provides our stockholders with expedited access to proxy materials, lowers the cost of printing and distribution, and reduces the environmental impact of the Annual Meeting. If you would like to receive a print version of the proxy materials, free of charge, please follow the instructions on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the “General Information” section of the proxy statement that accompanies this notice for more details regarding the logistics of the Annual Meeting.</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virtual meeting, by submitting your proxy via the Internet at the address listed on the proxy card or by signing, dating and returning the proxy card. Even if you have voted by proxy, you may still vote online during the virtual meeting. Please note, however, that if your shares are held through a broker, bank or other nominee and you wish to vote at the virtual meeting, you must obtain a proxy issued in your name from that record holder.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886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PROXY STATEMENT FOR THE 2026 ANNUAL MEETING OF STOCKHOLDERS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5"/>
        </w:trPr>
        <w:tc>
          <w:tcPr>
            <w:tcW w:w="6320" w:type="dxa"/>
            <w:vAlign w:val="bottom"/>
            <w:tcBorders>
              <w:top w:val="single" w:sz="8" w:color="0000FF"/>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GENERAL INFORMATION</w:t>
            </w:r>
          </w:p>
        </w:tc>
        <w:tc>
          <w:tcPr>
            <w:tcW w:w="4360" w:type="dxa"/>
            <w:vAlign w:val="bottom"/>
            <w:tcBorders>
              <w:top w:val="single" w:sz="8" w:color="CCEEFF"/>
            </w:tcBorders>
            <w:gridSpan w:val="3"/>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PROPOSAL NO. 1 – ELECTION OF CLASS III DIRECTORS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76"/>
        </w:trPr>
        <w:tc>
          <w:tcPr>
            <w:tcW w:w="4620" w:type="dxa"/>
            <w:vAlign w:val="bottom"/>
            <w:tcBorders>
              <w:top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CORPORATE GOVERNANCE</w:t>
            </w:r>
          </w:p>
        </w:tc>
        <w:tc>
          <w:tcPr>
            <w:tcW w:w="6060" w:type="dxa"/>
            <w:vAlign w:val="bottom"/>
            <w:tcBorders>
              <w:top w:val="single" w:sz="8" w:color="CCEEFF"/>
            </w:tcBorders>
            <w:gridSpan w:val="6"/>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EXECUTIVE OFFICERS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820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75"/>
        </w:trPr>
        <w:tc>
          <w:tcPr>
            <w:tcW w:w="106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1"/>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PROPOSAL NO. 2 – ADVISORY VOTE ON EXECUTIVE COMPENSATION</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
        </w:trPr>
        <w:tc>
          <w:tcPr>
            <w:tcW w:w="1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60" w:type="dxa"/>
            <w:vAlign w:val="bottom"/>
            <w:tcBorders>
              <w:bottom w:val="single" w:sz="8" w:color="0000FF"/>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PROPOSAL NO. 3 – RATIFICATION OF THE APPOINTMENT OF ERNST &amp; YOUNG LLP AS DISC MEDICINE, INC.’S INDEPENDENT</w:t>
            </w:r>
          </w:p>
        </w:tc>
        <w:tc>
          <w:tcPr>
            <w:tcW w:w="12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128"/>
        </w:trPr>
        <w:tc>
          <w:tcPr>
            <w:tcW w:w="10680" w:type="dxa"/>
            <w:vAlign w:val="bottom"/>
            <w:gridSpan w:val="1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 FOR THE FISCAL YEAR ENDING DECEMBER 31, 2026</w:t>
            </w: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680" w:type="dxa"/>
            <w:vAlign w:val="bottom"/>
            <w:gridSpan w:val="18"/>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Borders>
              <w:bottom w:val="single" w:sz="8" w:color="0000FF"/>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510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175"/>
        </w:trPr>
        <w:tc>
          <w:tcPr>
            <w:tcW w:w="106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1"/>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PRINCIPAL STOCKHOLDERS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21"/>
        </w:trPr>
        <w:tc>
          <w:tcPr>
            <w:tcW w:w="1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HOUSEHOLDING</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STOCKHOLDER PROPOSALS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0"/>
        </w:trPr>
        <w:tc>
          <w:tcPr>
            <w:tcW w:w="1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MATTERS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1883"/>
        </w:trPr>
        <w:tc>
          <w:tcPr>
            <w:tcW w:w="14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9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620" w:type="dxa"/>
            <w:vAlign w:val="bottom"/>
            <w:tcBorders>
              <w:top w:val="single" w:sz="8" w:color="CCEEFF"/>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1049020</wp:posOffset>
            </wp:positionV>
            <wp:extent cx="2271395" cy="882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7139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18, 2026</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Disc Medicine, Inc., which will be held on June 18, 2026 at 9:00 A.M. Eastern Time. The Annual Meeting will be a completely virtual meeting, which will be conducted by live webcast at www.virtualshareholdermeeting.com/IRON2026. There will be no physical meeting location. You will be able to vote electronically and submit questions during the virtual meeting. You will need the 16 digit control number, which is located on the Notice of Internet Availability of Proxy Materials, or the Notice, that you received in the mail, on your proxy card, or in the instructions accompanying your proxy materials, to attend the virtual meeting. The board of directors of Disc Medicine, Inc. is using this proxy statement to solicit proxies for use at the Annual Meeting. In this proxy statement, the terms “Disc,” “Disc Medicine,” the “Company,” “we,” “us,” and “our” refer to Disc Medicine, Inc. The mailing address of our principal executive offices is Disc Medicine, Inc., 321 Arsenal Street, Suite 101, Watertown, Massachusetts 02472.</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plan to mail a Notice of Internet Availability of Proxy Materials, or the Notice, to our stockholders on or about April 28, 2026, and it contains instructions on how to access our proxy materials, including this proxy statement and our 2025 Annual Report, over the Internet.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utilizing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participate fully and equally, and without cost, and to exercise the same rights as if they had attended an in-person meeting. We believe that these measures will enhance stockholder access and encourage participation and communication with our board of directors and management. In addition, the virtual-only meeting format increases our ability to engage with all stockholders, regardless of size, resources or physical location.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18,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statement and our 2025 Annual Report 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and our 2025 Annual Report, as filed with the SEC, except for exhibits, will be furnished without charge to any stockholder upon written request to Disc Medicine, Inc., 321 Arsenal Street, Suite 101, Watertown, Massachusetts 02472, Attention: Corporate Secretary. This proxy statement and our 2025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mailing to our stockholders the Notice instead of a paper copy of this proxy statement and our 2025 Annual Report, on or about April 28, 2026,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22,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38,199,089 shares of our common stock, par value $0.0001 per share, outstanding on April 22,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Annual Meeting. None of our shares of preferred stock were outstanding as of April 22,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Annual Meeting. Throughout this proxy statement, we refer to these registered stockholders as “stockholders of record.”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jc w:val="both"/>
        <w:ind w:left="760" w:hanging="378"/>
        <w:spacing w:after="0" w:line="26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the voter control number printed on the furnished proxy card, 24 hours a day, seven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a week. Use the Internet to transmit your voting instructions and for electronic delivery of information up until 11:59 p.m. Eastern Time the day before the meeting date. You will need the control number included on your proxy card.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82" w:lineRule="exact"/>
        <w:rPr>
          <w:sz w:val="20"/>
          <w:szCs w:val="20"/>
          <w:color w:val="auto"/>
        </w:rPr>
      </w:pPr>
    </w:p>
    <w:p>
      <w:pPr>
        <w:jc w:val="both"/>
        <w:ind w:left="760" w:hanging="378"/>
        <w:spacing w:after="0" w:line="26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telephone to transmit your voting instructions up until 11:59 p.m. Eastern Time the day before the meeting date. You will need the control number included on your proxy card.</w:t>
      </w:r>
    </w:p>
    <w:p>
      <w:pPr>
        <w:spacing w:after="0" w:line="62"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If you requested and received a printed copy of the proxy materials, you may vote by completing, signing and mailing your proxy card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postage-paid envelope we have provided or return it to Vote Processing, c/o Broadridge, 51 Mercedes Way, Edgewood, NY 11717. Votes submitted through the mail must be received by June 17, 2026.</w:t>
      </w:r>
    </w:p>
    <w:p>
      <w:pPr>
        <w:spacing w:after="0" w:line="62"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at the Annual Meeting. </w:t>
      </w:r>
      <w:r>
        <w:rPr>
          <w:rFonts w:ascii="Times New Roman" w:cs="Times New Roman" w:eastAsia="Times New Roman" w:hAnsi="Times New Roman"/>
          <w:sz w:val="18"/>
          <w:szCs w:val="18"/>
          <w:color w:val="auto"/>
        </w:rPr>
        <w:t>Instructions on how to attend and vote at the Annual Meeting are described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www.virtualshareholdermeeting.com/IRON2026.</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you plan to attend our Annual Meeting, we recommend that you also vote by proxy so that your vote will be counted if you later decide not to attend the Annual Meeting.</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 online?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hosting our Annual Meeting via live webcast only. All stockholders as of the record date, or their duly appointed proxies, can attend the Annual Meeting live online at www.virtualshareholdermeeting.com/IRON2026. The webcast will start at 9:00 a.m. Eastern Time on June 18, 2026. Stockholders may vote and ask questions while attending the Annual Meeting online. In order to be able to attend the Annual Meeting, you will need the 16-digit control number, which is located on your Notice of Internet Availability, on your proxy card or in the instructions accompanying your proxy materials. Instructions on how to participate in the Annual Meeting are also posted online at www.proxyvote.com.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jc w:val="both"/>
        <w:ind w:firstLine="8"/>
        <w:spacing w:after="0" w:line="255"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virtually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Meeting. Such written notice of revocation or subsequent proxy card should be sent to our principal executive offices at Disc Medicine, Inc., 321 Arsenal Street, Suite 101, Watertown, Massachusetts 02472, Attention: Corporate Secretary.</w:t>
      </w:r>
    </w:p>
    <w:p>
      <w:pPr>
        <w:spacing w:after="0" w:line="54" w:lineRule="exact"/>
        <w:rPr>
          <w:sz w:val="20"/>
          <w:szCs w:val="20"/>
          <w:color w:val="auto"/>
        </w:rPr>
      </w:pPr>
    </w:p>
    <w:p>
      <w:pPr>
        <w:ind w:right="580"/>
        <w:spacing w:after="0" w:line="375" w:lineRule="auto"/>
        <w:rPr>
          <w:sz w:val="20"/>
          <w:szCs w:val="20"/>
          <w:color w:val="auto"/>
        </w:rPr>
      </w:pPr>
      <w:r>
        <w:rPr>
          <w:rFonts w:ascii="Times New Roman" w:cs="Times New Roman" w:eastAsia="Times New Roman" w:hAnsi="Times New Roman"/>
          <w:sz w:val="18"/>
          <w:szCs w:val="18"/>
          <w:color w:val="auto"/>
        </w:rPr>
        <w:t xml:space="preserve">If a broker, bank, or other nominee holds your shares, you must contact such broker, bank, or nominee in order to find out how to change your vote. </w:t>
      </w:r>
      <w:r>
        <w:rPr>
          <w:rFonts w:ascii="Times New Roman" w:cs="Times New Roman" w:eastAsia="Times New Roman" w:hAnsi="Times New Roman"/>
          <w:sz w:val="18"/>
          <w:szCs w:val="18"/>
          <w:b w:val="1"/>
          <w:bCs w:val="1"/>
          <w:color w:val="auto"/>
        </w:rPr>
        <w:t>How is a quorum reached?</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represented by proxy, will constitute a quorum for the transaction of business at the Annual Meeting.</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 There were 38,199,089 shares of our common stock outstanding and entitled to vote on the record date. Therefore, a quorum will be present if 19,099,545 shares of our common stock are present in person or represented by executed proxies timely received by us at the Annual Meeting. Shares present virtually during the Annual Meeting will be considered shares of common stock represented in person at the meeting.</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a brokerage account and you do not instruct your nominee how to vote your shares, your nominee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nominee holding shares for a beneficial owner has not received voting instructions from the beneficial owner and the nominee cannot vote the shares because the matter is considered “non-routine” under New York Stock Exchange rules. </w:t>
      </w:r>
      <w:r>
        <w:rPr>
          <w:rFonts w:ascii="Times New Roman" w:cs="Times New Roman" w:eastAsia="Times New Roman" w:hAnsi="Times New Roman"/>
          <w:sz w:val="18"/>
          <w:szCs w:val="18"/>
          <w:b w:val="1"/>
          <w:bCs w:val="1"/>
          <w:color w:val="auto"/>
        </w:rPr>
        <w:t>Proposals No. 1 and No. 2 are each considered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“non-routine” under New York Stock Exchange rules such that your broker, bank or other agent may not vote your shares on any of these proposals in the absence of your voting instructions. Conversely, Proposal No. 3 is considered to be “routine” under New York Stock Exchange rules and thus if you do not return voting instructions to your broker, your shares may be voted by your broker in its discretion on Proposal No. 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votes are required for each proposal?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required and the method of calculation for each proposal at our Annual Meeting is described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4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 Voting</w:t>
            </w:r>
          </w:p>
        </w:tc>
        <w:tc>
          <w:tcPr>
            <w:tcW w:w="0" w:type="dxa"/>
            <w:vAlign w:val="bottom"/>
          </w:tcPr>
          <w:p>
            <w:pPr>
              <w:spacing w:after="0"/>
              <w:rPr>
                <w:sz w:val="1"/>
                <w:szCs w:val="1"/>
                <w:color w:val="auto"/>
              </w:rPr>
            </w:pPr>
          </w:p>
        </w:tc>
      </w:tr>
      <w:tr>
        <w:trPr>
          <w:trHeight w:val="173"/>
        </w:trPr>
        <w:tc>
          <w:tcPr>
            <w:tcW w:w="81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210"/>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Election of Three Class III Directors</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Plurality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Advisory Vote on the Compensation Paid to Named Executive Officers</w:t>
            </w: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Majority</w:t>
            </w:r>
          </w:p>
        </w:tc>
        <w:tc>
          <w:tcPr>
            <w:tcW w:w="1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the Ratification of Appointment of EY</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Majority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“Discretionary Voting Permitted” </w:t>
      </w:r>
      <w:r>
        <w:rPr>
          <w:rFonts w:ascii="Times New Roman" w:cs="Times New Roman" w:eastAsia="Times New Roman" w:hAnsi="Times New Roman"/>
          <w:sz w:val="18"/>
          <w:szCs w:val="18"/>
          <w:color w:val="auto"/>
        </w:rPr>
        <w:t>refers to whether brokers will have discretionary voting authority with respect to shares held in street name for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even if the broker does not receive voting instructions from their client.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“Majority” </w:t>
      </w:r>
      <w:r>
        <w:rPr>
          <w:rFonts w:ascii="Times New Roman" w:cs="Times New Roman" w:eastAsia="Times New Roman" w:hAnsi="Times New Roman"/>
          <w:sz w:val="18"/>
          <w:szCs w:val="18"/>
          <w:color w:val="auto"/>
        </w:rPr>
        <w:t>means a majority of the votes properly cast for and against such matter.</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“Plurality” </w:t>
      </w:r>
      <w:r>
        <w:rPr>
          <w:rFonts w:ascii="Times New Roman" w:cs="Times New Roman" w:eastAsia="Times New Roman" w:hAnsi="Times New Roman"/>
          <w:sz w:val="18"/>
          <w:szCs w:val="18"/>
          <w:color w:val="auto"/>
        </w:rPr>
        <w:t>means a plurality of the votes properly cast on such matter. For the election of directors, the three nominees receiving the highest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person or by proxy, will be elected as directors.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votes withheld and broker “non-votes” are not included in the tabulation of the voting results on any such proposal and, therefore, do not have an impact on such proposals. A broker “non-vote” occurs when a nominee holding shares for a beneficial owner does not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vote on a particular proposal because the nominee does not have discretionary voting power with respect to that item, and has not received instructions from the beneficial owner.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Proposals No. 1 and No. 2 are each a “non-discretionary” item. If you do not instruct your broker how to vote your shares with respect to any of these proposals, your broker may not vote for such proposal, and those shares will be counted as broker “non-votes.” Proposal No. 3 is considered to be a discretionary item, and your brokerage firm will be able to vote your shares on this proposal even if it does not receive instructions from you.</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last occurs.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2027 must also satisfy the requirements of SEC Rule 14a-8 under the Securities Exchange Act of 1934, as amended, or the Exchange Act, and be received not later than December 29,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In addition, stockholders who intend to solicit proxies in support of a stockholder nominee must also comply with the additional requirements of Rule 14a-19(b) under the Exchange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III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Nadim Ahmed, M.S. and Kevin Bitterman, Ph.D., and their terms will expire at the annual meeting of stockholders to be held in 2027;</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Mark Chin, M.S., M.B.A., Georges Gemayel, Ph.D., and Liam Ratcliffe, M.D., Ph.D., and their terms will expire at the annual meeting of stockholders to be held in 2028;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Donald Nicholson, Ph.D., John Quisel, J.D., Ph.D., and William White, M.P.P., J.D., and their terms will expire at the Annual Meeting.</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 thirds (2/3) or more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nominated each of Donald Nicholson, Ph.D., John Quisel, J.D., Ph.D., and William White, M.P.P., J.D. for election as a Class III director at the Annual Meeting to serve until the annual meeting of stockholders to be held in 2029 and until their successor has been duly elected and qualified, or until their earlier death, resignation or removal. Each of the nominees is presently a director, and has indicated a willingness to continue to serve as a director, if elected. If no contrary indication is made, properly submitted proxies will be voted for Dr. Nicholson, Dr. Quisel, and Mr. White. In the event that any of the nominees becomes unable or unwilling to serve, however, the properly submitted proxies may be voted for a substitute nominee selected by our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 elected, the directors nominated via this Proposal No. 1 must receive a plurality of the votes properly cast on the election of directors, meaning that the director nominees receiving the most votes will be elected. Shares voting “withheld” and broker non-votes will have no effect on the election of directors.</w:t>
      </w:r>
    </w:p>
    <w:p>
      <w:pPr>
        <w:spacing w:after="0" w:line="64"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VOTING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EACH OF THE FOLLOWING CLASS III DIRECTOR NOMINEES FOR RE-ELECTION TO THE BOARD OF DIRECTORS: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DONALD NICHOLSON, PH.D.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QUISEL, J.D., PH.D.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 WHITE, M.P.P., J.D.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ON YOUR PROXY CARD)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Directors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Certain individual qualifications and skills of our directors that contribute to the board of directors’ effectiveness as a whole are described below. The biographical description of each director includes the specific experience, qualifications, attributes and skills that the board of directors would expect to consider if it were making a conclusion currently as to whether such person should serve as a director.</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below,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 Class III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age as of April 22,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1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120" w:type="dxa"/>
            <w:vAlign w:val="bottom"/>
            <w:shd w:val="clear" w:color="auto" w:fill="CFF0FC"/>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0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1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120" w:type="dxa"/>
            <w:vAlign w:val="bottom"/>
            <w:shd w:val="clear" w:color="auto" w:fill="CFF0FC"/>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10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10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Nicholson, Ph.D. </w:t>
      </w:r>
      <w:r>
        <w:rPr>
          <w:rFonts w:ascii="Times New Roman" w:cs="Times New Roman" w:eastAsia="Times New Roman" w:hAnsi="Times New Roman"/>
          <w:sz w:val="18"/>
          <w:szCs w:val="18"/>
          <w:color w:val="auto"/>
        </w:rPr>
        <w:t>has served as Executive Chairman of our board of directors since April 2019. Dr. Nicholson is the former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Nimbus Therapeutics, LLC, or Nimbus, a biotechnology company, serving from August 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of the boards of directors of Muna Therapeutics, Matchpoint Therapeutics and NodThera. Dr. Nicholson previously served on the boards of directors of Kymera Therapeutics, Inc. (Nasdaq: KYMR) from November 2017 to November 2022, Jnana Therapeutics from February 2019 to September 2024, and Generation Bio (formerly listed on Nasdaq) from December 2017 to February 2026.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Quisel, J.D. Ph.D. </w:t>
      </w:r>
      <w:r>
        <w:rPr>
          <w:rFonts w:ascii="Times New Roman" w:cs="Times New Roman" w:eastAsia="Times New Roman" w:hAnsi="Times New Roman"/>
          <w:sz w:val="18"/>
          <w:szCs w:val="18"/>
          <w:color w:val="auto"/>
        </w:rPr>
        <w:t>has served as our President, Chief Executive Officer and as a member of our board of directors since February 2020.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October 2006 through February 2020, Dr. Quisel served in various positions at Acceleron Pharma Inc., or Acceleron, a biopharmaceutical company, most recently as Chief Business Officer. Prior to joining Acceleron, Dr. Quisel worked as an associate at the law firms of Ropes &amp; Gray and Foley Hoag. Since November 2023, Dr. Quisel has served as a board member of Gossamer Bio, Inc. (Nasdaq: GOSS).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White, M.P.P., J.D. </w:t>
      </w:r>
      <w:r>
        <w:rPr>
          <w:rFonts w:ascii="Times New Roman" w:cs="Times New Roman" w:eastAsia="Times New Roman" w:hAnsi="Times New Roman"/>
          <w:sz w:val="18"/>
          <w:szCs w:val="18"/>
          <w:color w:val="auto"/>
        </w:rPr>
        <w:t>has served as a member of our board of directors since December 2020. Mr. White served as the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and Head of Corporate Development and Treasurer at Akero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Therapeutics, Inc. (formerly listed on Nasdaq), a biotechnology company, from April 2019 until its acquisition by Novo Nordisk in December 2025. Previously, Mr. White served as a Managing Director and Head of US Life Sciences Investment Banking at Deutsche Bank, a financial service provider, from September 2017 to March 2019. Prior to that, Mr. White was a Managing Director in Healthcare Investment Banking at Citigroup from May 2006 to September 2017. Previously, Mr. White served as an associate and later as a Vice President in Healthcare Investment Banking at Goldman, Sachs &amp; Co. from November 2000 to March 2006. Mr. White also served as a member of the board of directors and Chair of the Audit Committee of Ventyx Biosciences, Inc. (formerly listed on Nasdaq) from May 2021 until its acquisition by Eli Lilly in March 2026. Mr. White received an A.B. from Princeton University, an M.P.P. from Harvard University and a J.D. from Columbia University. Mr. White is qualified to serve on our board of directors because of his extensive financial and investment experience in the life sciences industry.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 Class I Directors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continuing Class I directors and sets forth their principal occupation and business experience during the last five years and their ages as of April 22,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09"/>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Nadim Ahmed, M.S.</w:t>
            </w:r>
          </w:p>
        </w:tc>
        <w:tc>
          <w:tcPr>
            <w:tcW w:w="180" w:type="dxa"/>
            <w:vAlign w:val="bottom"/>
            <w:shd w:val="clear" w:color="auto" w:fill="CFF0FC"/>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2025</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18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2017</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49</w:t>
            </w:r>
          </w:p>
        </w:tc>
      </w:tr>
    </w:tbl>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Nadim Ahmed, M.S. </w:t>
      </w:r>
      <w:r>
        <w:rPr>
          <w:rFonts w:ascii="Times New Roman" w:cs="Times New Roman" w:eastAsia="Times New Roman" w:hAnsi="Times New Roman"/>
          <w:sz w:val="18"/>
          <w:szCs w:val="18"/>
          <w:color w:val="auto"/>
        </w:rPr>
        <w:t>has served as a member of our board of directors since July 2025. Mr. Ahmed has served as the President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a member of the board of directors of Cullinan Therapeutics, Inc. (Nasdaq: CGEM) since October 2021. Before joining Cullinan Therapeutics, Mr. Ahmed served as President, Hematology at Bristol Myers Squibb from November 2019 through January 2021. Prior to this, he served in various roles of increasing responsibility at Celgene Corporation from March 2010 to November 2019, most recently as President, Global Hematology &amp; Oncology. At Bristol Myers Squibb and Celgene, Mr. Ahmed oversaw multiple product launches and served as a member of both companies’ leadership teams. Mr. Ahmed holds a Master of Science degree from Loughborough University and a B.S. degree from University College London. Mr. Ahmed is qualified to serve as a member of our board of directors due to his extensive leadership experience in the biopharmaceutical industry.</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Bitterman, Ph.D. </w:t>
      </w:r>
      <w:r>
        <w:rPr>
          <w:rFonts w:ascii="Times New Roman" w:cs="Times New Roman" w:eastAsia="Times New Roman" w:hAnsi="Times New Roman"/>
          <w:sz w:val="18"/>
          <w:szCs w:val="18"/>
          <w:color w:val="auto"/>
        </w:rPr>
        <w:t>has served as a member of our board of directors since November 2017. Dr. Bitterman currently serves as a partner at Atlas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Life Science Advisors, LLC, or Atlas, a venture capital firm, where he has been employed since June 2017 and where he focuses on investments in life science companies. Prior to joining Atlas, Dr. Bitterman was a partner at Polaris Partners, an investment firm, as a member of the healthcare team from July 2004 to May 2017. Dr. Bitterman serves on the boards of Judo Bio, Kinaset Therapeutics, nChroma Bio, Remix Therapeutics, Renasant Bio, Elemera Oncology and Ursa Medicines. He was the founding CEO of Editas Medicine (Nasdaq: EDIT), Morphic Therapeutics (acquired by Eli Lilly) and Visterra (acquired by Otsuka). Dr. Bitterman previously served as a director of Akero Therapeutics, Inc. (acquired by Novo Nordisk) and Taris Biomedical (acquired by Johnson &amp; Johnson) among other ventures.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 Class II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continuing Class III directors, and sets forth their principal occupation and business experience during the last five years and their ages as of April 22,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Disc Medicine, Inc.</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16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12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0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2028</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2028</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120" w:type="dxa"/>
            <w:vAlign w:val="bottom"/>
            <w:shd w:val="clear" w:color="auto" w:fill="CFF0FC"/>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0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10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2028</w:t>
            </w:r>
          </w:p>
        </w:tc>
        <w:tc>
          <w:tcPr>
            <w:tcW w:w="10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Chin, M.S., M.B.A. </w:t>
      </w:r>
      <w:r>
        <w:rPr>
          <w:rFonts w:ascii="Times New Roman" w:cs="Times New Roman" w:eastAsia="Times New Roman" w:hAnsi="Times New Roman"/>
          <w:sz w:val="18"/>
          <w:szCs w:val="18"/>
          <w:color w:val="auto"/>
        </w:rPr>
        <w:t>has served as a member of our board of directors since September 2021. Mr. Chin has served as a partner at Avoro Capital,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biotechnology-focused investment firm, since November 2023. From April 2020 to November 2023 and August 2016 to April 2020, Mr. Chin served as a managing director and an investment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 respectively, at Arix Bioscience PLC, or Arix Bioscience, a biotechnology-focused venture capital firm. Prior to Arix Bioscience, Mr. Chin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previously served as a member of the board of directors of Harpoon Therapeutics (formerly listed on Nasdaq), Imara Inc. (Nasdaq: ELVN), Iterum Therapeutics (Nasdaq: ITRM), and Pyxis Oncology (Nasdaq: PYXS), and currently serves as a member of the boards of directors of a number of private biotechnology companies. Mr. Chin received a B.S. from the University of California at San Diego, a M.S. from the University of Pennsylvania, and a M.B.A. from The Wharton School at the University of Pennsylvania. Mr. Chin is qualified to serve on our board of directors based on his extensive experience investing in, guiding, and leading start-up and early phase companies, as well as his experience as a director of other companies.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Georges Gemayel, Ph.D. </w:t>
      </w:r>
      <w:r>
        <w:rPr>
          <w:rFonts w:ascii="Times New Roman" w:cs="Times New Roman" w:eastAsia="Times New Roman" w:hAnsi="Times New Roman"/>
          <w:sz w:val="18"/>
          <w:szCs w:val="18"/>
          <w:color w:val="auto"/>
        </w:rPr>
        <w:t>has served as a member of our board of directors since December 2022. Prior to that, Dr. Gemayel served as Gemini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Therapeutics’ Interim 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boards of directors of Supernus Pharmaceuticals, Inc. (Nasdaq: SUPN) and is the chair of the board of GlycoEra. Previously, Dr. Gemayel served as Executive Chair of FoldRx Pharmaceuticals and Syndexa Pharmaceuticals, as Chair of Enterome SA, Oxthera AB, Dimension Therapeutics, Orphazyme A/S, Epitherapeutics and Dynacure, and as Director of Prosensa, Flamingo Therapeutics, Raptor Pharmaceuticals, NPS Pharma, Momenta Pharmaceuticals and Adolor. From 2008 to 2009, Dr. Gemayel was President and Chief Executive Officer of Altus Pharmaceuticals Inc., a publicly traded pharmaceutical company. From 2003 to 2008, Dr. Gemayel was Executive Vice President at Genzyme Corporation where he was responsible for the company’s global therapeutics, transplant, renal and biosurgery businesses. From 1998 to 2003, Dr. Gemayel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Dr. Gemayel is qualified to serve on our board of directors based on his expertise and extensive professional experience and knowledge.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Liam Ratcliffe, M.D., Ph.D. </w:t>
      </w:r>
      <w:r>
        <w:rPr>
          <w:rFonts w:ascii="Times New Roman" w:cs="Times New Roman" w:eastAsia="Times New Roman" w:hAnsi="Times New Roman"/>
          <w:sz w:val="18"/>
          <w:szCs w:val="18"/>
          <w:color w:val="auto"/>
        </w:rPr>
        <w:t>has served as a member of our board of directors since September 2019. Dr. Ratcliffe has served as Head of Biotechnology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Industries, a privately held industrial group, since April 2019. Previously, Dr. Ratcliffe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Inc. (Nasdaq: PFE), where he spent 12 years of his career. Dr. Ratcliffe has served as a member of the boards of directors of Recludix Pharma, Inc. since December 2019, Upstream Bio (Nasdaq: UPB) since October 2021, Vima Therapeutics, Inc. since November 2023, Draig Therapeutics since June 2025, and OnKure Therapeutics, Inc. (Nasdaq: OKUR) since March 2026. Previously, Dr. Ratcliffe served as a board member at Arvinas Inc. (Nasdaq: ARVN) from October 2015 to September 2022, Passage Bio Inc. (Nasdaq: PASG) from September 2019 to March 2022, Unum Therapeutics Inc. (formerly listed on Nasdaq) from March 2018 to April 2019, Aptinyx Inc. (formerly listed on Nasdaq) from June 2018 to April 2019, Eliem Therapeutics Inc. (Nasdaq: ELYM) from October 2019 to December 2024, and Halda Therapeutics, Inc. from November 2021 to December 2025. Dr. Ratcliffe received a M.B.Ch.B. and a Ph.D. in immunology from the University of Cape Town and an M.B.A. from the University of Michigan. Dr. Ratcliffe is qualified to serve on our board of directors because of his extensive clinical development and venture capital experience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good corporate governance is important to ensure that Disc Medicine is managed for the long-term benefit of our stockholders. This section describes key corporate governance practices that we have adopted. We have adopted a code of business conduct and ethics, which applies to all of our officers, directors and employees, corporate governance guidelines and charters for our standing board committees. We have posted copies of our code of business conduct and ethics and corporate governance guidelines, as well as our audit committee, compensation committee, and nominating and corporate governance committee charters, on the Corporate Governance page of the Investors section of our website, which is located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Information contained on the website is not incorporated by reference in, or considered part of, this Proxy Statement. We intend to disclose on our website any amendments to, or waivers from, our code of business conduct and ethics that are required to be disclosed by law or Nasdaq listing standards.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Corporate Governance Guidelines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and guide the board in the exercise of its responsibilities. Among other things, these guidelines provide that:</w:t>
      </w:r>
    </w:p>
    <w:p>
      <w:pPr>
        <w:spacing w:after="0" w:line="5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Independence</w:t>
      </w:r>
      <w:r>
        <w:rPr>
          <w:rFonts w:ascii="Times New Roman" w:cs="Times New Roman" w:eastAsia="Times New Roman" w:hAnsi="Times New Roman"/>
          <w:sz w:val="18"/>
          <w:szCs w:val="18"/>
          <w:color w:val="auto"/>
        </w:rPr>
        <w:t>: At least a majority of our board shall be independent directors;</w:t>
      </w:r>
    </w:p>
    <w:p>
      <w:pPr>
        <w:spacing w:after="0" w:line="117"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Independence</w:t>
      </w:r>
      <w:r>
        <w:rPr>
          <w:rFonts w:ascii="Times New Roman" w:cs="Times New Roman" w:eastAsia="Times New Roman" w:hAnsi="Times New Roman"/>
          <w:sz w:val="18"/>
          <w:szCs w:val="18"/>
          <w:color w:val="auto"/>
        </w:rPr>
        <w:t>: Membership on the audit, compensation, and nominating and corporate governance committees is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directors;</w:t>
      </w:r>
    </w:p>
    <w:p>
      <w:pPr>
        <w:spacing w:after="0" w:line="50" w:lineRule="exact"/>
        <w:rPr>
          <w:rFonts w:ascii="Times New Roman" w:cs="Times New Roman" w:eastAsia="Times New Roman" w:hAnsi="Times New Roman"/>
          <w:sz w:val="18"/>
          <w:szCs w:val="18"/>
          <w:color w:val="auto"/>
        </w:rPr>
      </w:pPr>
    </w:p>
    <w:p>
      <w:pPr>
        <w:ind w:left="760" w:right="20" w:hanging="378"/>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Sessions</w:t>
      </w:r>
      <w:r>
        <w:rPr>
          <w:rFonts w:ascii="Times New Roman" w:cs="Times New Roman" w:eastAsia="Times New Roman" w:hAnsi="Times New Roman"/>
          <w:sz w:val="18"/>
          <w:szCs w:val="18"/>
          <w:color w:val="auto"/>
        </w:rPr>
        <w:t>: Independent directors are to meet at least once annually in executive session; non-management directors are to meet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scheduled executive sessions;</w:t>
      </w:r>
    </w:p>
    <w:p>
      <w:pPr>
        <w:spacing w:after="0" w:line="5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w:t>
      </w:r>
      <w:r>
        <w:rPr>
          <w:rFonts w:ascii="Times New Roman" w:cs="Times New Roman" w:eastAsia="Times New Roman" w:hAnsi="Times New Roman"/>
          <w:sz w:val="18"/>
          <w:szCs w:val="18"/>
          <w:color w:val="auto"/>
        </w:rPr>
        <w:t>: Directors are to have full and free access to management and, as necessary and appropriate, independent advisors; and</w:t>
      </w:r>
    </w:p>
    <w:p>
      <w:pPr>
        <w:spacing w:after="0" w:line="117"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Education</w:t>
      </w:r>
      <w:r>
        <w:rPr>
          <w:rFonts w:ascii="Times New Roman" w:cs="Times New Roman" w:eastAsia="Times New Roman" w:hAnsi="Times New Roman"/>
          <w:sz w:val="18"/>
          <w:szCs w:val="18"/>
          <w:color w:val="auto"/>
        </w:rPr>
        <w:t>: New directors are to participate in an orientation program and the nominating and corporate governance committee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director education on topics that will assist in discharging their duties.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Generally, 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established by the nominating and corporate governance committee. These criteria include, among other things, the skills of the candidate, his or her depth and breadth of business experience and other background characteristics, his or her independence and the needs of the board of directors.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may gather information about the candidates through meetings from time to time,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director nominees for election to the board of directors.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does not believe that limits on the number of consecutive terms a director may serve or on the directors’ ages are appropriate at this stage. Instead, each director’s performance and their continued service 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assessed by the nominating and corporate governance committee in light of the needs of our board of directors and other relevant factors.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Disc Medicine, Inc., 321 Arsenal Street, Suite 101, Watertown, MA 02472,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the section of this proxy statement titled “Stockholder Proposals” for a discussion of submitting stockholder proposals.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10A-3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each of our directors, with the exception of Dr. Quisel, who serves as our Chief Executive Officer, is an “independent director” within the meaning of the director independence standards established by the SEC and Nasdaq. Our board of directors also determined that Mark Chin, Liam Ratcliffe and William White, who comprise our audit committee, Kevin Bitterman, Georges Gemayel and Donald Nicholson, who comprise our compensation committee, and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non-management directors meet at regularly scheduled executive sessions without management participation, and at least once each year an executive session with only independent directors present is held. In 2025, there was one executive session at which only the independent directors were present.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Policies and Procedures for Director Candidates, or the Director Guidelines, provide that the value of diversity should be considered in determining director candidates as well as other factors such as a candidate’s character, integrity, judgment, skills, education, expertise, business acumen and experience and absence of conflicts of interest. However, we do not have a formal policy concerning the diversity of the board of directors and our board of directors has not adopted targets for the number or proportion of directors who are female or belong to other designated groups, as we are committed to a merit-based system for board composition.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with diversity of expertise and experience in substantive matters pertaining to our business and diversity of background and perspective. When identifying suitable candidates for appointment to the board of directors, we consider candidates on merit against objective criteria and the needs of our board of directors. When recruiting new candidates for appointment, search protocols will go beyond the networks of existing board of director members and will incorporate diversity, including identification of female candidates, as a component. Any search firm engaged to assist our board of directors or the nominating and corporate governance committee in identifying candidates for appointment to our board of directors shall be directed to include women candidates and women candidates will be included in our board of director’s evergreen list of potential board of director nominees.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adopted targets for the number or proportion of directors who are members of a visible minority, Indigenous peoples or persons with a disability, or other designated groups, or for other diversity characteristics at this time. For now, our board of directors has chosen to focus on gender in exclusion to other diversity characteristics and the nominating and corporate governance committee does not specifically consider the level of representation of members of designated groups on our board of directors in identifying and nominating candidates for election or re-election to our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nominating and corporate governance committee, and a commercial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the audit committee, compensation committee, and nominating and corporate governance charters can be found under the “Investors &amp; Media—Corporate Governance” section of our website, which is located at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discmedicine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We do not incorporate the information contained on, or accessible through, our corporate website into this proxy statement, and you should not consider it a part of this proxy statement.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our board of directors on the work of the committee and any recommendations for approval by our board of directors. The committee chairperson also ensures that the committee receives the information required for the performance of its responsibilities. Our board of directors may also establish other committees from time to time to assist the company and our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accounting, financial, and other reporting and internal control practices and to oversee our independent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1340"/>
        <w:spacing w:after="0" w:line="375" w:lineRule="auto"/>
        <w:rPr>
          <w:sz w:val="20"/>
          <w:szCs w:val="20"/>
          <w:color w:val="auto"/>
        </w:rPr>
      </w:pPr>
      <w:r>
        <w:rPr>
          <w:rFonts w:ascii="Times New Roman" w:cs="Times New Roman" w:eastAsia="Times New Roman" w:hAnsi="Times New Roman"/>
          <w:sz w:val="18"/>
          <w:szCs w:val="18"/>
          <w:color w:val="auto"/>
        </w:rPr>
        <w:t>registered accounting firm. The report of the audit committee is included in this proxy statement under “Report of the Audit Committee.” Specific responsibilities of our audit committee include:</w:t>
      </w:r>
    </w:p>
    <w:p>
      <w:pPr>
        <w:spacing w:after="0" w:line="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members of the audit committee are William White, Liam Ratcliffe and Mark Chin. Mr. White is the chairperson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2025, the Disc audit committee met four times. We believe that the composition of the audit committee complies with the applicable requirements of the rules and regulations of Nasdaq and the SEC.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compensation committee include:</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our executive officers;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53" w:lineRule="exact"/>
        <w:rPr>
          <w:rFonts w:ascii="Times New Roman" w:cs="Times New Roman" w:eastAsia="Times New Roman" w:hAnsi="Times New Roman"/>
          <w:sz w:val="18"/>
          <w:szCs w:val="18"/>
          <w:color w:val="auto"/>
        </w:rPr>
      </w:pPr>
    </w:p>
    <w:p>
      <w:pPr>
        <w:jc w:val="both"/>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Donald Nicholson, Georges Gemayel and Kevin Bitterman. Dr. Nicholson is the chairperson of the compensation committee. Each member of our compensation committee is a “non-employee” director within the meaning of Rule 16b-3 of the rules promulgated under the Exchange Act and independent within the meaning of the independent director guidelines of Nasdaq. During the fiscal year 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2025, our compensation committee met three times. We believe that the composition of the compensation committee complies with the applicable requirements of the rules and regulations of Nasdaq and the SEC.</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However, our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the board of directors approve, nominees for election to the board of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of directors and of individual directors;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Kevin Bitterman, Donald Nicholson and Liam Ratcliffe. Dr. Bitterman is the chairperson of the nominating and corporate governance committee. During the fiscal year ended December 31, 2025, the Disc nominating and corporate governance committee met one time.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Committee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purpose of our commercial committee is to provide advice and support related to planning for and execution on commercialization of our product candidates, if approved.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commercial committee include:</w:t>
      </w:r>
    </w:p>
    <w:p>
      <w:pPr>
        <w:spacing w:after="0" w:line="11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regarding our commercialization strategy;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and management in evaluating and overseeing our product commercialization plans, efforts, and progress against our commercial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the commercial committee are Nadim Ahmed, Mark Chin, and Georges Gemayel. Dr. Gemayel is the chairperson of the commercial committee. During the fiscal year ended December 31, 2025, the Disc commercial committee met four times following its establishment in July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held five meetings during 2025. During 2025, each of our directors then in office attended at least 75% of the aggregate of all meetings of our board of directors and all meetings of the committees of our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Directors are responsible for attending the annual meeting of stockholders to the extent practicable. In 2025, all of the directors then in office other than William White attended the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of directors is currently chaired by Donald Nicholson, an independent director. Currently, the role of executive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Our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our Annual Report on Form 10-K for the fiscal year ended December 31, 2025. Management is responsible for the day-to-day management of risks we face, while our board of directors, as a whole and through its committees, has responsibility for the oversight of risk management. In its risk oversight role, our board of directors has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to satisfy itself that the risk management processes designed and implemented by management are adequate and functioning as designed.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regularly discusses with management our major risk exposures, the potential impact of these risks on our business and the steps we take to manage them. The risk oversight process includes receiving regular reports from board of 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Hedging and Pledging Policies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applicable to our employees (including executive officers), directors, certain consultants and certain other persons, or collectively, covered persons, that applies to the trading of our securities. We believe the policy is reasonably designed to promote compliance with insider trading laws, rules, and regulations and the Nasdaq listing rules. Our insider trading policy was filed as Exhibit 19.1 to our Annual Report on Form 10-K for the year ended December 31, 2025 filed with the SEC on February 26, 2026. It is also our policy to comply with applicable insider trading laws, rules and regulations, as well as any exchange listing standards, when engaging in transactions in our own securities.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As such, among other things, our insider trading policy expressly prohibits covered persons from making short sales of our securities, buying or selling derivative securities of the Company or any derivative securities that provide the economic equivalent of ownership, or engaging in any other hedging transactions with respect to our securities. In addition, our insider trading policy expressly prohibits covered persons from using our securities as collateral in a margin account or pledging our securities as collateral for a loan.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Disc Medicine, Inc.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executive chairman of our board of directors or the chairperson of our nominating and corporate governance committee, by submitting a written communication to the attention of such director at the following address: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Disc Medicine,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(833) 869-0478.</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and their ages as of April 22,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 Held with Disc Medicine, Inc.</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Since</w:t>
            </w:r>
          </w:p>
        </w:tc>
        <w:tc>
          <w:tcPr>
            <w:tcW w:w="1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5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2020</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59</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5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55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11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45</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Rahul Khara, Pharm.D., J.D.</w:t>
            </w: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Legal Officer</w:t>
            </w:r>
          </w:p>
        </w:tc>
        <w:tc>
          <w:tcPr>
            <w:tcW w:w="11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2021</w:t>
            </w:r>
          </w:p>
        </w:tc>
        <w:tc>
          <w:tcPr>
            <w:tcW w:w="11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Nominees for Election – Class III Directors</w:t>
      </w:r>
      <w:r>
        <w:rPr>
          <w:rFonts w:ascii="Times New Roman" w:cs="Times New Roman" w:eastAsia="Times New Roman" w:hAnsi="Times New Roman"/>
          <w:sz w:val="18"/>
          <w:szCs w:val="18"/>
          <w:color w:val="auto"/>
        </w:rPr>
        <w:t>” above for information about our President and Chief Executive Officer, John Quisel.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other executive officers, as of April 22, 2026, is set forth below.</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Franchi </w:t>
      </w:r>
      <w:r>
        <w:rPr>
          <w:rFonts w:ascii="Times New Roman" w:cs="Times New Roman" w:eastAsia="Times New Roman" w:hAnsi="Times New Roman"/>
          <w:sz w:val="18"/>
          <w:szCs w:val="18"/>
          <w:color w:val="auto"/>
        </w:rPr>
        <w:t>has served as our Chief Financial Officer since February 2024. Previously, Ms. Franchi served as the Chief Financial Officer of Replimune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Inc. (Nasdaq: REPL), a biotechnology company, from December 2019 to June 2023. From August 2017 to May 2019, Ms. Franchi served as the Chief Financial Officer of Merrimack Pharmaceuticals, Inc., a biopharmaceutical company. From August 2015 to July 2017, she served as Chief Financial Officer, Treasurer and Secretary at Dimension Therapeutics, Inc., a biotechnology company. From February 2012 to July 2015, Ms. Franchi served as Chief Financial Officer at Good Start Genetics, Inc., a molecular genetics information company. From 1995 to 2011, Ms. Franchi held various positions at Sanofi S.A., including Senior Vice President of Corporate Finance, Senior Vice President of Business Unit Finance, and Vice President of Finance and Controller, Product Line and International Group. Ms. Franchi holds a B.B.A. from Hofstra University.</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Pamela Stephenson, M.P.H. </w:t>
      </w:r>
      <w:r>
        <w:rPr>
          <w:rFonts w:ascii="Times New Roman" w:cs="Times New Roman" w:eastAsia="Times New Roman" w:hAnsi="Times New Roman"/>
          <w:sz w:val="18"/>
          <w:szCs w:val="18"/>
          <w:color w:val="auto"/>
        </w:rPr>
        <w:t>has served as our Chief Commercial Officer since February 2024. Previously, Ms. Stephenson served as Chief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Albireo Pharma, Inc., a biopharmaceutical company, from March 2019 to April 2023. Prior to that, she served as a Vice President at Vertex Pharmaceuticals, Inc. (Nasdaq: VRTX), a biotechnology company, from July 2008 to March 2019. Prior to Vertex, she held roles of increasing strategic importance at Pfizer Inc. (Nasdaq: PFE), a pharmaceutical company, from October 1998 to June 2008. Ms. Stephenson holds a B.A. from Brown University and an M.P.H. from Boston University School of Public Health.</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Savage, M.D., Ph.D. </w:t>
      </w:r>
      <w:r>
        <w:rPr>
          <w:rFonts w:ascii="Times New Roman" w:cs="Times New Roman" w:eastAsia="Times New Roman" w:hAnsi="Times New Roman"/>
          <w:sz w:val="18"/>
          <w:szCs w:val="18"/>
          <w:color w:val="auto"/>
        </w:rPr>
        <w:t>has served as our Chief Medical Officer since August 2021 and was previously our Vice President, Head of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August 2020 to August 2021. Previously, he served as Senior Medical Director at Magenta Therapeutics, a biotechnology company, from July 2019 to July 2020. Prior to Magenta Therapeutics, he was the Global 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Dr. Savage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Yu, M.B.A. </w:t>
      </w:r>
      <w:r>
        <w:rPr>
          <w:rFonts w:ascii="Times New Roman" w:cs="Times New Roman" w:eastAsia="Times New Roman" w:hAnsi="Times New Roman"/>
          <w:sz w:val="18"/>
          <w:szCs w:val="18"/>
          <w:color w:val="auto"/>
        </w:rPr>
        <w:t>has served as our Chief Operating Officer since February 2024, and was previously our Chief Business Officer from August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2024, and our Senior Vice President of Corporate Development from July 2020 to August 2021. Previously, Mr. Yu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and Johnson &amp; Johnson, spanning commercial planning and assessment, business development and finance. Mr. Yu holds an A.B. from Harvard College and an M.B.A. from the Wharton School of the University of Pennsylvania.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Rahul Khara, Pharm.D., J.D. </w:t>
      </w:r>
      <w:r>
        <w:rPr>
          <w:rFonts w:ascii="Times New Roman" w:cs="Times New Roman" w:eastAsia="Times New Roman" w:hAnsi="Times New Roman"/>
          <w:sz w:val="18"/>
          <w:szCs w:val="18"/>
          <w:color w:val="auto"/>
        </w:rPr>
        <w:t>has served as our Chief Legal Officer since January 2025 and, prior to that, as our General Counsel from December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2024. He has also served as our Secretary since December 2022 and previously served as our Compliance Officer from December 2022 to April 2024. Dr. Khara previously served as Vice President, Legal and Chief Compliance Officer at Acceleron from August 2018 to December 2021. Prior to joining Acceleron, Dr. Khara was a Senior Associate at the law firm Arnold &amp; Porter LLP from March 2015 to August 2018. Prior to that, Dr. Khara was a Senior Associate at the law firm Sidley Austin LLP from September 2008 to March 2015. Dr. Khara received his J.D. from the University of Michigan Law School and earned a Pharm.D. from Rutgers University.</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in which any such person has a material interest adverse to 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compensation of our executive officers, which includes our named executive officers, or NEOs. The compensation committee reviews and approves the compensation of our executive officers, other than our Chief Executive Officer, and reviews and recommends the compensation of our Chief Executive Officer to our board of directors for approval. This Compensation Discussion and Analysis, or CD&amp;A, describes our executive compensation philosophy, the design of our executive compensation programs, and the compensation decisions made by the compensation committee and the board of directors (as applicable) for the fiscal year ended December 31, 2025 for each of our NEOs.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NEOs for 2025, which consisted of our Chief Executive Officer, our Chief Financial Officer, and our three other most highly compensated executive officers, were: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 Held with Disc Medicine, Inc.</w:t>
            </w:r>
          </w:p>
        </w:tc>
      </w:tr>
      <w:tr>
        <w:trPr>
          <w:trHeight w:val="20"/>
        </w:trPr>
        <w:tc>
          <w:tcPr>
            <w:tcW w:w="4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00" w:type="dxa"/>
            <w:vAlign w:val="bottom"/>
            <w:shd w:val="clear" w:color="auto" w:fill="000000"/>
          </w:tcPr>
          <w:p>
            <w:pPr>
              <w:spacing w:after="0" w:line="20" w:lineRule="exact"/>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69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69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69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Corporate Performance Highlights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2025 was a year of exceptional performance for the Company, marked by significant progress on multiple fronts, as demonstrated by the following achievements and developments: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Bitopertin</w:t>
      </w:r>
      <w:r>
        <w:rPr>
          <w:rFonts w:ascii="Times New Roman" w:cs="Times New Roman" w:eastAsia="Times New Roman" w:hAnsi="Times New Roman"/>
          <w:sz w:val="18"/>
          <w:szCs w:val="18"/>
          <w:color w:val="auto"/>
        </w:rPr>
        <w:t>: New drug application (NDA) for bitopertin in erythropoietic protoporphyria (EPP) and X-linked protoporphyria (XLP) accepted by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Food and Drug Administration (FDA) for priority review under the accelerated approval pathway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Bitopertin</w:t>
      </w:r>
      <w:r>
        <w:rPr>
          <w:rFonts w:ascii="Times New Roman" w:cs="Times New Roman" w:eastAsia="Times New Roman" w:hAnsi="Times New Roman"/>
          <w:sz w:val="18"/>
          <w:szCs w:val="18"/>
          <w:color w:val="auto"/>
        </w:rPr>
        <w:t>: Awarded Commissioner’s National Priority Voucher (CNPV), a pilot program designed to accelerate the NDA review period to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DISC-0974</w:t>
      </w:r>
      <w:r>
        <w:rPr>
          <w:rFonts w:ascii="Times New Roman" w:cs="Times New Roman" w:eastAsia="Times New Roman" w:hAnsi="Times New Roman"/>
          <w:sz w:val="18"/>
          <w:szCs w:val="18"/>
          <w:color w:val="auto"/>
        </w:rPr>
        <w:t>: Positive initial data from the Phase 2 RALLY-MF study of DISC-0974 for anemia of MF, demonstrating robust and broad hematologic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across patient segments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DISC-0974: Issuance of a Composition of Matter patent for DISC-0974, providing patent exclusivity until 2041, not including potential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DISC-3405</w:t>
      </w:r>
      <w:r>
        <w:rPr>
          <w:rFonts w:ascii="Times New Roman" w:cs="Times New Roman" w:eastAsia="Times New Roman" w:hAnsi="Times New Roman"/>
          <w:sz w:val="18"/>
          <w:szCs w:val="18"/>
          <w:color w:val="auto"/>
        </w:rPr>
        <w:t>: Initiated Phase 2 study of DISC-3405 in polycythemia vera (PV) and Phase 1b study of DISC-3405 in sickle cell disease (SCD)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Strengthened balance sheet through two equity offerings with aggregate net proceeds of approximately $454.4 million</w:t>
      </w:r>
    </w:p>
    <w:p>
      <w:pPr>
        <w:spacing w:after="0" w:line="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Transitioned to commercial-ready organization through build out of marketing, market access, medical science liaison, and sales teams and related infrastructure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marketable securities were $791.2 million as of December 31, 2025, compared to $489.9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4" w:name="page25"/>
    <w:bookmarkEnd w:id="2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Compensation Program Highlights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our goal of attracting, motivating and retaining a high-caliber executive team, our executive officer compensation program is designed to pay for performance. A summary of key compensation decisions and compensation related outcomes aligned with this philosophy are highlighted below for 2025.</w:t>
      </w:r>
    </w:p>
    <w:p>
      <w:pPr>
        <w:spacing w:after="0" w:line="66" w:lineRule="exact"/>
        <w:rPr>
          <w:sz w:val="20"/>
          <w:szCs w:val="20"/>
          <w:color w:val="auto"/>
        </w:rPr>
      </w:pPr>
    </w:p>
    <w:p>
      <w:pPr>
        <w:jc w:val="both"/>
        <w:ind w:left="760" w:hanging="378"/>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 for Performance / At-Risk Pay </w:t>
      </w:r>
      <w:r>
        <w:rPr>
          <w:rFonts w:ascii="Times New Roman" w:cs="Times New Roman" w:eastAsia="Times New Roman" w:hAnsi="Times New Roman"/>
          <w:sz w:val="18"/>
          <w:szCs w:val="18"/>
          <w:color w:val="auto"/>
        </w:rPr>
        <w:t>- Our executive compensation program is designed so that a significant portion of pay is variable or “at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realized value of compensation is linked with Company performance and value delivered to stockholders. For 2025, the percentage of pay that was or remains “at risk” for our Chief Executive Officer and our other NEOs is approximately 92.94% and 86.22%, respectively, helping us align pay with performance.</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43"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Base Salary Adjustments </w:t>
      </w:r>
      <w:r>
        <w:rPr>
          <w:rFonts w:ascii="Times New Roman" w:cs="Times New Roman" w:eastAsia="Times New Roman" w:hAnsi="Times New Roman"/>
          <w:sz w:val="18"/>
          <w:szCs w:val="18"/>
          <w:color w:val="auto"/>
        </w:rPr>
        <w:t>- Salary increases ranging from 3.0% to 7.8% were approved for 2025, generally reflecting merit-based adjustments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market-based adjustments to maintain competitive market positioning relative to our updated peer group by approximating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such peer group.</w:t>
      </w:r>
    </w:p>
    <w:p>
      <w:pPr>
        <w:spacing w:after="0" w:line="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Cash Incentives </w:t>
      </w:r>
      <w:r>
        <w:rPr>
          <w:rFonts w:ascii="Times New Roman" w:cs="Times New Roman" w:eastAsia="Times New Roman" w:hAnsi="Times New Roman"/>
          <w:sz w:val="18"/>
          <w:szCs w:val="18"/>
          <w:color w:val="auto"/>
        </w:rPr>
        <w:t>- Our annual cash incentive opportunity is based on corporate performance compared to pre-established corporate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goals are selected to directly align with our specific strategic goals that we believe will create long-term stockholder value. For 2025, we achieved our corporate goals at an overall level of 145% and we paid an annual cash incentive award to our Chief Executive Officer and our other NEOs at 145% of target.</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Equity Awards - </w:t>
      </w:r>
      <w:r>
        <w:rPr>
          <w:rFonts w:ascii="Times New Roman" w:cs="Times New Roman" w:eastAsia="Times New Roman" w:hAnsi="Times New Roman"/>
          <w:sz w:val="18"/>
          <w:szCs w:val="18"/>
          <w:color w:val="auto"/>
        </w:rPr>
        <w:t>A significant portion of our Chief Executive Officer's and other NEOs' compensation is delivered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equity awards. The equity awards granted to our Chief Executive Officer and our other NEOs in 2025 consisted of a balanced mix of stock options and RSUs, generally reflecting an approximate 50/50 allocation between stock options and RSUs on an option-equivalent basis.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Practices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key elements of our executive officer compensation program, as well as problematic pay practices that we avoid:</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6" w:lineRule="exact"/>
        <w:rPr>
          <w:sz w:val="20"/>
          <w:szCs w:val="20"/>
          <w:color w:val="auto"/>
        </w:rPr>
      </w:pPr>
    </w:p>
    <w:p>
      <w:pPr>
        <w:ind w:left="320" w:hanging="244"/>
        <w:spacing w:after="0"/>
        <w:tabs>
          <w:tab w:leader="none" w:pos="32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Heavily weight our executive officer compensation toward “at risk”, variable performance-based compensation</w:t>
      </w:r>
    </w:p>
    <w:p>
      <w:pPr>
        <w:spacing w:after="0" w:line="15" w:lineRule="exact"/>
        <w:rPr>
          <w:rFonts w:ascii="MS PGothic" w:cs="MS PGothic" w:eastAsia="MS PGothic" w:hAnsi="MS PGothic"/>
          <w:sz w:val="18"/>
          <w:szCs w:val="18"/>
          <w:color w:val="auto"/>
        </w:rPr>
      </w:pPr>
    </w:p>
    <w:p>
      <w:pPr>
        <w:ind w:left="320" w:hanging="244"/>
        <w:spacing w:after="0"/>
        <w:tabs>
          <w:tab w:leader="none" w:pos="32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Balance short-term and long-term incentive compensation</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multi-year vesting for all executive officer equity awards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an incentive compensation recoupment, or "clawback", policy</w:t>
      </w:r>
    </w:p>
    <w:p>
      <w:pPr>
        <w:spacing w:after="0" w:line="9" w:lineRule="exact"/>
        <w:rPr>
          <w:rFonts w:ascii="MS PGothic" w:cs="MS PGothic" w:eastAsia="MS PGothic" w:hAnsi="MS PGothic"/>
          <w:sz w:val="18"/>
          <w:szCs w:val="18"/>
          <w:color w:val="auto"/>
        </w:rPr>
      </w:pPr>
    </w:p>
    <w:p>
      <w:pPr>
        <w:ind w:left="320" w:right="380" w:hanging="244"/>
        <w:spacing w:after="0" w:line="182" w:lineRule="auto"/>
        <w:tabs>
          <w:tab w:leader="none" w:pos="320" w:val="left"/>
        </w:tabs>
        <w:numPr>
          <w:ilvl w:val="0"/>
          <w:numId w:val="15"/>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Select peer companies that we compete with for executive officer talent, have a similar business and are of similar size and stage as us, and review their pay practices</w:t>
      </w:r>
    </w:p>
    <w:p>
      <w:pPr>
        <w:ind w:left="320" w:hanging="244"/>
        <w:spacing w:after="0"/>
        <w:tabs>
          <w:tab w:leader="none" w:pos="32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Utilize an independent compensation consulting firm to facilitate pay assessments and review best practices</w:t>
      </w:r>
    </w:p>
    <w:p>
      <w:pPr>
        <w:spacing w:after="0" w:line="10" w:lineRule="exact"/>
        <w:rPr>
          <w:rFonts w:ascii="MS PGothic" w:cs="MS PGothic" w:eastAsia="MS PGothic" w:hAnsi="MS PGothic"/>
          <w:sz w:val="18"/>
          <w:szCs w:val="18"/>
          <w:color w:val="auto"/>
        </w:rPr>
      </w:pPr>
    </w:p>
    <w:p>
      <w:pPr>
        <w:ind w:left="320" w:hanging="244"/>
        <w:spacing w:after="0"/>
        <w:tabs>
          <w:tab w:leader="none" w:pos="320" w:val="left"/>
        </w:tabs>
        <w:numPr>
          <w:ilvl w:val="0"/>
          <w:numId w:val="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Require that the compensation committee is comprised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-1092200</wp:posOffset>
            </wp:positionV>
            <wp:extent cx="693483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-817880</wp:posOffset>
            </wp:positionV>
            <wp:extent cx="693483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-543560</wp:posOffset>
            </wp:positionV>
            <wp:extent cx="693483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835" cy="27432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-132080</wp:posOffset>
            </wp:positionV>
            <wp:extent cx="693483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4835" cy="137160"/>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6" w:lineRule="exact"/>
        <w:rPr>
          <w:sz w:val="20"/>
          <w:szCs w:val="20"/>
          <w:color w:val="auto"/>
        </w:rPr>
      </w:pPr>
    </w:p>
    <w:p>
      <w:pPr>
        <w:ind w:left="360" w:hanging="284"/>
        <w:spacing w:after="0"/>
        <w:tabs>
          <w:tab w:leader="none" w:pos="36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guaranteed bonuses or base salary increases</w:t>
      </w:r>
    </w:p>
    <w:p>
      <w:pPr>
        <w:spacing w:after="0" w:line="15"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Allow for the repricing of stock options without stockholder approval</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 dividends or dividend equivalents on unearned shares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Permit hedging or other forms of speculative transactions by employees or directors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Permit pledging by employees or directors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single-trigger change in control benefits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Include gross-ups in executive employment agreements or change-in-control arrangements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excessive perquisites to our executive officers</w:t>
      </w:r>
    </w:p>
    <w:p>
      <w:pPr>
        <w:spacing w:after="0" w:line="9" w:lineRule="exact"/>
        <w:rPr>
          <w:rFonts w:ascii="MS PGothic" w:cs="MS PGothic" w:eastAsia="MS PGothic" w:hAnsi="MS PGothic"/>
          <w:sz w:val="18"/>
          <w:szCs w:val="18"/>
          <w:color w:val="auto"/>
        </w:rPr>
      </w:pPr>
    </w:p>
    <w:p>
      <w:pPr>
        <w:ind w:left="320" w:hanging="244"/>
        <w:spacing w:after="0"/>
        <w:tabs>
          <w:tab w:leader="none" w:pos="3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Provide retirement or pension benefits to executive officers not available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-1229360</wp:posOffset>
            </wp:positionV>
            <wp:extent cx="693483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-955040</wp:posOffset>
            </wp:positionV>
            <wp:extent cx="69348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-680720</wp:posOffset>
            </wp:positionV>
            <wp:extent cx="693483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-406400</wp:posOffset>
            </wp:positionV>
            <wp:extent cx="693483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4835" cy="13716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-132080</wp:posOffset>
            </wp:positionV>
            <wp:extent cx="693483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835" cy="13716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 Vote on 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stockholders have the opportunity annually to cast a non-binding advisory vote in connection with compensation for our NEOs. Consistent with the recommendation of our board of directors and the preference of our stockholders as reflected in the non-binding advisory vote on the frequency of future “say-on-pay” votes conducted at our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annual meeting of stockholders, we intend to provide for annual non-binding advisory votes on the compensation of our named executive officers. The next non-binding advisory vote on the frequency of the non-binding advisory vote on the compensation of our named executive officers will occur at our 2031 annual meeting of stockholders.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our 2025 annual meeting of stockholders, our “say-on-pay” proposal received 99.24% support from voting stockholders. We believe this support reflects stockholder support of our compensation philosophy.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in order to create value for our stockholders, it is critical to attract, motivate and retain key executive officer talent by providing competitive compensation packages that reward our executives for company performance. Accordingly, the objectives of our executive officer compensation program are to:</w:t>
      </w:r>
    </w:p>
    <w:p>
      <w:pPr>
        <w:spacing w:after="0" w:line="68"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 highly-skilled team of executive officers who have the expertise to successfully execute on our business plans within the highly competitive life sciences industry;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the achievement of performance goals that directly correlate to increasing stockholder value;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the interests of our stockholders by tying compensation to the achievement of short- and long-term strategic and financial goals and stock price performance, which we believe serves to enhance short- and long-term value creation for our stockholders.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achieve these objectives, our compensation committee evaluates our executive compensation program annually and takes into consideration pay at our peer companies and within the broader market, as well as the job scope, responsibilities and individual performance and experience of each executive officer.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pay at competitive levels sufficient to attract and retain our executives, the compensation committee's general philosophy is to target base salaries and total direct compensation (base salaries, target annual cash incentives, and long-term incentives) at levels that approximate the 50th percentile of the market, determined based on data from both our peer companies and the broader market, while also taking into account each executive’s level of experience, performance and responsibility.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reward the achievement of performance goals, our compensation committee provides annual performance-based cash compensation and utilizes a variety of factors to assess performance against company objectives including, among other things, achieving scientific, business, organizational and operational goals such as regulatory submissions and approvals; progressing our clinical trials and research programs; achieving key research and development milestones; maintaining the strong financial health of the Company; maintaining key strategic relationships; and adding to and developing internal competencies, including hiring of key employees.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align the interests of our executives with those of our stockholders, we provide a significant portion of our executive compensation in the form of equity incentive compensation through the grants of stock options and RSUs that vest over time, allowing our executives to participate in the longer-term success of our company and the intended appreciation of our stock price.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 / At-Risk Pay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officer compensation program is designed to reward achievement of the specific strategic goals that we believe will advance our business strategy and create long-term value for our stockholders. A substantial portion of our executive officers’ total compensation is “at risk,” meaning it is earned only upon achievement of pre-established, objective financial or operating goals, such as in our annual cash incentive program, or it depends on stock price appreciation or value, as is the case in our long-term incentive program.</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incentive program consists of a mix of stock options and RSUs, which is designed to align with the market practice among similar, recently-public companies in our industry and at our stage of development. Stock options are inherently performance-based, requiring stock price appreciation before there is any real value earned. RSUs complement stock options by providing greater certainty of value, particularly during periods of market volatility, and by promoting executive share ownership. In addition, the use of RSUs as part of the long-term compensation program is less dilutive than stock option grants and aligns with the evolving compensation practices among our peer group.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For 2025, approximately 92.94% of our Chief Executive Officer's compensation and 86.22% of the average compensation for our other NEOs was considered "at risk". As shown in the graphics below, the mix of fixed base salary, short-term incentive, long-term incentive, and other compensation as reported in our Summary Compensation Table reflects the high proportion of 2025 compensation that was or remains variable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123190</wp:posOffset>
            </wp:positionV>
            <wp:extent cx="3917315" cy="4603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17315" cy="460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Compensation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the guiding principle of our executive compensation program is to provide a structure that allows us to attract and retain highly qualified executives and to motivate our NEOs to achieve clinical, business and financial goals that create long-term stockholder value in a manner consistent with our core business objectives. Our executive compensation program consists of three principal components: base salary, short-term incentives in the form of an annual cash bonus, and long-term incentives in the form of annual equity awards.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Each Compensation Element Serves a Unique Purpose</w:t>
      </w:r>
    </w:p>
    <w:p>
      <w:pPr>
        <w:sectPr>
          <w:pgSz w:w="11900" w:h="16838" w:orient="portrait"/>
          <w:cols w:equalWidth="0" w:num="1">
            <w:col w:w="11240"/>
          </w:cols>
          <w:pgMar w:left="320" w:top="1386" w:right="33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2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Risk</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1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Wingdings" w:cs="Wingdings" w:eastAsia="Wingdings" w:hAnsi="Wingdings"/>
                <w:sz w:val="18"/>
                <w:szCs w:val="18"/>
                <w:b w:val="1"/>
                <w:bCs w:val="1"/>
                <w:color w:val="auto"/>
                <w:w w:val="99"/>
              </w:rPr>
              <w:t>o</w:t>
            </w:r>
          </w:p>
        </w:tc>
        <w:tc>
          <w:tcPr>
            <w:tcW w:w="20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Fixed cash compensation reflective of individual</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performance, skills, experience and internal equity,</w:t>
            </w:r>
          </w:p>
        </w:tc>
      </w:t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after review of peer group data</w:t>
            </w:r>
          </w:p>
        </w:tc>
      </w:tr>
      <w:tr>
        <w:trPr>
          <w:trHeight w:val="41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Incentives</w:t>
            </w:r>
          </w:p>
        </w:tc>
        <w:tc>
          <w:tcPr>
            <w:tcW w:w="200" w:type="dxa"/>
            <w:vAlign w:val="bottom"/>
          </w:tcPr>
          <w:p>
            <w:pPr>
              <w:spacing w:after="0"/>
              <w:rPr>
                <w:sz w:val="24"/>
                <w:szCs w:val="24"/>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Variable cash compensation based on the level of</w:t>
            </w:r>
          </w:p>
        </w:tc>
      </w:t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achievement of certain annual performance</w:t>
            </w:r>
          </w:p>
        </w:tc>
      </w:tr>
      <w:tr>
        <w:trPr>
          <w:trHeight w:val="234"/>
        </w:trPr>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objectives that are pre-determined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Provide stable compensation to executive officers, allowing us to attract and retain skilled executive talent with competitive pay and maintain a consistent, stable leadership team</w:t>
      </w:r>
    </w:p>
    <w:p>
      <w:pPr>
        <w:spacing w:after="0" w:line="3"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18"/>
          <w:szCs w:val="18"/>
          <w:color w:val="auto"/>
        </w:rPr>
        <w:t>Reward achievement against pre-established goals, motivating executives to achieve performance objectives that are key to our annual operating and strategic plans</w:t>
      </w:r>
    </w:p>
    <w:p>
      <w:pPr>
        <w:spacing w:after="0" w:line="1" w:lineRule="exact"/>
        <w:rPr>
          <w:sz w:val="20"/>
          <w:szCs w:val="20"/>
          <w:color w:val="auto"/>
        </w:rPr>
      </w:pPr>
    </w:p>
    <w:p>
      <w:pPr>
        <w:sectPr>
          <w:pgSz w:w="11900" w:h="16838" w:orient="portrait"/>
          <w:cols w:equalWidth="0" w:num="2">
            <w:col w:w="6980" w:space="180"/>
            <w:col w:w="4080"/>
          </w:cols>
          <w:pgMar w:left="320" w:top="138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Long Term Incentives</w:t>
            </w:r>
          </w:p>
        </w:tc>
        <w:tc>
          <w:tcPr>
            <w:tcW w:w="880" w:type="dxa"/>
            <w:vAlign w:val="bottom"/>
            <w:shd w:val="clear" w:color="auto" w:fill="CFF0FC"/>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shd w:val="clear" w:color="auto" w:fill="CFF0FC"/>
          </w:tcPr>
          <w:p>
            <w:pPr>
              <w:ind w:left="260"/>
              <w:spacing w:after="0" w:line="203" w:lineRule="exact"/>
              <w:rPr>
                <w:sz w:val="20"/>
                <w:szCs w:val="20"/>
                <w:color w:val="auto"/>
              </w:rPr>
            </w:pPr>
            <w:r>
              <w:rPr>
                <w:rFonts w:ascii="Times New Roman" w:cs="Times New Roman" w:eastAsia="Times New Roman" w:hAnsi="Times New Roman"/>
                <w:sz w:val="18"/>
                <w:szCs w:val="18"/>
                <w:color w:val="auto"/>
              </w:rPr>
              <w:t>Variable equity-based compensation subject to</w:t>
            </w:r>
          </w:p>
        </w:tc>
        <w:tc>
          <w:tcPr>
            <w:tcW w:w="420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8"/>
                <w:szCs w:val="18"/>
                <w:color w:val="auto"/>
              </w:rPr>
              <w:t>Motivate and reward executive officers to achieve</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multi-year vesting, with a balanced mix of stock</w:t>
            </w:r>
          </w:p>
        </w:tc>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multi-year strategic goals that are expected to deliver</w:t>
            </w: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and RSUs.</w:t>
            </w:r>
          </w:p>
        </w:tc>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sustained long-term value to stockholders, as well as to</w:t>
            </w: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12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vest based on continued service over</w:t>
            </w:r>
          </w:p>
        </w:tc>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attract and retain executive officers for the long term.</w:t>
            </w:r>
          </w:p>
        </w:tc>
        <w:tc>
          <w:tcPr>
            <w:tcW w:w="0" w:type="dxa"/>
            <w:vAlign w:val="bottom"/>
          </w:tcPr>
          <w:p>
            <w:pPr>
              <w:spacing w:after="0"/>
              <w:rPr>
                <w:sz w:val="1"/>
                <w:szCs w:val="1"/>
                <w:color w:val="auto"/>
              </w:rPr>
            </w:pPr>
          </w:p>
        </w:tc>
      </w:tr>
      <w:tr>
        <w:trPr>
          <w:trHeight w:val="198"/>
        </w:trPr>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120" w:type="dxa"/>
            <w:vAlign w:val="bottom"/>
            <w:vMerge w:val="continue"/>
            <w:shd w:val="clear" w:color="auto" w:fill="CFF0FC"/>
          </w:tcPr>
          <w:p>
            <w:pPr>
              <w:spacing w:after="0"/>
              <w:rPr>
                <w:sz w:val="17"/>
                <w:szCs w:val="17"/>
                <w:color w:val="auto"/>
              </w:rPr>
            </w:pPr>
          </w:p>
        </w:tc>
        <w:tc>
          <w:tcPr>
            <w:tcW w:w="4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four years and only have value to the extent that our</w:t>
            </w:r>
          </w:p>
        </w:tc>
        <w:tc>
          <w:tcPr>
            <w:tcW w:w="4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price appreciates after the grant.</w:t>
            </w:r>
          </w:p>
        </w:tc>
        <w:tc>
          <w:tcPr>
            <w:tcW w:w="4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4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vest based on continued service over four</w:t>
            </w:r>
          </w:p>
        </w:tc>
        <w:tc>
          <w:tcPr>
            <w:tcW w:w="42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years.</w:t>
            </w:r>
          </w:p>
        </w:tc>
        <w:tc>
          <w:tcPr>
            <w:tcW w:w="4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 annual basis, our compensation committee reviews and approves base salary adjustments for our NEOs (other than our Chief Executive Officer), and reviews and recommends to the board, for its consideration and approval, base salary adjustments for our Chief Executive Officer. As part of this process, the compensation committee reviews salary data from peer group companies compiled by our compensation consultant, each NEO’s individual performance and, with respect to NEOs other than our Chief Executive Officer, the recommendation of our Chief Executive Officer. For more information regarding the process the compensation committee uses to determine NEO base salaries, see the section below entitled "Process for Setting Total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compensation committee approved base salary adjustments for each of our NEOs other than our Chief Executive Officer, and the compensation committee recommended, and our board of directors approved, a base salary adjustment for our Chief Executive Officer. These adjustments, which are reflected in the table below, were effective as of January 1, 2025, and were based upon the applicable NEO’s individual performance and a review by the compensation committee and, in the case of our Chief Executive Officer, our board of directors, of the base salaries payable to comparable executive officers by companies in our peer group.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2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 Base Salary ($)</w:t>
            </w:r>
          </w:p>
        </w:tc>
        <w:tc>
          <w:tcPr>
            <w:tcW w:w="280" w:type="dxa"/>
            <w:vAlign w:val="bottom"/>
          </w:tcPr>
          <w:p>
            <w:pPr>
              <w:spacing w:after="0"/>
              <w:rPr>
                <w:sz w:val="15"/>
                <w:szCs w:val="15"/>
                <w:color w:val="auto"/>
              </w:rPr>
            </w:pPr>
          </w:p>
        </w:tc>
        <w:tc>
          <w:tcPr>
            <w:tcW w:w="1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 Base Salary ($)</w:t>
            </w:r>
          </w:p>
        </w:tc>
        <w:tc>
          <w:tcPr>
            <w:tcW w:w="280" w:type="dxa"/>
            <w:vAlign w:val="bottom"/>
          </w:tcPr>
          <w:p>
            <w:pPr>
              <w:spacing w:after="0"/>
              <w:rPr>
                <w:sz w:val="15"/>
                <w:szCs w:val="15"/>
                <w:color w:val="auto"/>
              </w:rPr>
            </w:pPr>
          </w:p>
        </w:tc>
        <w:tc>
          <w:tcPr>
            <w:tcW w:w="1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2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531,000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2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523,000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2025 base salary increases for each NEO generally consisted of merit-based adjustments reflected their strong performance in 2024. The 2025 base salary increase for our Chief Executive Officer also reflected a market-based adjustment that was intended to align his base salary with approximately the 50th percentile of the market among the Company's updated peer group. For more information regarding updates to our peer group for 2025, see the section below entitled "Process for Setting Total Compensation - </w:t>
      </w:r>
      <w:r>
        <w:rPr>
          <w:rFonts w:ascii="Times New Roman" w:cs="Times New Roman" w:eastAsia="Times New Roman" w:hAnsi="Times New Roman"/>
          <w:sz w:val="18"/>
          <w:szCs w:val="18"/>
          <w:i w:val="1"/>
          <w:iCs w:val="1"/>
          <w:color w:val="auto"/>
        </w:rPr>
        <w:t>Peer Group and Benchmarking</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Incentives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Target Bonus Opportunities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annual performance-based cash incentive program designed to reinforce our pay-for-performance philosophy by rewarding our NEOs for our performance against pre-established corporate goals. The target bonus opportunity under our annual cash incentive program constitutes a percentage of the applicable executive officer’s base salary. Such target bonus opportunity for the Chief Executive Officer is determined annually by our board of directors, based upon the recommendation of our compensation committee, and the target bonus opportunity for all other NEOs is determined annually by our compensation committee with input from our Chief Executive Officer, in each case after review of peer group data by our compensation consultant and consideration of an individual performance assessment. For more information regarding the process the compensation committee uses to determine NEO annual target bonus opportunities under our annual cash incentive program, see the section below entitled “Process for Setting Total Compensation.”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compensation committee or the board of directors, as applicable, approved the 2025 target bonus opportunities for the NEOs as set forth in the table below. After considering market data for each NEO’s position, no changes were made to the target bonus opportunities of our NEOs as compared to the prior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tcPr>
          <w:p>
            <w:pPr>
              <w:spacing w:after="0"/>
              <w:rPr>
                <w:sz w:val="13"/>
                <w:szCs w:val="13"/>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0" w:type="dxa"/>
            <w:vAlign w:val="bottom"/>
          </w:tcPr>
          <w:p>
            <w:pPr>
              <w:spacing w:after="0"/>
              <w:rPr>
                <w:sz w:val="1"/>
                <w:szCs w:val="1"/>
                <w:color w:val="auto"/>
              </w:rPr>
            </w:pPr>
          </w:p>
        </w:tc>
      </w:tr>
      <w:tr>
        <w:trPr>
          <w:trHeight w:val="173"/>
        </w:trPr>
        <w:tc>
          <w:tcPr>
            <w:tcW w:w="616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508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50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508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50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5080" w:type="dxa"/>
            <w:vAlign w:val="bottom"/>
            <w:gridSpan w:val="2"/>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Calculation of Actual Bonus Payouts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cash bonus actually paid to our Chief Executive Officer under our annual cash incentive program is determined by the board of directors based upon the recommendation of our compensation committee and is calculated by multiplying the Chief Executive Officer's target bonus opportunity by the percentage achievement of the Company’s pre-established corporate goals for that year. As such, our Chief Executive Officer's annual cash bonus amount is entirely based on the achievement of our corporate goals for that year. The annual cash bonus actually paid to our other NEOs is determined by our compensation committee and is calculated by multiplying the applicable target bonus opportunity by the percentage achievement of the Company’s pre-established corporate goals for that year. Payment of the annual cash bonus to all of our executive officers, including our Chief Executive Officer, is conditioned on the executive remaining employed by us or providing services to us at the time the bonus is actually paid.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Corporate Goals and Performance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2024, our board of directors, upon recommendation from our compensation committee, approved the corporate goals for 2025. Our corporate goals are comprised of key strategic, operational and corporate performance goals relating to clinical development, research, commercial, business development and corporate advancement objectives. As outlined in the table below, each of our corporate goals has a designated weighting and the compensation committee assesses the achievement of each corporate goal. The corporate goals consist of pre-established “base” goals, the achievement of which would result in up to 100% of target bonus opportunities being earned based on corporate performance, and pre-established “stretch” goals, the achievement of which would reflect exceptional performance above and beyond the expected level of performance and that would result in additional target bonus opportunities being earned based on corporate performance. To remove subjectivity in determining the achievement of our base and stretch corporate goals, each goal may either be achieved or not achieved and cannot be overachieved or partially achieved. In addition to the base and stretch goals established at the beginning of the year, the compensation committee and the board of directors may, in their discretion, award or deduct a limited percentage of achievement of our corporate goals based on significant achievements or failures, respectively, that are not reflected in the base and stretch corporate goals that were established in the beginning of the year. In any event, the maximum annual corporate goals achievement cannot exceed more than 150% of target. The 2025 corporate goals, the aggregate relative weightings assigned to each goal, our aggregate actual achievement with respect to such goals as recommended by the compensation committee and determined by the board of directors, and certain specific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achievements that the compensation committee and the board of directors reviewed in making such determination,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 Goals</w:t>
            </w:r>
          </w:p>
        </w:tc>
        <w:tc>
          <w:tcPr>
            <w:tcW w:w="180" w:type="dxa"/>
            <w:vAlign w:val="bottom"/>
          </w:tcPr>
          <w:p>
            <w:pPr>
              <w:spacing w:after="0"/>
              <w:rPr>
                <w:sz w:val="13"/>
                <w:szCs w:val="13"/>
                <w:color w:val="auto"/>
              </w:rPr>
            </w:pPr>
          </w:p>
        </w:tc>
        <w:tc>
          <w:tcPr>
            <w:tcW w:w="6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180" w:type="dxa"/>
            <w:vAlign w:val="bottom"/>
          </w:tcPr>
          <w:p>
            <w:pPr>
              <w:spacing w:after="0"/>
              <w:rPr>
                <w:sz w:val="13"/>
                <w:szCs w:val="13"/>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Actual</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b w:val="1"/>
                <w:bCs w:val="1"/>
                <w:color w:val="auto"/>
              </w:rPr>
              <w:t>Weighting (%)</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Select Corporate Goal Achievements</w:t>
            </w:r>
          </w:p>
        </w:tc>
        <w:tc>
          <w:tcPr>
            <w:tcW w:w="18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 Bitopertin Development</w:t>
            </w: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80" w:type="dxa"/>
            <w:vAlign w:val="bottom"/>
            <w:shd w:val="clear" w:color="auto" w:fill="CFF0FC"/>
          </w:tcPr>
          <w:p>
            <w:pPr>
              <w:spacing w:after="0"/>
              <w:rPr>
                <w:sz w:val="18"/>
                <w:szCs w:val="18"/>
                <w:color w:val="auto"/>
              </w:rPr>
            </w:pPr>
          </w:p>
        </w:tc>
        <w:tc>
          <w:tcPr>
            <w:tcW w:w="5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79%</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i w:val="1"/>
                <w:iCs w:val="1"/>
                <w:color w:val="auto"/>
              </w:rPr>
              <w:t>• Delivered commercialization strategic plan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Initiated APOLLO clinical trial</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Submitted and filed NDA with FDA</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Stretch: Achieved potential for accelerated NDA approval decision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020" w:type="dxa"/>
            <w:vAlign w:val="bottom"/>
            <w:gridSpan w:val="4"/>
          </w:tcPr>
          <w:p>
            <w:pPr>
              <w:ind w:left="1500"/>
              <w:spacing w:after="0"/>
              <w:rPr>
                <w:sz w:val="20"/>
                <w:szCs w:val="20"/>
                <w:color w:val="auto"/>
              </w:rPr>
            </w:pPr>
            <w:r>
              <w:rPr>
                <w:rFonts w:ascii="Times New Roman" w:cs="Times New Roman" w:eastAsia="Times New Roman" w:hAnsi="Times New Roman"/>
                <w:sz w:val="18"/>
                <w:szCs w:val="18"/>
                <w:i w:val="1"/>
                <w:iCs w:val="1"/>
                <w:color w:val="auto"/>
              </w:rPr>
              <w:t>(+30%)</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Stretch: Shifted operations to support potential accelerated commercial</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launch (+14%)</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DISC-0974 Development</w:t>
            </w:r>
          </w:p>
        </w:tc>
        <w:tc>
          <w:tcPr>
            <w:tcW w:w="12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25%</w:t>
            </w:r>
          </w:p>
        </w:tc>
        <w:tc>
          <w:tcPr>
            <w:tcW w:w="180" w:type="dxa"/>
            <w:vAlign w:val="bottom"/>
            <w:shd w:val="clear" w:color="auto" w:fill="CFF0FC"/>
          </w:tcPr>
          <w:p>
            <w:pPr>
              <w:spacing w:after="0"/>
              <w:rPr>
                <w:sz w:val="18"/>
                <w:szCs w:val="18"/>
                <w:color w:val="auto"/>
              </w:rPr>
            </w:pPr>
          </w:p>
        </w:tc>
        <w:tc>
          <w:tcPr>
            <w:tcW w:w="55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i w:val="1"/>
                <w:iCs w:val="1"/>
                <w:color w:val="auto"/>
              </w:rPr>
              <w:t>• Presented interim data from Phase 2 RALLY-MF clinical trial in anemia</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of MF</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Presented data from Phase 1b trial in anemia of chronic kidney disease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(CKD)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Initiated CMC technology transfer to Phase 3 CDMO</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 DISC-3405 Development</w:t>
            </w:r>
          </w:p>
        </w:tc>
        <w:tc>
          <w:tcPr>
            <w:tcW w:w="12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15%</w:t>
            </w:r>
          </w:p>
        </w:tc>
        <w:tc>
          <w:tcPr>
            <w:tcW w:w="180" w:type="dxa"/>
            <w:vAlign w:val="bottom"/>
            <w:shd w:val="clear" w:color="auto" w:fill="CFF0FC"/>
          </w:tcPr>
          <w:p>
            <w:pPr>
              <w:spacing w:after="0"/>
              <w:rPr>
                <w:sz w:val="18"/>
                <w:szCs w:val="18"/>
                <w:color w:val="auto"/>
              </w:rPr>
            </w:pPr>
          </w:p>
        </w:tc>
        <w:tc>
          <w:tcPr>
            <w:tcW w:w="55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i w:val="1"/>
                <w:iCs w:val="1"/>
                <w:color w:val="auto"/>
              </w:rPr>
              <w:t>• Initiated Phase 2 clinical trial in PV</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Initiated Phase 1b clinical trial in SCD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Initiated CMC technology transfer to Phase 3 CDMO</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 Certain Early-Stage Development</w:t>
            </w:r>
          </w:p>
        </w:tc>
        <w:tc>
          <w:tcPr>
            <w:tcW w:w="12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w:t>
            </w:r>
          </w:p>
        </w:tc>
        <w:tc>
          <w:tcPr>
            <w:tcW w:w="180" w:type="dxa"/>
            <w:vAlign w:val="bottom"/>
            <w:shd w:val="clear" w:color="auto" w:fill="CFF0FC"/>
          </w:tcPr>
          <w:p>
            <w:pPr>
              <w:spacing w:after="0"/>
              <w:rPr>
                <w:sz w:val="18"/>
                <w:szCs w:val="18"/>
                <w:color w:val="auto"/>
              </w:rPr>
            </w:pPr>
          </w:p>
        </w:tc>
        <w:tc>
          <w:tcPr>
            <w:tcW w:w="55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Initiated IND-enabling studies for new program</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 Finance &amp; Company Building</w:t>
            </w:r>
          </w:p>
        </w:tc>
        <w:tc>
          <w:tcPr>
            <w:tcW w:w="12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21%</w:t>
            </w:r>
          </w:p>
        </w:tc>
        <w:tc>
          <w:tcPr>
            <w:tcW w:w="180" w:type="dxa"/>
            <w:vAlign w:val="bottom"/>
            <w:shd w:val="clear" w:color="auto" w:fill="CFF0FC"/>
          </w:tcPr>
          <w:p>
            <w:pPr>
              <w:spacing w:after="0"/>
              <w:rPr>
                <w:sz w:val="18"/>
                <w:szCs w:val="18"/>
                <w:color w:val="auto"/>
              </w:rPr>
            </w:pPr>
          </w:p>
        </w:tc>
        <w:tc>
          <w:tcPr>
            <w:tcW w:w="55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29%</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i w:val="1"/>
                <w:iCs w:val="1"/>
                <w:color w:val="auto"/>
              </w:rPr>
              <w:t>• Built key processes and infrastructure to support commercial launch</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readiness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Met hiring objectives to support bitopertin launch plan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Met all public company filing requirements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Presented at major investor conferences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Operated planned activities within budget projection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Obtained financing to provide runway into 2029 (+8%)</w:t>
            </w:r>
          </w:p>
        </w:tc>
        <w:tc>
          <w:tcPr>
            <w:tcW w:w="1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w w:val="98"/>
              </w:rPr>
              <w:t>TOTAL</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-13335</wp:posOffset>
            </wp:positionV>
            <wp:extent cx="685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-13335</wp:posOffset>
            </wp:positionV>
            <wp:extent cx="7543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-156845</wp:posOffset>
            </wp:positionV>
            <wp:extent cx="6858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-156845</wp:posOffset>
            </wp:positionV>
            <wp:extent cx="7543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Reflects only base goal weighting.</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these corporate goals include highly sensitive and competitive data, including preclinical, clinical, regulatory and strategic targets. We do not disclose the specific portions of these goals because we believe that such disclosure would result in competitive harm to us. We purposely set these goals at challenging levels. Revealing certain elements of these goals could potentially reveal insights about our preclinical, clinical, regulatory and strategic plans or objectives that our competitors or potential collaborators could use against us.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2025, the compensation committee evaluated our performance against the 2025 corporate goals. As described in detail in the table above, the compensation committee measured each base and stretch goal that was achieved or not achieved, and considered the Company's overall corporate performance during 2025. In particular, the compensation committee determined that achievement of the stretch goal regarding accelerating the timeline for a potential FDA approval decision with respect to our NDA for bitopertin as a result of the CNPV award, and the achievement of the stretch goal to shift operations to support a potential accelerated commercial launch of bitopertin, were the most impactful to the creation of long-term stockholder value and reflected exceptionally strong Company performance, and therefore assigned achievement percentages of 30% and 14%, respectively, to such goals, resulting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in a 79% weighted achievement for the bitopertin development goal. In addition, the compensation committee determined that obtaining financing to extend our cash runway into 2029 constituted an additional achievement that was not included in the corporate goals at the beginning of the year and assigned an additional percentage of 8% to this achievement, resulting in a 29% weighted achievement for the finance &amp; company building goal. As a result, the compensation committee recommended and the board of directors approved a total corporate goals achievement of 145% of target for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achievement of our 2025 corporate goals and Dr. Quisel's recommendation to the compensation committee regarding the individual accomplishments of each of our other NEOs in 2025, our NEOs received the following annual cash bonuses for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3"/>
                <w:szCs w:val="13"/>
                <w:color w:val="auto"/>
              </w:rPr>
            </w:pPr>
          </w:p>
        </w:tc>
        <w:tc>
          <w:tcPr>
            <w:tcW w:w="14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 of Target</w:t>
            </w:r>
          </w:p>
        </w:tc>
        <w:tc>
          <w:tcPr>
            <w:tcW w:w="2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Bonus Awarded</w:t>
            </w:r>
          </w:p>
        </w:tc>
        <w:tc>
          <w:tcPr>
            <w:tcW w:w="1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Bonus Awarded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30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Annual Base Salary)</w:t>
            </w:r>
          </w:p>
        </w:tc>
        <w:tc>
          <w:tcPr>
            <w:tcW w:w="30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79.75%</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58.00%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 Term Incentives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for qualified and talented executives in the biopharmaceutical industry is highly competitive, and we compete for talent with many companies that have greater resources than we do. Accordingly, we believe long-term incentive compensation is a crucial component of our executive compensation package.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grant a mix of stock options and RSUs as part of our on-hire and annual awards to our NEOs. The size of equity awards granted to our NEOs varies based on their role and annual performance assessments. For more information about how we set the long-term incentive compensation of our NEOs, please see the section below entitled "Process for Setting Total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incentive compensation program is designed to:</w:t>
      </w:r>
    </w:p>
    <w:p>
      <w:pPr>
        <w:spacing w:after="0" w:line="11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demonstrated leadership and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 officers’ interests with those of our stockholders by participating in long-term value creation;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our pay-for-performance philosophy;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executive officers through the vesting period of the awards;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competitive levels of executive compensation;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deliver outstanding future performance.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our 2025 annual long-term incentive award, the compensation committee approved the following equity award mix for our NEOs: a balanced mix of stock options and RSUs, generally reflecting an approximate 50/50 allocation between stock options and RSUs on an option equivalent basis.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Restricted Stock Units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award stock options and RSUs as our long-term incentive compensation because they directly align executive compensation with the creation of stockholder value, and the ultimate value received from stock options and RSUs depends on stock price performance after the grant date. Stock options and RSUs also encourage retention through time-based vesting. This award mix is also aligned with peer practices, as advised by our independent compensation consultant. Stock option awards to newly hired NEOs generally vest as to 25% of the shares subject to the option after one year and in equal monthly installments over the following three years, and stock option awards to existing NEOs generally vest in monthly installments over four years, in both cases, generally subject to continued employment. The exercise price of all stock options is equal to the closing price of our common stock on the grant date as reported 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Nasdaq Stock Market. RSU awards to our NEOs generally vest in annual installments over four years, generally subject to continued employment.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establishing annual long-term incentive award levels for our NEOs other than our Chief Executive Officer, and in formulating a recommendation to the board of directors on the long-term incentive awards to be granted to our Chief Executive Officer, the compensation committee evaluates long-term incentive award data from our peer group (as well as broader market survey data), overall Company performance, the amount of equity previously awarded to the NEOs and the vesting terms of such prior awards, and the Company’s broader organizational equity needs and overall dilution. We evaluate our equity award program on an annual basis 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Awards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compensation committee's evaluation, the compensation committee or the board of directors, as applicable, granted long-term incentive awards to our NEOs in February 2025. The table below reflects these long-term incentive awards granted in the form of stock options and RSUs, with the values calculated in accordance with FASB ASC Topic 718 and as reported in our Summary Compensation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12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3"/>
                <w:szCs w:val="13"/>
                <w:color w:val="auto"/>
              </w:rPr>
            </w:pPr>
          </w:p>
        </w:tc>
        <w:tc>
          <w:tcPr>
            <w:tcW w:w="14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3"/>
                <w:szCs w:val="13"/>
                <w:color w:val="auto"/>
              </w:rPr>
            </w:pPr>
          </w:p>
        </w:tc>
        <w:tc>
          <w:tcPr>
            <w:tcW w:w="1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 Option Value ($)</w:t>
            </w:r>
          </w:p>
        </w:tc>
        <w:tc>
          <w:tcPr>
            <w:tcW w:w="240" w:type="dxa"/>
            <w:vAlign w:val="bottom"/>
          </w:tcPr>
          <w:p>
            <w:pPr>
              <w:spacing w:after="0"/>
              <w:rPr>
                <w:sz w:val="13"/>
                <w:szCs w:val="13"/>
                <w:color w:val="auto"/>
              </w:rPr>
            </w:pPr>
          </w:p>
        </w:tc>
        <w:tc>
          <w:tcPr>
            <w:tcW w:w="1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RSUs Awarded (#)</w:t>
            </w:r>
          </w:p>
        </w:tc>
        <w:tc>
          <w:tcPr>
            <w:tcW w:w="240" w:type="dxa"/>
            <w:vAlign w:val="bottom"/>
          </w:tcPr>
          <w:p>
            <w:pPr>
              <w:spacing w:after="0"/>
              <w:rPr>
                <w:sz w:val="13"/>
                <w:szCs w:val="13"/>
                <w:color w:val="auto"/>
              </w:rPr>
            </w:pPr>
          </w:p>
        </w:tc>
        <w:tc>
          <w:tcPr>
            <w:tcW w:w="14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RSU Value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Awarded (#)</w:t>
            </w:r>
          </w:p>
        </w:tc>
        <w:tc>
          <w:tcPr>
            <w:tcW w:w="24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117,505</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4,441,046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78,337</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Setting Total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our compensation philosophy is carried out under the supervision of our compensation committee. The compensation committee uses the services of an independent compensation consultant who is retained by, and reports directly to, the compensation committee. Management, under guidelines and procedures approved by the compensation committee, determines the compensation of our non-executive officer employees.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Towards the end of each year, the compensation committee deliberates regarding performance-based compensation payouts for the end of such year as well as the base salary, target cash incentives and long-term equity award components of compensation to be awarded to our NEOs, including our Chief Executive Officer, for the next fiscal year. As a result of such deliberations, the compensation committee makes decisions regarding the compensation for our NEOs other than our Chief Executive Officer, and makes a recommendation to the board of directors regarding the compensation of our Chief Executive Officer, for the next fiscal year. In setting compensation for our other NEOs, the compensation committee solicits the input of our Chief Executive Officer, who recommends to the compensation committee the base salary, target cash incentives and long-term equity award components of compensation to be awarded to our NEOs for the next fiscal year, as well as performance-based compensation payouts. The compensation committee remains solely responsible for making the final decisions on compensation for all of our NEOs other than our Chief Executive Officer, whose compensation is determined by the board of directors. Our NEOs, including our Chief Executive Officer, are not present during discussions of their respective compensation packages nor do they participate in approving any portion of their own or other NEO compensation packages.</w:t>
      </w:r>
    </w:p>
    <w:p>
      <w:pPr>
        <w:spacing w:after="0" w:line="86" w:lineRule="exact"/>
        <w:rPr>
          <w:sz w:val="20"/>
          <w:szCs w:val="20"/>
          <w:color w:val="auto"/>
        </w:rPr>
      </w:pPr>
    </w:p>
    <w:p>
      <w:pPr>
        <w:jc w:val="both"/>
        <w:ind w:firstLine="46"/>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a variety of factors, as described below, which may vary from year to year, to set the compensation of our NEOs at levels that the compensation committee considers to be competitive and appropriate for each NEO, using the compensation committee’s professional experience and judgment:</w:t>
      </w:r>
    </w:p>
    <w:p>
      <w:pPr>
        <w:spacing w:after="0" w:line="68"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data from the independent compensation consultant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risk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2" w:name="page33"/>
    <w:bookmarkEnd w:id="32"/>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consultant recommendations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Officer’s recommendations (other than for himself), based on direct knowledge of NEO performance and his extensive industry experience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among individuals and positions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Criticality and scope of job function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targeted and historical compensation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the compensation committee determines appropriate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Towards the end of each year, Company-wide performance goals for the following year are finalized by the compensation committee and the board of directors, and progress toward these goals is reviewed at meetings throughout the year. In addition, to verify the alignment of our compensation program with our business strategy and with the items that we believe drive the creation of stockholder value, the compensation committee reviews the elements and competitiveness of our executive compensation program throughout the year and determines whether it would be appropriate to make any changes to program components.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at our expense, one or more third-party compensation consultants to assist the compensation committee in performing its responsibilities. The compensation committee may terminate the services of the consultant if the compensation committee deems it appropriate. In 2025, the compensation committee utilized the services of Pearl Meyer to assist it in fulfilling its responsibilities, including for advice regarding overall compensation program design, peer group development and updates, and director and executive compensation benchmarking.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 our compensation programs after reviewing publicly available compensation data for our peer group, as provided by Pearl Meyer, supplemented by subscription survey data that we may procure through other vendors, as appropriate. The board of directors and the compensation committee consider Pearl Meyer’s data, analysis and recommendations on certain compensation matters as they deem appropriate.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annually evaluates its engagement of compensation consultants, and selected Pearl Meyer to advise with respect to compensation matters based on Pearl Meyer’s industry experience and reputation. The compensation committee has assessed the independence of Pearl Meyer pursuant to SEC and Nasdaq rules and concluded that no conflict of interest exists that would prevent Pearl Meyer from independently advising the compensation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 and Benchmarking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the total compensation of our NEOs, our compensation committee, using information provided by Pearl Meyer, annually reassesses a peer group of publicly traded biotechnology and pharmaceutical companies that are selected based on similarities to our Company. In 2024, the criteria used to determine the peer group for 2025 compensation determinations included:</w:t>
      </w:r>
    </w:p>
    <w:p>
      <w:pPr>
        <w:spacing w:after="0" w:line="6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Market capitalizations between $400 million and $4.0 billion;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Stage of Development</w:t>
      </w:r>
      <w:r>
        <w:rPr>
          <w:rFonts w:ascii="Times New Roman" w:cs="Times New Roman" w:eastAsia="Times New Roman" w:hAnsi="Times New Roman"/>
          <w:sz w:val="18"/>
          <w:szCs w:val="18"/>
          <w:color w:val="auto"/>
        </w:rPr>
        <w:t>: Clinical-stage companies with an initial public offering before 2024, with a preference for later-stage companies;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Size</w:t>
      </w:r>
      <w:r>
        <w:rPr>
          <w:rFonts w:ascii="Times New Roman" w:cs="Times New Roman" w:eastAsia="Times New Roman" w:hAnsi="Times New Roman"/>
          <w:sz w:val="18"/>
          <w:szCs w:val="18"/>
          <w:color w:val="auto"/>
        </w:rPr>
        <w:t>: Between 25 and 200 employees and operating expense over the prior 12 months of less than $250 million.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Within these parameters, the compensation committee determined that our peer group for 2025 compensation comparisons and decisions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89Bio, Inc.</w:t>
            </w:r>
          </w:p>
        </w:tc>
        <w:tc>
          <w:tcPr>
            <w:tcW w:w="67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iTeos Therapeutics, Inc.</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Akero Therapeutics, Inc.*</w:t>
            </w:r>
          </w:p>
        </w:tc>
        <w:tc>
          <w:tcPr>
            <w:tcW w:w="6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Keros Therapeutics, Inc.</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Centessa Pharmaceuticals plc*</w:t>
            </w:r>
          </w:p>
        </w:tc>
        <w:tc>
          <w:tcPr>
            <w:tcW w:w="67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Kymera Therapeutics, Inc.*</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 Inc.</w:t>
            </w:r>
          </w:p>
        </w:tc>
        <w:tc>
          <w:tcPr>
            <w:tcW w:w="6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Protagonist Therapeutics, Inc.</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Cullinan Therapeutics, Inc.</w:t>
            </w:r>
          </w:p>
        </w:tc>
        <w:tc>
          <w:tcPr>
            <w:tcW w:w="67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Scholar Rock Holding Corporation</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Dyne Therapeutics, Inc.</w:t>
            </w:r>
          </w:p>
        </w:tc>
        <w:tc>
          <w:tcPr>
            <w:tcW w:w="6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Stoke Therapeutics, Inc.*</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Edgewise Therapeutics, Inc.</w:t>
            </w:r>
          </w:p>
        </w:tc>
        <w:tc>
          <w:tcPr>
            <w:tcW w:w="67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Syndax Pharmaceuticals, Inc.</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Fulcrum Therapeutics, Inc.*</w:t>
            </w:r>
          </w:p>
        </w:tc>
        <w:tc>
          <w:tcPr>
            <w:tcW w:w="6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Terns Pharmaceuticals, Inc.</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IDEAYA Biosciences, Inc.</w:t>
            </w:r>
          </w:p>
        </w:tc>
        <w:tc>
          <w:tcPr>
            <w:tcW w:w="6780" w:type="dxa"/>
            <w:vAlign w:val="bottom"/>
            <w:shd w:val="clear" w:color="auto" w:fill="CFF0FC"/>
          </w:tcPr>
          <w:p>
            <w:pPr>
              <w:ind w:left="2240"/>
              <w:spacing w:after="0"/>
              <w:rPr>
                <w:sz w:val="20"/>
                <w:szCs w:val="20"/>
                <w:color w:val="auto"/>
              </w:rPr>
            </w:pPr>
            <w:r>
              <w:rPr>
                <w:rFonts w:ascii="Times New Roman" w:cs="Times New Roman" w:eastAsia="Times New Roman" w:hAnsi="Times New Roman"/>
                <w:sz w:val="18"/>
                <w:szCs w:val="18"/>
                <w:color w:val="auto"/>
              </w:rPr>
              <w:t>Viridian Therapeutics, Inc.</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five companies marked with an asterisk were added to the 2025 peer group; six companies that no longer met the criteria were removed (CymaBay Therapeutics, Inc., Design Therapeutics, Inc., Foghorn Therapeutics, Inc., Morphic Holding, Inc., Rallybio Corporation, and Viking Therapeutics, Inc.). The compensation committee believes that the compensation practices of our 2025 peer group provided us with appropriate compensation benchmarks for evaluating the compensation of our NEOs for 2025. Notwithstanding the similarities of our 2025 peer group, due to the nature of our business, we compete for executive talent with many public companies that are larger and more established than we are or that possess greater resources than we do, or with smaller private companies that may be able to offer greater equity compensation potential, as well as with prestigious academic and non-profit institutions.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compensation committee and board of directors generally target compensation for each NEO to be competitive with the compensation provided by our peers for the same or a similar position, including targeting base salaries, annual target bonus opportunities, and long-term equity incentives that approximate the 50th percentile of our peer group, they may consider other criteria, including market factors, the experience level of the executive and the executive’s performance against established corporate goals, in determining variations to this general target range.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Other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During 2025, we implemented a safe harbor match under our 401(k) program of 50% of a participant’s eligible contributions, up to a total of 6% of eligible compensation.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certain medical, disability and life insurance benefit programs as offered by us. We pay the full premiums for dental, vision, term life insurance and disability for all of our employees, including our NEOs. We do not sponsor any qualified or non-qualified defined benefit plans for any of our employees or NEOs.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NEO is also eligible for severance benefits in specified circumstances, as set forth in each such officer’s employment agreement. Under the terms of these agreements, upon execution and effectiveness of a severance agreement and release of claims, each NEO will be entitled to double-trigger severance payments if at any time, including within three months prior to or 12 months following a change in control, we:</w:t>
      </w:r>
    </w:p>
    <w:p>
      <w:pPr>
        <w:spacing w:after="0" w:line="68"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his or her employment without cause;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or she terminates employment with us for good reason.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these severance arrangements because we believe that, in a competitive market for talent, severance arrangements are necessary to attract and retain high quality executives. In addition, the change in control benefit allows and incentivizes executives to maintain their focus on our business during a period when they otherwise might be distracted. Please refer to “Employment Arrangements with Named Executive Officers” below for a more detailed discussion of severance benefits for our NEOs.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our tax-qualified 2021 Employee Stock Purchase Plan, or the ESPP, in which all our employees, including our NEOs, may participate, subject to the eligibility criteria set forth in the ESPP and consistent with the applicable tax rules. The purpose of the ESPP is to encourage employees, including our NEOs, to become our stockholders and better align their interests with those of our other stockholders. None of our NEOs purchased shares of our common stock under the ESPP in fiscal year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 Practices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compensation committee generally approves the annual equity awards for our executive officers, including each of our NEOs (except for the Chief Executive Officer whose annual equity awards are approved by our board of directors), at a pre-scheduled meeting or by unanimous written consent in the last quarter of the preceding fiscal year, with such grants generally effective in the first quarter of the applicable fiscal year. In certain circumstances, including the hiring or promotion of an individual, or where the compensation committee determines it is in the best interests of the Company, the compensation committee may approve the grant of equity awards at other times. In particular, the compensation committee's practice is to approve on-hire grants of equity awards to new executives effective upon their date of hire or promotion, as applicable.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2025, we did not time the disclosure of material nonpublic information for the purpose of affecting the value of any executive compensation awarded, and no NEO was granted an equity award during the period beginning four business days before, and ending one business day after, the filing of a periodic report on Form 10-Q or an annual report on Form 10-K, or the filing or furnishing of a current report on Form 8-K that disclosed material nonpublic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for Recoupment of Incentive Compensation (Clawback Policy)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adopted a policy for recoupment of incentive compensation, or the Clawback Policy, in compliance with the requirements of the Dodd-Frank Wall Street Reform and Consumer Protection Act, final SEC rules and applicable Nasdaq listing standards, or the final clawback rules, which covers our current and former executive officers, including all of our NEOs.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incentive-based compensation and any other equity-based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In addition, under our Clawback Policy, in the event that we are required to restate our financial statements due to material noncompliance with any financial reporting requirement under securities laws, we must use reasonable efforts to recover (i) any incentive-based compensation and any other equity-based compensation received by any other current or former employee of the Company in the three years prior to the date we are required to restate our financial statements that is in excess of the amount that would have been received based on the restated financial statements if we determine that the employee committed certain acts or omissions that materially contributed to the circumstances requiring the restatement and (ii) up to 100% of the incentive-based compensation and any other equity-based compensation received by any current or former employee in the three years prior to the date we are required to restate our financial statements if we determine that the employee committed certain acts or omissions that materially contributed to the circumstances requiring the restatement.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Personal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executives.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Deductibility of Executive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tax deduction for any publicly-held corporation for individual compensation exceeding $1 million in any taxable year that is paid to certain executive officers of the corporation. The compensation committee believes that its primary responsibility is to provide a compensation program that attracts, retains and rewards the executives necessary for our success. Accordingly, the compensation committee has authorized and will continue to authorize compensation payments that are not or may not be deductible, in full or in part.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If accounting standards change, we may revise certain programs to appropriately align accounting expenses of our equity awards with our overall executive compensation philosophy and objectives.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follow the Financial Accounting Standard Board’s Accounting Standards Codification Topic 718, or FASB ASC Topic 718, for our stock-based compensation awards. FASB ASC Topic 718 requires us to measure the compensation expense for all share-based payment awards made to our employees and non-employee members of our board of directors, including stock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the management of the Company. Based on this review and these discussions, we have recommended to the board of directors that the Compensation Discussion and Analysis be included in this proxy statement and incorporated by reference in the Company's Annual Report on Form 10-K for the year ended December 31, 2025, which was filed with the SEC on February 26,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preceding report has been furnished by the following members of the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Nicholson,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Georges Gemayel,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Bitterman, Ph.D.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awarded to, earned by, and paid to our named executive officers, or NEOs, for services rendered to us in all capacities for the fiscal years ended December 31, 2025, 2024 and 2023, as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00" w:type="dxa"/>
            <w:vAlign w:val="bottom"/>
          </w:tcPr>
          <w:p>
            <w:pPr>
              <w:spacing w:after="0"/>
              <w:rPr>
                <w:sz w:val="12"/>
                <w:szCs w:val="12"/>
                <w:color w:val="auto"/>
              </w:rPr>
            </w:pPr>
          </w:p>
        </w:tc>
        <w:tc>
          <w:tcPr>
            <w:tcW w:w="8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22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ind w:right="217"/>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(2)</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Awards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9"/>
                <w:szCs w:val="19"/>
                <w:b w:val="1"/>
                <w:bCs w:val="1"/>
                <w:color w:val="auto"/>
                <w:w w:val="98"/>
                <w:vertAlign w:val="superscript"/>
              </w:rPr>
              <w:t>(3)</w:t>
            </w:r>
          </w:p>
        </w:tc>
        <w:tc>
          <w:tcPr>
            <w:tcW w:w="3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n ($)</w:t>
            </w:r>
            <w:r>
              <w:rPr>
                <w:rFonts w:ascii="Times New Roman" w:cs="Times New Roman" w:eastAsia="Times New Roman" w:hAnsi="Times New Roman"/>
                <w:sz w:val="19"/>
                <w:szCs w:val="19"/>
                <w:b w:val="1"/>
                <w:bCs w:val="1"/>
                <w:color w:val="auto"/>
                <w:w w:val="94"/>
                <w:vertAlign w:val="superscript"/>
              </w:rPr>
              <w:t>(5)</w:t>
            </w: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4,285,817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4,441,046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554,263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9,986,626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00" w:type="dxa"/>
            <w:vAlign w:val="bottom"/>
            <w:shd w:val="clear" w:color="auto" w:fill="CFF0FC"/>
          </w:tcPr>
          <w:p>
            <w:pPr>
              <w:spacing w:after="0"/>
              <w:rPr>
                <w:sz w:val="17"/>
                <w:szCs w:val="17"/>
                <w:color w:val="auto"/>
              </w:rPr>
            </w:pPr>
          </w:p>
        </w:tc>
        <w:tc>
          <w:tcPr>
            <w:tcW w:w="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2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4,240,724</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3,690,937</w:t>
            </w: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478,913</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9,065,924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5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960" w:type="dxa"/>
            <w:vAlign w:val="bottom"/>
            <w:gridSpan w:val="2"/>
            <w:vMerge w:val="continue"/>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1160" w:type="dxa"/>
            <w:vAlign w:val="bottom"/>
            <w:gridSpan w:val="2"/>
            <w:vMerge w:val="continue"/>
            <w:shd w:val="clear" w:color="auto" w:fill="CFF0FC"/>
          </w:tcPr>
          <w:p>
            <w:pPr>
              <w:spacing w:after="0"/>
              <w:rPr>
                <w:sz w:val="11"/>
                <w:szCs w:val="11"/>
                <w:color w:val="auto"/>
              </w:rPr>
            </w:pPr>
          </w:p>
        </w:tc>
        <w:tc>
          <w:tcPr>
            <w:tcW w:w="1160" w:type="dxa"/>
            <w:vAlign w:val="bottom"/>
            <w:gridSpan w:val="2"/>
            <w:vMerge w:val="continue"/>
            <w:shd w:val="clear" w:color="auto" w:fill="CFF0FC"/>
          </w:tcPr>
          <w:p>
            <w:pPr>
              <w:spacing w:after="0"/>
              <w:rPr>
                <w:sz w:val="11"/>
                <w:szCs w:val="11"/>
                <w:color w:val="auto"/>
              </w:rPr>
            </w:pPr>
          </w:p>
        </w:tc>
        <w:tc>
          <w:tcPr>
            <w:tcW w:w="1340" w:type="dxa"/>
            <w:vAlign w:val="bottom"/>
            <w:gridSpan w:val="2"/>
            <w:vMerge w:val="continue"/>
            <w:shd w:val="clear" w:color="auto" w:fill="CFF0FC"/>
          </w:tcPr>
          <w:p>
            <w:pPr>
              <w:spacing w:after="0"/>
              <w:rPr>
                <w:sz w:val="11"/>
                <w:szCs w:val="11"/>
                <w:color w:val="auto"/>
              </w:rPr>
            </w:pPr>
          </w:p>
        </w:tc>
        <w:tc>
          <w:tcPr>
            <w:tcW w:w="1060" w:type="dxa"/>
            <w:vAlign w:val="bottom"/>
            <w:gridSpan w:val="2"/>
            <w:vMerge w:val="continue"/>
            <w:shd w:val="clear" w:color="auto" w:fill="CFF0FC"/>
          </w:tcPr>
          <w:p>
            <w:pPr>
              <w:spacing w:after="0"/>
              <w:rPr>
                <w:sz w:val="11"/>
                <w:szCs w:val="11"/>
                <w:color w:val="auto"/>
              </w:rPr>
            </w:pPr>
          </w:p>
        </w:tc>
        <w:tc>
          <w:tcPr>
            <w:tcW w:w="112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6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562,000</w:t>
            </w:r>
          </w:p>
        </w:tc>
        <w:tc>
          <w:tcPr>
            <w:tcW w:w="28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9"/>
                <w:szCs w:val="9"/>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337,200</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909,100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Jean Franchi</w:t>
            </w:r>
          </w:p>
        </w:tc>
        <w:tc>
          <w:tcPr>
            <w:tcW w:w="100" w:type="dxa"/>
            <w:vAlign w:val="bottom"/>
          </w:tcPr>
          <w:p>
            <w:pPr>
              <w:spacing w:after="0"/>
              <w:rPr>
                <w:sz w:val="17"/>
                <w:szCs w:val="17"/>
                <w:color w:val="auto"/>
              </w:rPr>
            </w:pPr>
          </w:p>
        </w:tc>
        <w:tc>
          <w:tcPr>
            <w:tcW w:w="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531,000</w:t>
            </w:r>
          </w:p>
        </w:tc>
        <w:tc>
          <w:tcPr>
            <w:tcW w:w="28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1,969,560</w:t>
            </w:r>
          </w:p>
        </w:tc>
        <w:tc>
          <w:tcPr>
            <w:tcW w:w="1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1,360,603</w:t>
            </w:r>
          </w:p>
        </w:tc>
        <w:tc>
          <w:tcPr>
            <w:tcW w:w="13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307,980</w:t>
            </w:r>
          </w:p>
        </w:tc>
        <w:tc>
          <w:tcPr>
            <w:tcW w:w="220" w:type="dxa"/>
            <w:vAlign w:val="bottom"/>
          </w:tcPr>
          <w:p>
            <w:pPr>
              <w:spacing w:after="0"/>
              <w:rPr>
                <w:sz w:val="17"/>
                <w:szCs w:val="17"/>
                <w:color w:val="auto"/>
              </w:rPr>
            </w:pPr>
          </w:p>
        </w:tc>
        <w:tc>
          <w:tcPr>
            <w:tcW w:w="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4,169,143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464,491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2,392,457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2,090,102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278,100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5,300,150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1,969,560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4,162,263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428,603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2,370,824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2,082,577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William Savage, M.D., Ph.D.</w:t>
            </w:r>
          </w:p>
        </w:tc>
        <w:tc>
          <w:tcPr>
            <w:tcW w:w="60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523,000</w:t>
            </w:r>
          </w:p>
        </w:tc>
        <w:tc>
          <w:tcPr>
            <w:tcW w:w="28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1,313,040</w:t>
            </w:r>
          </w:p>
        </w:tc>
        <w:tc>
          <w:tcPr>
            <w:tcW w:w="11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1,360,603</w:t>
            </w:r>
          </w:p>
        </w:tc>
        <w:tc>
          <w:tcPr>
            <w:tcW w:w="13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303,340</w:t>
            </w:r>
          </w:p>
        </w:tc>
        <w:tc>
          <w:tcPr>
            <w:tcW w:w="10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10,500</w:t>
            </w:r>
          </w:p>
        </w:tc>
        <w:tc>
          <w:tcPr>
            <w:tcW w:w="11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3,510,483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1,184,387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1,030,719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458,000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1,313,040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294,060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3,485,203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1,160,744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2,936,021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419,000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201,120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reflect salaries earned by each NEO during the respective fiscal year.</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the RSUs granted to our NEOs during 2025, calculated in accordance with Financial Accounting Standards Board, or FASB, Accounting Standards Codification, or ASC, Topic 718, not including any estimates of forfeitures related to service-based vesting conditions. The assumptions used in calculating the grant date fair value of the RSUs reported in this column are set forth in Note 10 to our consolidated financial statements included in Annual Report on Form 10-K for the fiscal year ended December 31, 2025.</w:t>
      </w:r>
    </w:p>
    <w:p>
      <w:pPr>
        <w:spacing w:after="0" w:line="71"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the stock options awarded to our NEOs, calculated in accordance with FASB ASC Topic 718, not including any estimates of forfeitures related to service-based vesting conditions. The assumptions used in calculating the grant date fair value of the stock options reported in this column are set forth in Note 10 to our consolidated financial statements included in Annual Report on Form 10-K for the fiscal year ended December 31, 2025. The amounts reported in this column reflect the accounting cost for the stock options and do not correspond to the actual economic value that may be received by our NEOs upon the exercise of the stock options or any sale of the common stock underlying such stock options.</w:t>
      </w:r>
    </w:p>
    <w:p>
      <w:pPr>
        <w:spacing w:after="0" w:line="79"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bonuses earned as of December 31, 2025, upon the attainment of one or more pre-established performance goals established by our board of directors on an annual basis under our cash incentive program.</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safe harbor matching contributions under our 401(k) plan in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Year 2025</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each grant of an award made to an NEO during the fiscal year ended December 31, 2025 under any plan, contract, authorization or arrangement pursuant to which cash, securities, similar instruments or other property may be received. Except where stated otherwise, all equity awards granted to NEOs during 2025 were granted under the Company’s Amended and Restated 2021 Stock Option and Incentive Plan, or the 2021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13"/>
                <w:szCs w:val="13"/>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0" w:type="dxa"/>
            <w:vAlign w:val="bottom"/>
          </w:tcPr>
          <w:p>
            <w:pPr>
              <w:spacing w:after="0"/>
              <w:rPr>
                <w:sz w:val="1"/>
                <w:szCs w:val="1"/>
                <w:color w:val="auto"/>
              </w:rPr>
            </w:pPr>
          </w:p>
        </w:tc>
      </w:tr>
      <w:tr>
        <w:trPr>
          <w:trHeight w:val="255"/>
        </w:trPr>
        <w:tc>
          <w:tcPr>
            <w:tcW w:w="14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22"/>
                <w:szCs w:val="22"/>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69"/>
        </w:trPr>
        <w:tc>
          <w:tcPr>
            <w:tcW w:w="1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John Quisel, J.D.,</w:t>
            </w:r>
          </w:p>
        </w:tc>
        <w:tc>
          <w:tcPr>
            <w:tcW w:w="1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1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Ph.D.</w:t>
            </w: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vMerge w:val="continue"/>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2/10/20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12/17/20</w:t>
            </w:r>
          </w:p>
        </w:tc>
        <w:tc>
          <w:tcPr>
            <w:tcW w:w="0" w:type="dxa"/>
            <w:vAlign w:val="bottom"/>
          </w:tcPr>
          <w:p>
            <w:pPr>
              <w:spacing w:after="0"/>
              <w:rPr>
                <w:sz w:val="1"/>
                <w:szCs w:val="1"/>
                <w:color w:val="auto"/>
              </w:rPr>
            </w:pPr>
          </w:p>
        </w:tc>
      </w:tr>
      <w:tr>
        <w:trPr>
          <w:trHeight w:val="198"/>
        </w:trPr>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12/17/20</w:t>
            </w:r>
          </w:p>
        </w:tc>
        <w:tc>
          <w:tcPr>
            <w:tcW w:w="0" w:type="dxa"/>
            <w:vAlign w:val="bottom"/>
          </w:tcPr>
          <w:p>
            <w:pPr>
              <w:spacing w:after="0"/>
              <w:rPr>
                <w:sz w:val="1"/>
                <w:szCs w:val="1"/>
                <w:color w:val="auto"/>
              </w:rPr>
            </w:pPr>
          </w:p>
        </w:tc>
      </w:tr>
      <w:tr>
        <w:trPr>
          <w:trHeight w:val="234"/>
        </w:trPr>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Jean Franchi</w:t>
            </w:r>
          </w:p>
        </w:tc>
        <w:tc>
          <w:tcPr>
            <w:tcW w:w="12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Pamela</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Stephenson,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M.P.H.</w:t>
            </w:r>
          </w:p>
        </w:tc>
        <w:tc>
          <w:tcPr>
            <w:tcW w:w="12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2/10/20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198"/>
        </w:trPr>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234"/>
        </w:trPr>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William Savage,</w:t>
            </w: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M.D., Ph.D.</w:t>
            </w: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14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Jonathan Yu,</w:t>
            </w: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14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M.B.A.</w:t>
            </w: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vMerge w:val="continue"/>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2/10/20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198"/>
        </w:trPr>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2/10/20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12/16/20</w:t>
            </w:r>
          </w:p>
        </w:tc>
        <w:tc>
          <w:tcPr>
            <w:tcW w:w="0" w:type="dxa"/>
            <w:vAlign w:val="bottom"/>
          </w:tcPr>
          <w:p>
            <w:pPr>
              <w:spacing w:after="0"/>
              <w:rPr>
                <w:sz w:val="1"/>
                <w:szCs w:val="1"/>
                <w:color w:val="auto"/>
              </w:rPr>
            </w:pPr>
          </w:p>
        </w:tc>
      </w:tr>
      <w:tr>
        <w:trPr>
          <w:trHeight w:val="234"/>
        </w:trPr>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82"/>
        </w:trPr>
        <w:tc>
          <w:tcPr>
            <w:tcW w:w="21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___________________</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 Base</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6"/>
        </w:trPr>
        <w:tc>
          <w:tcPr>
            <w:tcW w:w="2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 of Option</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 Plan Awards: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 or units</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 and</w:t>
            </w:r>
          </w:p>
        </w:tc>
        <w:tc>
          <w:tcPr>
            <w:tcW w:w="0" w:type="dxa"/>
            <w:vAlign w:val="bottom"/>
          </w:tcPr>
          <w:p>
            <w:pPr>
              <w:spacing w:after="0"/>
              <w:rPr>
                <w:sz w:val="1"/>
                <w:szCs w:val="1"/>
                <w:color w:val="auto"/>
              </w:rPr>
            </w:pPr>
          </w:p>
        </w:tc>
      </w:tr>
      <w:tr>
        <w:trPr>
          <w:trHeight w:val="148"/>
        </w:trPr>
        <w:tc>
          <w:tcPr>
            <w:tcW w:w="2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 ($)</w:t>
            </w:r>
          </w:p>
        </w:tc>
        <w:tc>
          <w:tcPr>
            <w:tcW w:w="1380" w:type="dxa"/>
            <w:vAlign w:val="bottom"/>
            <w:gridSpan w:val="2"/>
          </w:tcPr>
          <w:p>
            <w:pPr>
              <w:jc w:val="center"/>
              <w:ind w:left="134"/>
              <w:spacing w:after="0" w:line="149" w:lineRule="exact"/>
              <w:rPr>
                <w:sz w:val="20"/>
                <w:szCs w:val="20"/>
                <w:color w:val="auto"/>
              </w:rPr>
            </w:pP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17"/>
                <w:szCs w:val="17"/>
                <w:b w:val="1"/>
                <w:bCs w:val="1"/>
                <w:color w:val="auto"/>
                <w:w w:val="98"/>
                <w:vertAlign w:val="superscript"/>
              </w:rPr>
              <w:t>(3)</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Options (#)</w:t>
            </w:r>
            <w:r>
              <w:rPr>
                <w:rFonts w:ascii="Times New Roman" w:cs="Times New Roman" w:eastAsia="Times New Roman" w:hAnsi="Times New Roman"/>
                <w:sz w:val="17"/>
                <w:szCs w:val="17"/>
                <w:b w:val="1"/>
                <w:bCs w:val="1"/>
                <w:color w:val="auto"/>
                <w:vertAlign w:val="superscript"/>
              </w:rPr>
              <w:t>(4)</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7"/>
                <w:szCs w:val="17"/>
                <w:b w:val="1"/>
                <w:bCs w:val="1"/>
                <w:color w:val="auto"/>
                <w:vertAlign w:val="superscript"/>
              </w:rPr>
              <w:t>(5)</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Option Awards</w:t>
            </w:r>
            <w:r>
              <w:rPr>
                <w:rFonts w:ascii="Times New Roman" w:cs="Times New Roman" w:eastAsia="Times New Roman" w:hAnsi="Times New Roman"/>
                <w:sz w:val="17"/>
                <w:szCs w:val="17"/>
                <w:b w:val="1"/>
                <w:bCs w:val="1"/>
                <w:color w:val="auto"/>
                <w:vertAlign w:val="superscript"/>
              </w:rPr>
              <w:t>(6)</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tcPr>
          <w:p>
            <w:pPr>
              <w:jc w:val="right"/>
              <w:ind w:right="174"/>
              <w:spacing w:after="0" w:line="175" w:lineRule="exact"/>
              <w:rPr>
                <w:sz w:val="20"/>
                <w:szCs w:val="20"/>
                <w:color w:val="auto"/>
              </w:rPr>
            </w:pPr>
            <w:r>
              <w:rPr>
                <w:rFonts w:ascii="Times New Roman" w:cs="Times New Roman" w:eastAsia="Times New Roman" w:hAnsi="Times New Roman"/>
                <w:sz w:val="14"/>
                <w:szCs w:val="14"/>
                <w:b w:val="1"/>
                <w:bCs w:val="1"/>
                <w:color w:val="auto"/>
              </w:rPr>
              <w:t>Target</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52"/>
              <w:spacing w:after="0" w:line="175" w:lineRule="exact"/>
              <w:rPr>
                <w:sz w:val="20"/>
                <w:szCs w:val="20"/>
                <w:color w:val="auto"/>
              </w:rPr>
            </w:pPr>
            <w:r>
              <w:rPr>
                <w:rFonts w:ascii="Times New Roman" w:cs="Times New Roman" w:eastAsia="Times New Roman" w:hAnsi="Times New Roman"/>
                <w:sz w:val="14"/>
                <w:szCs w:val="14"/>
                <w:b w:val="1"/>
                <w:bCs w:val="1"/>
                <w:color w:val="auto"/>
              </w:rPr>
              <w:t>Maximum</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573,375</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78,337</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4,285,817</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4,441,046</w:t>
            </w:r>
          </w:p>
        </w:tc>
        <w:tc>
          <w:tcPr>
            <w:tcW w:w="0" w:type="dxa"/>
            <w:vAlign w:val="bottom"/>
          </w:tcPr>
          <w:p>
            <w:pPr>
              <w:spacing w:after="0"/>
              <w:rPr>
                <w:sz w:val="1"/>
                <w:szCs w:val="1"/>
                <w:color w:val="auto"/>
              </w:rPr>
            </w:pPr>
          </w:p>
        </w:tc>
      </w:tr>
      <w:tr>
        <w:trPr>
          <w:trHeight w:val="32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318,600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1,969,560</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0" w:type="dxa"/>
            <w:vAlign w:val="bottom"/>
          </w:tcPr>
          <w:p>
            <w:pPr>
              <w:spacing w:after="0"/>
              <w:rPr>
                <w:sz w:val="1"/>
                <w:szCs w:val="1"/>
                <w:color w:val="auto"/>
              </w:rPr>
            </w:pPr>
          </w:p>
        </w:tc>
      </w:tr>
      <w:tr>
        <w:trPr>
          <w:trHeight w:val="54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1,969,560</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313,800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1,313,040</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304,200</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1,313,040</w:t>
            </w:r>
          </w:p>
        </w:tc>
        <w:tc>
          <w:tcPr>
            <w:tcW w:w="0" w:type="dxa"/>
            <w:vAlign w:val="bottom"/>
          </w:tcPr>
          <w:p>
            <w:pPr>
              <w:spacing w:after="0"/>
              <w:rPr>
                <w:sz w:val="1"/>
                <w:szCs w:val="1"/>
                <w:color w:val="auto"/>
              </w:rPr>
            </w:pPr>
          </w:p>
        </w:tc>
      </w:tr>
      <w:tr>
        <w:trPr>
          <w:trHeight w:val="432"/>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-4045585</wp:posOffset>
            </wp:positionV>
            <wp:extent cx="7132320" cy="822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-2536825</wp:posOffset>
            </wp:positionV>
            <wp:extent cx="7132320" cy="960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6012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-753745</wp:posOffset>
            </wp:positionV>
            <wp:extent cx="7132320" cy="8229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40" w:lineRule="exact"/>
        <w:rPr>
          <w:sz w:val="20"/>
          <w:szCs w:val="20"/>
          <w:color w:val="auto"/>
        </w:rPr>
      </w:pPr>
    </w:p>
    <w:p>
      <w:pPr>
        <w:sectPr>
          <w:pgSz w:w="11900" w:h="16838" w:orient="portrait"/>
          <w:cols w:equalWidth="0" w:num="2">
            <w:col w:w="3040" w:space="200"/>
            <w:col w:w="8000"/>
          </w:cols>
          <w:pgMar w:left="320" w:top="1440" w:right="339" w:bottom="1440" w:gutter="0" w:footer="0" w:header="0"/>
          <w:type w:val="continuous"/>
        </w:sect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date the compensation committee or the board of directors, as applicable, took action to grant the award, where such action took place on a date other than the grant date.</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target and maximum amounts of each executive’s cash payments under our 2025 annual performance-based cash incentive program as described in “Compensation Discussion and Analysis” above. Actual payments made for 2025 are provided in the “2025 Summary Compensation Table.” As there is no threshold amount with respect to these performance-based cash payments, the column “Threshold ($)” is inapplicable and therefore has been omitted from this table.</w:t>
      </w:r>
    </w:p>
    <w:p>
      <w:pPr>
        <w:spacing w:after="0" w:line="7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awarded with time-based vesting criteria established by the compensation committee and described in "Compensation Discussion and Analysis" above.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awarded with time-based vesting criteria established by the compensation committee and described in "Compensation Discussion and Analysis" above.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stock as reported on the Nasdaq Global Market on the grant date.</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aggregate grant date fair value of awards granted to our NEOs in 2025, computed in accordance with FASB ASC Topic 718, not including any estimates of forfeitures related to service-based vesting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147"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conditions. See Note 10 of “Notes to Consolidated Financial Statements” in our 2025 Annual Report filed with the SEC on February 26, 2026 for a discussion of assumptions made by the Company in determining the aggregate grant date fair value of our option awards.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2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60" w:type="dxa"/>
            <w:vAlign w:val="bottom"/>
            <w:vMerge w:val="restart"/>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060" w:type="dxa"/>
            <w:vAlign w:val="bottom"/>
            <w:vMerge w:val="continue"/>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2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6"/>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vMerge w:val="continue"/>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Commence</w:t>
            </w:r>
          </w:p>
        </w:tc>
        <w:tc>
          <w:tcPr>
            <w:tcW w:w="11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4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146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ment Date</w:t>
            </w:r>
          </w:p>
        </w:tc>
        <w:tc>
          <w:tcPr>
            <w:tcW w:w="11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u w:val="single" w:color="auto"/>
                <w:color w:val="auto"/>
              </w:rPr>
              <w:t>Expiration Date</w:t>
            </w:r>
          </w:p>
        </w:tc>
        <w:tc>
          <w:tcPr>
            <w:tcW w:w="220" w:type="dxa"/>
            <w:vAlign w:val="bottom"/>
          </w:tcPr>
          <w:p>
            <w:pPr>
              <w:spacing w:after="0"/>
              <w:rPr>
                <w:sz w:val="16"/>
                <w:szCs w:val="16"/>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240" w:type="dxa"/>
            <w:vAlign w:val="bottom"/>
          </w:tcPr>
          <w:p>
            <w:pPr>
              <w:jc w:val="center"/>
              <w:ind w:left="48"/>
              <w:spacing w:after="0" w:line="191"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2028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p>
      <w:pPr>
        <w:sectPr>
          <w:pgSz w:w="11900" w:h="16900" w:orient="portrait"/>
          <w:cols w:equalWidth="0" w:num="1">
            <w:col w:w="11240"/>
          </w:cols>
          <w:pgMar w:left="320" w:top="1440" w:right="339" w:bottom="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Pamela Stephenson, M.P.H.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William Savage, M.D., Ph.D.</w:t>
      </w:r>
    </w:p>
    <w:p>
      <w:pPr>
        <w:spacing w:after="0" w:line="20" w:lineRule="exact"/>
        <w:rPr>
          <w:sz w:val="20"/>
          <w:szCs w:val="20"/>
          <w:color w:val="auto"/>
        </w:rPr>
      </w:pPr>
      <w:r>
        <w:rPr>
          <w:sz w:val="20"/>
          <w:szCs w:val="20"/>
          <w:color w:val="auto"/>
        </w:rPr>
        <w:br w:type="column"/>
      </w:r>
    </w:p>
    <w:p>
      <w:pPr>
        <w:spacing w:after="0" w:line="186" w:lineRule="auto"/>
        <w:rPr>
          <w:sz w:val="20"/>
          <w:szCs w:val="20"/>
          <w:color w:val="auto"/>
        </w:rPr>
      </w:pPr>
      <w:r>
        <w:rPr>
          <w:rFonts w:ascii="Times New Roman" w:cs="Times New Roman" w:eastAsia="Times New Roman" w:hAnsi="Times New Roman"/>
          <w:sz w:val="16"/>
          <w:szCs w:val="16"/>
          <w:color w:val="auto"/>
        </w:rPr>
        <w:t>2/10/20</w:t>
      </w:r>
    </w:p>
    <w:p>
      <w:pPr>
        <w:ind w:left="560"/>
        <w:spacing w:after="0" w:line="191" w:lineRule="auto"/>
        <w:rPr>
          <w:sz w:val="20"/>
          <w:szCs w:val="20"/>
          <w:color w:val="auto"/>
        </w:rPr>
      </w:pPr>
      <w:r>
        <w:rPr>
          <w:rFonts w:ascii="Times New Roman" w:cs="Times New Roman" w:eastAsia="Times New Roman" w:hAnsi="Times New Roman"/>
          <w:sz w:val="8"/>
          <w:szCs w:val="8"/>
          <w:color w:val="auto"/>
          <w:vertAlign w:val="superscript"/>
        </w:rPr>
        <w:t>(3)</w:t>
      </w:r>
    </w:p>
    <w:p>
      <w:pPr>
        <w:ind w:left="360"/>
        <w:spacing w:after="0"/>
        <w:tabs>
          <w:tab w:leader="none" w:pos="780" w:val="left"/>
        </w:tabs>
        <w:rPr>
          <w:sz w:val="20"/>
          <w:szCs w:val="20"/>
          <w:color w:val="auto"/>
        </w:rPr>
      </w:pPr>
      <w:r>
        <w:rPr>
          <w:rFonts w:ascii="Times New Roman" w:cs="Times New Roman" w:eastAsia="Times New Roman" w:hAnsi="Times New Roman"/>
          <w:sz w:val="17"/>
          <w:szCs w:val="17"/>
          <w:color w:val="auto"/>
        </w:rPr>
        <w:t>25</w:t>
        <w:tab/>
        <w:t>2/15/2025</w:t>
      </w:r>
    </w:p>
    <w:p>
      <w:pPr>
        <w:spacing w:after="0" w:line="189" w:lineRule="auto"/>
        <w:rPr>
          <w:sz w:val="20"/>
          <w:szCs w:val="20"/>
          <w:color w:val="auto"/>
        </w:rPr>
      </w:pPr>
      <w:r>
        <w:rPr>
          <w:rFonts w:ascii="Times New Roman" w:cs="Times New Roman" w:eastAsia="Times New Roman" w:hAnsi="Times New Roman"/>
          <w:sz w:val="18"/>
          <w:szCs w:val="18"/>
          <w:color w:val="auto"/>
        </w:rPr>
        <w:t>2/10/20</w:t>
      </w:r>
    </w:p>
    <w:p>
      <w:pPr>
        <w:ind w:left="560"/>
        <w:spacing w:after="0" w:line="191" w:lineRule="auto"/>
        <w:rPr>
          <w:sz w:val="20"/>
          <w:szCs w:val="20"/>
          <w:color w:val="auto"/>
        </w:rPr>
      </w:pPr>
      <w:r>
        <w:rPr>
          <w:rFonts w:ascii="Times New Roman" w:cs="Times New Roman" w:eastAsia="Times New Roman" w:hAnsi="Times New Roman"/>
          <w:sz w:val="8"/>
          <w:szCs w:val="8"/>
          <w:color w:val="auto"/>
          <w:vertAlign w:val="superscript"/>
        </w:rPr>
        <w:t>(4)</w:t>
      </w:r>
    </w:p>
    <w:p>
      <w:pPr>
        <w:jc w:val="both"/>
        <w:ind w:firstLine="374"/>
        <w:spacing w:after="0" w:line="307" w:lineRule="auto"/>
        <w:rPr>
          <w:sz w:val="20"/>
          <w:szCs w:val="20"/>
          <w:color w:val="auto"/>
        </w:rPr>
      </w:pPr>
      <w:r>
        <w:rPr>
          <w:rFonts w:ascii="Times New Roman" w:cs="Times New Roman" w:eastAsia="Times New Roman" w:hAnsi="Times New Roman"/>
          <w:sz w:val="15"/>
          <w:szCs w:val="15"/>
          <w:color w:val="auto"/>
        </w:rPr>
        <w:t xml:space="preserve">25 2/10/2025 </w:t>
      </w:r>
      <w:r>
        <w:rPr>
          <w:rFonts w:ascii="Times New Roman" w:cs="Times New Roman" w:eastAsia="Times New Roman" w:hAnsi="Times New Roman"/>
          <w:sz w:val="27"/>
          <w:szCs w:val="27"/>
          <w:color w:val="auto"/>
          <w:vertAlign w:val="superscript"/>
        </w:rPr>
        <w:t>1/10/20</w:t>
      </w:r>
      <w:r>
        <w:rPr>
          <w:rFonts w:ascii="Times New Roman" w:cs="Times New Roman" w:eastAsia="Times New Roman" w:hAnsi="Times New Roman"/>
          <w:sz w:val="27"/>
          <w:szCs w:val="27"/>
          <w:color w:val="auto"/>
          <w:vertAlign w:val="subscript"/>
        </w:rPr>
        <w:t>24</w:t>
      </w:r>
      <w:r>
        <w:rPr>
          <w:rFonts w:ascii="Times New Roman" w:cs="Times New Roman" w:eastAsia="Times New Roman" w:hAnsi="Times New Roman"/>
          <w:sz w:val="11"/>
          <w:szCs w:val="11"/>
          <w:color w:val="auto"/>
        </w:rPr>
        <w:t xml:space="preserve">(3) </w:t>
      </w:r>
      <w:r>
        <w:rPr>
          <w:rFonts w:ascii="Times New Roman" w:cs="Times New Roman" w:eastAsia="Times New Roman" w:hAnsi="Times New Roman"/>
          <w:sz w:val="14"/>
          <w:szCs w:val="14"/>
          <w:color w:val="auto"/>
        </w:rPr>
        <w:t>2/15/2024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7"/>
          <w:szCs w:val="27"/>
          <w:color w:val="auto"/>
          <w:vertAlign w:val="superscript"/>
        </w:rPr>
        <w:t>1/10/20</w:t>
      </w:r>
      <w:r>
        <w:rPr>
          <w:rFonts w:ascii="Times New Roman" w:cs="Times New Roman" w:eastAsia="Times New Roman" w:hAnsi="Times New Roman"/>
          <w:sz w:val="27"/>
          <w:szCs w:val="27"/>
          <w:color w:val="auto"/>
          <w:vertAlign w:val="subscript"/>
        </w:rPr>
        <w:t>24</w:t>
      </w:r>
      <w:r>
        <w:rPr>
          <w:rFonts w:ascii="Times New Roman" w:cs="Times New Roman" w:eastAsia="Times New Roman" w:hAnsi="Times New Roman"/>
          <w:sz w:val="11"/>
          <w:szCs w:val="11"/>
          <w:color w:val="auto"/>
        </w:rPr>
        <w:t xml:space="preserve">(4) </w:t>
      </w:r>
      <w:r>
        <w:rPr>
          <w:rFonts w:ascii="Times New Roman" w:cs="Times New Roman" w:eastAsia="Times New Roman" w:hAnsi="Times New Roman"/>
          <w:sz w:val="14"/>
          <w:szCs w:val="14"/>
          <w:color w:val="auto"/>
        </w:rPr>
        <w:t>1/10/2024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12/29/2 12/29/202</w:t>
      </w:r>
    </w:p>
    <w:p>
      <w:pPr>
        <w:spacing w:after="0" w:line="2" w:lineRule="exact"/>
        <w:rPr>
          <w:sz w:val="20"/>
          <w:szCs w:val="20"/>
          <w:color w:val="auto"/>
        </w:rPr>
      </w:pPr>
    </w:p>
    <w:p>
      <w:pPr>
        <w:ind w:firstLine="284"/>
        <w:spacing w:after="0" w:line="289" w:lineRule="auto"/>
        <w:rPr>
          <w:sz w:val="20"/>
          <w:szCs w:val="20"/>
          <w:color w:val="auto"/>
        </w:rPr>
      </w:pPr>
      <w:r>
        <w:rPr>
          <w:rFonts w:ascii="Times New Roman" w:cs="Times New Roman" w:eastAsia="Times New Roman" w:hAnsi="Times New Roman"/>
          <w:sz w:val="16"/>
          <w:szCs w:val="16"/>
          <w:color w:val="auto"/>
        </w:rPr>
        <w:t>022</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6"/>
          <w:szCs w:val="16"/>
          <w:color w:val="auto"/>
        </w:rPr>
        <w:t xml:space="preserve"> 2 </w:t>
      </w:r>
      <w:r>
        <w:rPr>
          <w:rFonts w:ascii="Times New Roman" w:cs="Times New Roman" w:eastAsia="Times New Roman" w:hAnsi="Times New Roman"/>
          <w:sz w:val="30"/>
          <w:szCs w:val="30"/>
          <w:color w:val="auto"/>
          <w:vertAlign w:val="superscript"/>
        </w:rPr>
        <w:t>9/14/20</w:t>
      </w:r>
      <w:r>
        <w:rPr>
          <w:rFonts w:ascii="Times New Roman" w:cs="Times New Roman" w:eastAsia="Times New Roman" w:hAnsi="Times New Roman"/>
          <w:sz w:val="30"/>
          <w:szCs w:val="30"/>
          <w:color w:val="auto"/>
          <w:vertAlign w:val="subscript"/>
        </w:rPr>
        <w:t>21</w:t>
      </w:r>
      <w:r>
        <w:rPr>
          <w:rFonts w:ascii="Times New Roman" w:cs="Times New Roman" w:eastAsia="Times New Roman" w:hAnsi="Times New Roman"/>
          <w:sz w:val="11"/>
          <w:szCs w:val="11"/>
          <w:color w:val="auto"/>
        </w:rPr>
        <w:t xml:space="preserve">(5) </w:t>
      </w:r>
      <w:r>
        <w:rPr>
          <w:rFonts w:ascii="Times New Roman" w:cs="Times New Roman" w:eastAsia="Times New Roman" w:hAnsi="Times New Roman"/>
          <w:sz w:val="15"/>
          <w:szCs w:val="15"/>
          <w:color w:val="auto"/>
        </w:rPr>
        <w:t>9/1/2021</w:t>
      </w:r>
    </w:p>
    <w:p>
      <w:pPr>
        <w:spacing w:after="0" w:line="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7"/>
          <w:szCs w:val="27"/>
          <w:color w:val="auto"/>
          <w:vertAlign w:val="superscript"/>
        </w:rPr>
        <w:t>10/23/2</w:t>
      </w:r>
      <w:r>
        <w:rPr>
          <w:rFonts w:ascii="Times New Roman" w:cs="Times New Roman" w:eastAsia="Times New Roman" w:hAnsi="Times New Roman"/>
          <w:sz w:val="27"/>
          <w:szCs w:val="27"/>
          <w:color w:val="auto"/>
          <w:vertAlign w:val="subscript"/>
        </w:rPr>
        <w:t>020</w:t>
      </w:r>
      <w:r>
        <w:rPr>
          <w:rFonts w:ascii="Times New Roman" w:cs="Times New Roman" w:eastAsia="Times New Roman" w:hAnsi="Times New Roman"/>
          <w:sz w:val="11"/>
          <w:szCs w:val="11"/>
          <w:color w:val="auto"/>
        </w:rPr>
        <w:t xml:space="preserve">(5) </w:t>
      </w:r>
      <w:r>
        <w:rPr>
          <w:rFonts w:ascii="Times New Roman" w:cs="Times New Roman" w:eastAsia="Times New Roman" w:hAnsi="Times New Roman"/>
          <w:sz w:val="14"/>
          <w:szCs w:val="14"/>
          <w:color w:val="auto"/>
        </w:rPr>
        <w:t>10/7/2020</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7"/>
          <w:szCs w:val="27"/>
          <w:color w:val="auto"/>
          <w:vertAlign w:val="superscript"/>
        </w:rPr>
        <w:t>3/11/20</w:t>
      </w:r>
      <w:r>
        <w:rPr>
          <w:rFonts w:ascii="Times New Roman" w:cs="Times New Roman" w:eastAsia="Times New Roman" w:hAnsi="Times New Roman"/>
          <w:sz w:val="27"/>
          <w:szCs w:val="27"/>
          <w:color w:val="auto"/>
          <w:vertAlign w:val="subscript"/>
        </w:rPr>
        <w:t>20</w:t>
      </w:r>
      <w:r>
        <w:rPr>
          <w:rFonts w:ascii="Times New Roman" w:cs="Times New Roman" w:eastAsia="Times New Roman" w:hAnsi="Times New Roman"/>
          <w:sz w:val="11"/>
          <w:szCs w:val="11"/>
          <w:color w:val="auto"/>
        </w:rPr>
        <w:t xml:space="preserve">(5) </w:t>
      </w:r>
      <w:r>
        <w:rPr>
          <w:rFonts w:ascii="Times New Roman" w:cs="Times New Roman" w:eastAsia="Times New Roman" w:hAnsi="Times New Roman"/>
          <w:sz w:val="14"/>
          <w:szCs w:val="14"/>
          <w:color w:val="auto"/>
        </w:rPr>
        <w:t>2/25/2020</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2/10/20</w:t>
      </w:r>
    </w:p>
    <w:p>
      <w:pPr>
        <w:ind w:left="560"/>
        <w:spacing w:after="0" w:line="199" w:lineRule="auto"/>
        <w:rPr>
          <w:sz w:val="20"/>
          <w:szCs w:val="20"/>
          <w:color w:val="auto"/>
        </w:rPr>
      </w:pPr>
      <w:r>
        <w:rPr>
          <w:rFonts w:ascii="Times New Roman" w:cs="Times New Roman" w:eastAsia="Times New Roman" w:hAnsi="Times New Roman"/>
          <w:sz w:val="8"/>
          <w:szCs w:val="8"/>
          <w:color w:val="auto"/>
          <w:vertAlign w:val="superscript"/>
        </w:rPr>
        <w:t>(3)</w:t>
      </w:r>
    </w:p>
    <w:p>
      <w:pPr>
        <w:ind w:left="360"/>
        <w:spacing w:after="0"/>
        <w:tabs>
          <w:tab w:leader="none" w:pos="780" w:val="left"/>
        </w:tabs>
        <w:rPr>
          <w:sz w:val="20"/>
          <w:szCs w:val="20"/>
          <w:color w:val="auto"/>
        </w:rPr>
      </w:pPr>
      <w:r>
        <w:rPr>
          <w:rFonts w:ascii="Times New Roman" w:cs="Times New Roman" w:eastAsia="Times New Roman" w:hAnsi="Times New Roman"/>
          <w:sz w:val="17"/>
          <w:szCs w:val="17"/>
          <w:color w:val="auto"/>
        </w:rPr>
        <w:t>25</w:t>
        <w:tab/>
        <w:t>2/15/2025</w:t>
      </w:r>
    </w:p>
    <w:p>
      <w:pPr>
        <w:spacing w:after="0" w:line="189" w:lineRule="auto"/>
        <w:rPr>
          <w:sz w:val="20"/>
          <w:szCs w:val="20"/>
          <w:color w:val="auto"/>
        </w:rPr>
      </w:pPr>
      <w:r>
        <w:rPr>
          <w:rFonts w:ascii="Times New Roman" w:cs="Times New Roman" w:eastAsia="Times New Roman" w:hAnsi="Times New Roman"/>
          <w:sz w:val="18"/>
          <w:szCs w:val="18"/>
          <w:color w:val="auto"/>
        </w:rPr>
        <w:t>2/10/20</w:t>
      </w:r>
    </w:p>
    <w:p>
      <w:pPr>
        <w:ind w:left="560"/>
        <w:spacing w:after="0" w:line="191" w:lineRule="auto"/>
        <w:rPr>
          <w:sz w:val="20"/>
          <w:szCs w:val="20"/>
          <w:color w:val="auto"/>
        </w:rPr>
      </w:pPr>
      <w:r>
        <w:rPr>
          <w:rFonts w:ascii="Times New Roman" w:cs="Times New Roman" w:eastAsia="Times New Roman" w:hAnsi="Times New Roman"/>
          <w:sz w:val="8"/>
          <w:szCs w:val="8"/>
          <w:color w:val="auto"/>
          <w:vertAlign w:val="superscript"/>
        </w:rPr>
        <w:t>(4)</w:t>
      </w:r>
    </w:p>
    <w:p>
      <w:pPr>
        <w:jc w:val="both"/>
        <w:ind w:firstLine="374"/>
        <w:spacing w:after="0" w:line="280" w:lineRule="auto"/>
        <w:rPr>
          <w:sz w:val="20"/>
          <w:szCs w:val="20"/>
          <w:color w:val="auto"/>
        </w:rPr>
      </w:pPr>
      <w:r>
        <w:rPr>
          <w:rFonts w:ascii="Times New Roman" w:cs="Times New Roman" w:eastAsia="Times New Roman" w:hAnsi="Times New Roman"/>
          <w:sz w:val="16"/>
          <w:szCs w:val="16"/>
          <w:color w:val="auto"/>
        </w:rPr>
        <w:t xml:space="preserve">25 2/10/2025 </w:t>
      </w:r>
      <w:r>
        <w:rPr>
          <w:rFonts w:ascii="Times New Roman" w:cs="Times New Roman" w:eastAsia="Times New Roman" w:hAnsi="Times New Roman"/>
          <w:sz w:val="30"/>
          <w:szCs w:val="30"/>
          <w:color w:val="auto"/>
          <w:vertAlign w:val="superscript"/>
        </w:rPr>
        <w:t>2/7/202</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1"/>
          <w:szCs w:val="11"/>
          <w:color w:val="auto"/>
        </w:rPr>
        <w:t xml:space="preserve">(3) </w:t>
      </w:r>
      <w:r>
        <w:rPr>
          <w:rFonts w:ascii="Times New Roman" w:cs="Times New Roman" w:eastAsia="Times New Roman" w:hAnsi="Times New Roman"/>
          <w:sz w:val="15"/>
          <w:szCs w:val="15"/>
          <w:color w:val="auto"/>
        </w:rPr>
        <w:t>2/15/2024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30"/>
          <w:szCs w:val="30"/>
          <w:color w:val="auto"/>
          <w:vertAlign w:val="superscript"/>
        </w:rPr>
        <w:t>2/7/202</w:t>
      </w:r>
      <w:r>
        <w:rPr>
          <w:rFonts w:ascii="Times New Roman" w:cs="Times New Roman" w:eastAsia="Times New Roman" w:hAnsi="Times New Roman"/>
          <w:sz w:val="30"/>
          <w:szCs w:val="30"/>
          <w:color w:val="auto"/>
          <w:vertAlign w:val="subscript"/>
        </w:rPr>
        <w:t>4</w:t>
      </w:r>
      <w:r>
        <w:rPr>
          <w:rFonts w:ascii="Times New Roman" w:cs="Times New Roman" w:eastAsia="Times New Roman" w:hAnsi="Times New Roman"/>
          <w:sz w:val="11"/>
          <w:szCs w:val="11"/>
          <w:color w:val="auto"/>
        </w:rPr>
        <w:t xml:space="preserve">(6) </w:t>
      </w:r>
      <w:r>
        <w:rPr>
          <w:rFonts w:ascii="Times New Roman" w:cs="Times New Roman" w:eastAsia="Times New Roman" w:hAnsi="Times New Roman"/>
          <w:sz w:val="15"/>
          <w:szCs w:val="15"/>
          <w:color w:val="auto"/>
        </w:rPr>
        <w:t>2/7/2024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5"/>
          <w:szCs w:val="15"/>
          <w:color w:val="auto"/>
        </w:rPr>
        <w:t>2/10/20</w:t>
      </w:r>
    </w:p>
    <w:p>
      <w:pPr>
        <w:ind w:left="560"/>
        <w:spacing w:after="0" w:line="196" w:lineRule="auto"/>
        <w:rPr>
          <w:sz w:val="20"/>
          <w:szCs w:val="20"/>
          <w:color w:val="auto"/>
        </w:rPr>
      </w:pPr>
      <w:r>
        <w:rPr>
          <w:rFonts w:ascii="Times New Roman" w:cs="Times New Roman" w:eastAsia="Times New Roman" w:hAnsi="Times New Roman"/>
          <w:sz w:val="8"/>
          <w:szCs w:val="8"/>
          <w:color w:val="auto"/>
          <w:vertAlign w:val="superscript"/>
        </w:rPr>
        <w:t>(3)</w:t>
      </w:r>
    </w:p>
    <w:p>
      <w:pPr>
        <w:ind w:left="360"/>
        <w:spacing w:after="0"/>
        <w:tabs>
          <w:tab w:leader="none" w:pos="780" w:val="left"/>
        </w:tabs>
        <w:rPr>
          <w:sz w:val="20"/>
          <w:szCs w:val="20"/>
          <w:color w:val="auto"/>
        </w:rPr>
      </w:pPr>
      <w:r>
        <w:rPr>
          <w:rFonts w:ascii="Times New Roman" w:cs="Times New Roman" w:eastAsia="Times New Roman" w:hAnsi="Times New Roman"/>
          <w:sz w:val="17"/>
          <w:szCs w:val="17"/>
          <w:color w:val="auto"/>
        </w:rPr>
        <w:t>25</w:t>
        <w:tab/>
        <w:t>2/15/2025</w:t>
      </w:r>
    </w:p>
    <w:p>
      <w:pPr>
        <w:spacing w:after="0" w:line="189" w:lineRule="auto"/>
        <w:rPr>
          <w:sz w:val="20"/>
          <w:szCs w:val="20"/>
          <w:color w:val="auto"/>
        </w:rPr>
      </w:pPr>
      <w:r>
        <w:rPr>
          <w:rFonts w:ascii="Times New Roman" w:cs="Times New Roman" w:eastAsia="Times New Roman" w:hAnsi="Times New Roman"/>
          <w:sz w:val="18"/>
          <w:szCs w:val="18"/>
          <w:color w:val="auto"/>
        </w:rPr>
        <w:t>2/10/20</w:t>
      </w:r>
    </w:p>
    <w:p>
      <w:pPr>
        <w:ind w:left="560"/>
        <w:spacing w:after="0" w:line="191" w:lineRule="auto"/>
        <w:rPr>
          <w:sz w:val="20"/>
          <w:szCs w:val="20"/>
          <w:color w:val="auto"/>
        </w:rPr>
      </w:pPr>
      <w:r>
        <w:rPr>
          <w:rFonts w:ascii="Times New Roman" w:cs="Times New Roman" w:eastAsia="Times New Roman" w:hAnsi="Times New Roman"/>
          <w:sz w:val="8"/>
          <w:szCs w:val="8"/>
          <w:color w:val="auto"/>
          <w:vertAlign w:val="superscript"/>
        </w:rPr>
        <w:t>(4)</w:t>
      </w:r>
    </w:p>
    <w:p>
      <w:pPr>
        <w:jc w:val="both"/>
        <w:ind w:firstLine="374"/>
        <w:spacing w:after="0" w:line="307" w:lineRule="auto"/>
        <w:rPr>
          <w:sz w:val="20"/>
          <w:szCs w:val="20"/>
          <w:color w:val="auto"/>
        </w:rPr>
      </w:pPr>
      <w:r>
        <w:rPr>
          <w:rFonts w:ascii="Times New Roman" w:cs="Times New Roman" w:eastAsia="Times New Roman" w:hAnsi="Times New Roman"/>
          <w:sz w:val="15"/>
          <w:szCs w:val="15"/>
          <w:color w:val="auto"/>
        </w:rPr>
        <w:t xml:space="preserve">25 2/10/2025 </w:t>
      </w:r>
      <w:r>
        <w:rPr>
          <w:rFonts w:ascii="Times New Roman" w:cs="Times New Roman" w:eastAsia="Times New Roman" w:hAnsi="Times New Roman"/>
          <w:sz w:val="27"/>
          <w:szCs w:val="27"/>
          <w:color w:val="auto"/>
          <w:vertAlign w:val="superscript"/>
        </w:rPr>
        <w:t>2/26/20</w:t>
      </w:r>
      <w:r>
        <w:rPr>
          <w:rFonts w:ascii="Times New Roman" w:cs="Times New Roman" w:eastAsia="Times New Roman" w:hAnsi="Times New Roman"/>
          <w:sz w:val="27"/>
          <w:szCs w:val="27"/>
          <w:color w:val="auto"/>
          <w:vertAlign w:val="subscript"/>
        </w:rPr>
        <w:t>24</w:t>
      </w:r>
      <w:r>
        <w:rPr>
          <w:rFonts w:ascii="Times New Roman" w:cs="Times New Roman" w:eastAsia="Times New Roman" w:hAnsi="Times New Roman"/>
          <w:sz w:val="11"/>
          <w:szCs w:val="11"/>
          <w:color w:val="auto"/>
        </w:rPr>
        <w:t xml:space="preserve">(3) </w:t>
      </w:r>
      <w:r>
        <w:rPr>
          <w:rFonts w:ascii="Times New Roman" w:cs="Times New Roman" w:eastAsia="Times New Roman" w:hAnsi="Times New Roman"/>
          <w:sz w:val="14"/>
          <w:szCs w:val="14"/>
          <w:color w:val="auto"/>
        </w:rPr>
        <w:t>2/15/2024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7"/>
          <w:szCs w:val="27"/>
          <w:color w:val="auto"/>
          <w:vertAlign w:val="superscript"/>
        </w:rPr>
        <w:t>2/26/20</w:t>
      </w:r>
      <w:r>
        <w:rPr>
          <w:rFonts w:ascii="Times New Roman" w:cs="Times New Roman" w:eastAsia="Times New Roman" w:hAnsi="Times New Roman"/>
          <w:sz w:val="27"/>
          <w:szCs w:val="27"/>
          <w:color w:val="auto"/>
          <w:vertAlign w:val="subscript"/>
        </w:rPr>
        <w:t>24</w:t>
      </w:r>
      <w:r>
        <w:rPr>
          <w:rFonts w:ascii="Times New Roman" w:cs="Times New Roman" w:eastAsia="Times New Roman" w:hAnsi="Times New Roman"/>
          <w:sz w:val="11"/>
          <w:szCs w:val="11"/>
          <w:color w:val="auto"/>
        </w:rPr>
        <w:t xml:space="preserve">(6) </w:t>
      </w:r>
      <w:r>
        <w:rPr>
          <w:rFonts w:ascii="Times New Roman" w:cs="Times New Roman" w:eastAsia="Times New Roman" w:hAnsi="Times New Roman"/>
          <w:sz w:val="14"/>
          <w:szCs w:val="14"/>
          <w:color w:val="auto"/>
        </w:rPr>
        <w:t>2/26/2024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2/10/20</w:t>
      </w:r>
    </w:p>
    <w:p>
      <w:pPr>
        <w:ind w:left="560"/>
        <w:spacing w:after="0" w:line="195" w:lineRule="auto"/>
        <w:rPr>
          <w:sz w:val="20"/>
          <w:szCs w:val="20"/>
          <w:color w:val="auto"/>
        </w:rPr>
      </w:pPr>
      <w:r>
        <w:rPr>
          <w:rFonts w:ascii="Times New Roman" w:cs="Times New Roman" w:eastAsia="Times New Roman" w:hAnsi="Times New Roman"/>
          <w:sz w:val="8"/>
          <w:szCs w:val="8"/>
          <w:color w:val="auto"/>
          <w:vertAlign w:val="superscript"/>
        </w:rPr>
        <w:t>(3)</w:t>
      </w:r>
    </w:p>
    <w:p>
      <w:pPr>
        <w:ind w:left="360"/>
        <w:spacing w:after="0"/>
        <w:tabs>
          <w:tab w:leader="none" w:pos="780" w:val="left"/>
        </w:tabs>
        <w:rPr>
          <w:sz w:val="20"/>
          <w:szCs w:val="20"/>
          <w:color w:val="auto"/>
        </w:rPr>
      </w:pPr>
      <w:r>
        <w:rPr>
          <w:rFonts w:ascii="Times New Roman" w:cs="Times New Roman" w:eastAsia="Times New Roman" w:hAnsi="Times New Roman"/>
          <w:sz w:val="17"/>
          <w:szCs w:val="17"/>
          <w:color w:val="auto"/>
        </w:rPr>
        <w:t>25</w:t>
        <w:tab/>
        <w:t>2/15/2025</w:t>
      </w:r>
    </w:p>
    <w:p>
      <w:pPr>
        <w:spacing w:after="0" w:line="189" w:lineRule="auto"/>
        <w:rPr>
          <w:sz w:val="20"/>
          <w:szCs w:val="20"/>
          <w:color w:val="auto"/>
        </w:rPr>
      </w:pPr>
      <w:r>
        <w:rPr>
          <w:rFonts w:ascii="Times New Roman" w:cs="Times New Roman" w:eastAsia="Times New Roman" w:hAnsi="Times New Roman"/>
          <w:sz w:val="18"/>
          <w:szCs w:val="18"/>
          <w:color w:val="auto"/>
        </w:rPr>
        <w:t>2/10/20</w:t>
      </w:r>
    </w:p>
    <w:p>
      <w:pPr>
        <w:ind w:left="560"/>
        <w:spacing w:after="0" w:line="191" w:lineRule="auto"/>
        <w:rPr>
          <w:sz w:val="20"/>
          <w:szCs w:val="20"/>
          <w:color w:val="auto"/>
        </w:rPr>
      </w:pPr>
      <w:r>
        <w:rPr>
          <w:rFonts w:ascii="Times New Roman" w:cs="Times New Roman" w:eastAsia="Times New Roman" w:hAnsi="Times New Roman"/>
          <w:sz w:val="8"/>
          <w:szCs w:val="8"/>
          <w:color w:val="auto"/>
          <w:vertAlign w:val="superscript"/>
        </w:rPr>
        <w:t>(4)</w:t>
      </w:r>
    </w:p>
    <w:p>
      <w:pPr>
        <w:jc w:val="both"/>
        <w:ind w:firstLine="374"/>
        <w:spacing w:after="0" w:line="307" w:lineRule="auto"/>
        <w:rPr>
          <w:sz w:val="20"/>
          <w:szCs w:val="20"/>
          <w:color w:val="auto"/>
        </w:rPr>
      </w:pPr>
      <w:r>
        <w:rPr>
          <w:rFonts w:ascii="Times New Roman" w:cs="Times New Roman" w:eastAsia="Times New Roman" w:hAnsi="Times New Roman"/>
          <w:sz w:val="15"/>
          <w:szCs w:val="15"/>
          <w:color w:val="auto"/>
        </w:rPr>
        <w:t xml:space="preserve">25 2/10/2025 </w:t>
      </w:r>
      <w:r>
        <w:rPr>
          <w:rFonts w:ascii="Times New Roman" w:cs="Times New Roman" w:eastAsia="Times New Roman" w:hAnsi="Times New Roman"/>
          <w:sz w:val="27"/>
          <w:szCs w:val="27"/>
          <w:color w:val="auto"/>
          <w:vertAlign w:val="superscript"/>
        </w:rPr>
        <w:t>1/10/20</w:t>
      </w:r>
      <w:r>
        <w:rPr>
          <w:rFonts w:ascii="Times New Roman" w:cs="Times New Roman" w:eastAsia="Times New Roman" w:hAnsi="Times New Roman"/>
          <w:sz w:val="27"/>
          <w:szCs w:val="27"/>
          <w:color w:val="auto"/>
          <w:vertAlign w:val="subscript"/>
        </w:rPr>
        <w:t>24</w:t>
      </w:r>
      <w:r>
        <w:rPr>
          <w:rFonts w:ascii="Times New Roman" w:cs="Times New Roman" w:eastAsia="Times New Roman" w:hAnsi="Times New Roman"/>
          <w:sz w:val="11"/>
          <w:szCs w:val="11"/>
          <w:color w:val="auto"/>
        </w:rPr>
        <w:t xml:space="preserve">(3) </w:t>
      </w:r>
      <w:r>
        <w:rPr>
          <w:rFonts w:ascii="Times New Roman" w:cs="Times New Roman" w:eastAsia="Times New Roman" w:hAnsi="Times New Roman"/>
          <w:sz w:val="14"/>
          <w:szCs w:val="14"/>
          <w:color w:val="auto"/>
        </w:rPr>
        <w:t>2/15/2024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7"/>
          <w:szCs w:val="27"/>
          <w:color w:val="auto"/>
          <w:vertAlign w:val="superscript"/>
        </w:rPr>
        <w:t>1/10/20</w:t>
      </w:r>
      <w:r>
        <w:rPr>
          <w:rFonts w:ascii="Times New Roman" w:cs="Times New Roman" w:eastAsia="Times New Roman" w:hAnsi="Times New Roman"/>
          <w:sz w:val="27"/>
          <w:szCs w:val="27"/>
          <w:color w:val="auto"/>
          <w:vertAlign w:val="subscript"/>
        </w:rPr>
        <w:t>24</w:t>
      </w:r>
      <w:r>
        <w:rPr>
          <w:rFonts w:ascii="Times New Roman" w:cs="Times New Roman" w:eastAsia="Times New Roman" w:hAnsi="Times New Roman"/>
          <w:sz w:val="11"/>
          <w:szCs w:val="11"/>
          <w:color w:val="auto"/>
        </w:rPr>
        <w:t xml:space="preserve">(4) </w:t>
      </w:r>
      <w:r>
        <w:rPr>
          <w:rFonts w:ascii="Times New Roman" w:cs="Times New Roman" w:eastAsia="Times New Roman" w:hAnsi="Times New Roman"/>
          <w:sz w:val="14"/>
          <w:szCs w:val="14"/>
          <w:color w:val="auto"/>
        </w:rPr>
        <w:t>1/10/2024</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4"/>
          <w:szCs w:val="14"/>
          <w:color w:val="auto"/>
        </w:rPr>
        <w:t>12/29/2 12/29/202</w:t>
      </w:r>
    </w:p>
    <w:p>
      <w:pPr>
        <w:spacing w:after="0" w:line="2" w:lineRule="exact"/>
        <w:rPr>
          <w:sz w:val="20"/>
          <w:szCs w:val="20"/>
          <w:color w:val="auto"/>
        </w:rPr>
      </w:pPr>
    </w:p>
    <w:p>
      <w:pPr>
        <w:jc w:val="both"/>
        <w:ind w:firstLine="284"/>
        <w:spacing w:after="0" w:line="297" w:lineRule="auto"/>
        <w:rPr>
          <w:sz w:val="20"/>
          <w:szCs w:val="20"/>
          <w:color w:val="auto"/>
        </w:rPr>
      </w:pPr>
      <w:r>
        <w:rPr>
          <w:rFonts w:ascii="Times New Roman" w:cs="Times New Roman" w:eastAsia="Times New Roman" w:hAnsi="Times New Roman"/>
          <w:sz w:val="16"/>
          <w:szCs w:val="16"/>
          <w:color w:val="auto"/>
        </w:rPr>
        <w:t>022</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6"/>
          <w:szCs w:val="16"/>
          <w:color w:val="auto"/>
        </w:rPr>
        <w:t xml:space="preserve"> 2 </w:t>
      </w:r>
      <w:r>
        <w:rPr>
          <w:rFonts w:ascii="Times New Roman" w:cs="Times New Roman" w:eastAsia="Times New Roman" w:hAnsi="Times New Roman"/>
          <w:sz w:val="30"/>
          <w:szCs w:val="30"/>
          <w:color w:val="auto"/>
          <w:vertAlign w:val="superscript"/>
        </w:rPr>
        <w:t>9/14/20</w:t>
      </w:r>
      <w:r>
        <w:rPr>
          <w:rFonts w:ascii="Times New Roman" w:cs="Times New Roman" w:eastAsia="Times New Roman" w:hAnsi="Times New Roman"/>
          <w:sz w:val="30"/>
          <w:szCs w:val="30"/>
          <w:color w:val="auto"/>
          <w:vertAlign w:val="subscript"/>
        </w:rPr>
        <w:t>21</w:t>
      </w:r>
      <w:r>
        <w:rPr>
          <w:rFonts w:ascii="Times New Roman" w:cs="Times New Roman" w:eastAsia="Times New Roman" w:hAnsi="Times New Roman"/>
          <w:sz w:val="11"/>
          <w:szCs w:val="11"/>
          <w:color w:val="auto"/>
        </w:rPr>
        <w:t xml:space="preserve">(5) </w:t>
      </w:r>
      <w:r>
        <w:rPr>
          <w:rFonts w:ascii="Times New Roman" w:cs="Times New Roman" w:eastAsia="Times New Roman" w:hAnsi="Times New Roman"/>
          <w:sz w:val="15"/>
          <w:szCs w:val="15"/>
          <w:color w:val="auto"/>
        </w:rPr>
        <w:t>9/1/2021</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30"/>
          <w:szCs w:val="30"/>
          <w:color w:val="auto"/>
          <w:vertAlign w:val="superscript"/>
        </w:rPr>
        <w:t>9/14/20</w:t>
      </w:r>
      <w:r>
        <w:rPr>
          <w:rFonts w:ascii="Times New Roman" w:cs="Times New Roman" w:eastAsia="Times New Roman" w:hAnsi="Times New Roman"/>
          <w:sz w:val="30"/>
          <w:szCs w:val="30"/>
          <w:color w:val="auto"/>
          <w:vertAlign w:val="subscript"/>
        </w:rPr>
        <w:t>21</w:t>
      </w:r>
      <w:r>
        <w:rPr>
          <w:rFonts w:ascii="Times New Roman" w:cs="Times New Roman" w:eastAsia="Times New Roman" w:hAnsi="Times New Roman"/>
          <w:sz w:val="11"/>
          <w:szCs w:val="11"/>
          <w:color w:val="auto"/>
        </w:rPr>
        <w:t xml:space="preserve">(5) </w:t>
      </w:r>
      <w:r>
        <w:rPr>
          <w:rFonts w:ascii="Times New Roman" w:cs="Times New Roman" w:eastAsia="Times New Roman" w:hAnsi="Times New Roman"/>
          <w:sz w:val="15"/>
          <w:szCs w:val="15"/>
          <w:color w:val="auto"/>
        </w:rPr>
        <w:t>7/1/2021</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24,480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93,025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2/10/2035</w:t>
            </w:r>
          </w:p>
        </w:tc>
      </w:tr>
      <w:tr>
        <w:trPr>
          <w:trHeight w:val="32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47,701</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51,849</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1/10/2034</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99,001</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33,001</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12/29/2032</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75,375</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9/13/2031</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41,830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10/22/2030</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186,120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3/10/2030</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28,500</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2/10/2035</w:t>
            </w:r>
          </w:p>
        </w:tc>
      </w:tr>
      <w:tr>
        <w:trPr>
          <w:trHeight w:val="32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25,208</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29,792</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2/6/2034</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28,500</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2/10/2035</w:t>
            </w:r>
          </w:p>
        </w:tc>
      </w:tr>
      <w:tr>
        <w:trPr>
          <w:trHeight w:val="32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25,208</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29,792</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64.66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2/25/2034</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28,500</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2/10/2035</w:t>
            </w:r>
          </w:p>
        </w:tc>
      </w:tr>
      <w:tr>
        <w:trPr>
          <w:trHeight w:val="32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13,320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14,480</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1/10/2034</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20,174</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9,731</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12/29/2032</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3,550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9/13/2031</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2,628</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-2948305</wp:posOffset>
            </wp:positionV>
            <wp:extent cx="7132320" cy="1097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78,337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6,220,741</w:t>
            </w:r>
          </w:p>
        </w:tc>
      </w:tr>
      <w:tr>
        <w:trPr>
          <w:trHeight w:val="324"/>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49,774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3,952,553</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36,000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2,858,760</w:t>
            </w:r>
          </w:p>
        </w:tc>
      </w:tr>
      <w:tr>
        <w:trPr>
          <w:trHeight w:val="324"/>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27,499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2,183,696</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36,000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2,858,760</w:t>
            </w:r>
          </w:p>
        </w:tc>
      </w:tr>
      <w:tr>
        <w:trPr>
          <w:trHeight w:val="324"/>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27,499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2,183,696</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24,000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1,905,840</w:t>
            </w:r>
          </w:p>
        </w:tc>
      </w:tr>
      <w:tr>
        <w:trPr>
          <w:trHeight w:val="324"/>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2"/>
              </w:rPr>
              <w:t>13,901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1,103,878</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26" w:lineRule="exact"/>
        <w:rPr>
          <w:sz w:val="20"/>
          <w:szCs w:val="20"/>
          <w:color w:val="auto"/>
        </w:rPr>
      </w:pPr>
    </w:p>
    <w:p>
      <w:pPr>
        <w:sectPr>
          <w:pgSz w:w="11900" w:h="16900" w:orient="portrait"/>
          <w:cols w:equalWidth="0" w:num="4">
            <w:col w:w="1740" w:space="380"/>
            <w:col w:w="1520" w:space="600"/>
            <w:col w:w="4360" w:space="720"/>
            <w:col w:w="1920"/>
          </w:cols>
          <w:pgMar w:left="320" w:top="1440" w:right="339" w:bottom="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2/15/2025</w:t>
            </w:r>
          </w:p>
        </w:tc>
        <w:tc>
          <w:tcPr>
            <w:tcW w:w="1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24,000</w:t>
            </w:r>
          </w:p>
        </w:tc>
        <w:tc>
          <w:tcPr>
            <w:tcW w:w="11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1,905,840</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9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(4)</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540" w:type="dxa"/>
            <w:vAlign w:val="bottom"/>
            <w:vMerge w:val="restart"/>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vMerge w:val="restart"/>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28,500</w:t>
            </w:r>
          </w:p>
        </w:tc>
        <w:tc>
          <w:tcPr>
            <w:tcW w:w="10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54.71</w:t>
            </w:r>
          </w:p>
        </w:tc>
        <w:tc>
          <w:tcPr>
            <w:tcW w:w="1400" w:type="dxa"/>
            <w:vAlign w:val="bottom"/>
            <w:vMerge w:val="restart"/>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2/10/2035</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9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540" w:type="dxa"/>
            <w:vAlign w:val="bottom"/>
            <w:vMerge w:val="continue"/>
            <w:shd w:val="clear" w:color="auto" w:fill="CFF0FC"/>
          </w:tcPr>
          <w:p>
            <w:pPr>
              <w:spacing w:after="0"/>
              <w:rPr>
                <w:sz w:val="15"/>
                <w:szCs w:val="15"/>
                <w:color w:val="auto"/>
              </w:rPr>
            </w:pPr>
          </w:p>
        </w:tc>
        <w:tc>
          <w:tcPr>
            <w:tcW w:w="1300" w:type="dxa"/>
            <w:vAlign w:val="bottom"/>
            <w:vMerge w:val="continue"/>
            <w:shd w:val="clear" w:color="auto" w:fill="CFF0FC"/>
          </w:tcPr>
          <w:p>
            <w:pPr>
              <w:spacing w:after="0"/>
              <w:rPr>
                <w:sz w:val="15"/>
                <w:szCs w:val="15"/>
                <w:color w:val="auto"/>
              </w:rPr>
            </w:pPr>
          </w:p>
        </w:tc>
        <w:tc>
          <w:tcPr>
            <w:tcW w:w="1040" w:type="dxa"/>
            <w:vAlign w:val="bottom"/>
            <w:vMerge w:val="continue"/>
            <w:shd w:val="clear" w:color="auto" w:fill="CFF0FC"/>
          </w:tcPr>
          <w:p>
            <w:pPr>
              <w:spacing w:after="0"/>
              <w:rPr>
                <w:sz w:val="15"/>
                <w:szCs w:val="15"/>
                <w:color w:val="auto"/>
              </w:rPr>
            </w:pPr>
          </w:p>
        </w:tc>
        <w:tc>
          <w:tcPr>
            <w:tcW w:w="1400" w:type="dxa"/>
            <w:vAlign w:val="bottom"/>
            <w:vMerge w:val="continue"/>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2/15/2024</w:t>
            </w:r>
          </w:p>
        </w:tc>
        <w:tc>
          <w:tcPr>
            <w:tcW w:w="1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13,624</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1,081,882</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1/10/2024</w:t>
            </w:r>
          </w:p>
        </w:tc>
        <w:tc>
          <w:tcPr>
            <w:tcW w:w="1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13,057</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14,193</w:t>
            </w:r>
          </w:p>
        </w:tc>
        <w:tc>
          <w:tcPr>
            <w:tcW w:w="10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63.90</w:t>
            </w:r>
          </w:p>
        </w:tc>
        <w:tc>
          <w:tcPr>
            <w:tcW w:w="14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1/10/2034</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12/29/202</w:t>
            </w:r>
          </w:p>
        </w:tc>
        <w:tc>
          <w:tcPr>
            <w:tcW w:w="1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25,385</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8,462</w:t>
            </w:r>
          </w:p>
        </w:tc>
        <w:tc>
          <w:tcPr>
            <w:tcW w:w="10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13.50</w:t>
            </w:r>
          </w:p>
        </w:tc>
        <w:tc>
          <w:tcPr>
            <w:tcW w:w="14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12/29/2032</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15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9/1/2021</w:t>
            </w:r>
          </w:p>
        </w:tc>
        <w:tc>
          <w:tcPr>
            <w:tcW w:w="15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45,302</w:t>
            </w:r>
          </w:p>
        </w:tc>
        <w:tc>
          <w:tcPr>
            <w:tcW w:w="13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14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9/13/2031</w:t>
            </w:r>
          </w:p>
        </w:tc>
        <w:tc>
          <w:tcPr>
            <w:tcW w:w="116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13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40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40" w:right="339" w:bottom="0" w:gutter="0" w:footer="0" w:header="0"/>
          <w:type w:val="continuous"/>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7/1/2021</w:t>
            </w:r>
          </w:p>
        </w:tc>
        <w:tc>
          <w:tcPr>
            <w:tcW w:w="1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7,014</w:t>
            </w:r>
          </w:p>
        </w:tc>
        <w:tc>
          <w:tcPr>
            <w:tcW w:w="13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9.86</w:t>
            </w:r>
          </w:p>
        </w:tc>
        <w:tc>
          <w:tcPr>
            <w:tcW w:w="15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9/13/2031</w:t>
            </w:r>
          </w:p>
        </w:tc>
        <w:tc>
          <w:tcPr>
            <w:tcW w:w="12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70"/>
        </w:trPr>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10/7/2020</w:t>
            </w:r>
          </w:p>
        </w:tc>
        <w:tc>
          <w:tcPr>
            <w:tcW w:w="1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16,380</w:t>
            </w:r>
          </w:p>
        </w:tc>
        <w:tc>
          <w:tcPr>
            <w:tcW w:w="13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5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10/22/2030</w:t>
            </w:r>
          </w:p>
        </w:tc>
        <w:tc>
          <w:tcPr>
            <w:tcW w:w="12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2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270"/>
        </w:trPr>
        <w:tc>
          <w:tcPr>
            <w:tcW w:w="2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8"/>
              </w:rPr>
              <w:t>(5)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7/1/2020</w:t>
            </w:r>
          </w:p>
        </w:tc>
        <w:tc>
          <w:tcPr>
            <w:tcW w:w="15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7,941</w:t>
            </w:r>
          </w:p>
        </w:tc>
        <w:tc>
          <w:tcPr>
            <w:tcW w:w="13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5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8/10/2030</w:t>
            </w:r>
          </w:p>
        </w:tc>
        <w:tc>
          <w:tcPr>
            <w:tcW w:w="12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2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864"/>
        </w:trPr>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63"/>
        </w:trPr>
        <w:tc>
          <w:tcPr>
            <w:tcW w:w="2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07" w:lineRule="exact"/>
        <w:rPr>
          <w:sz w:val="20"/>
          <w:szCs w:val="20"/>
          <w:color w:val="auto"/>
        </w:rPr>
      </w:pPr>
    </w:p>
    <w:p>
      <w:pPr>
        <w:jc w:val="both"/>
        <w:ind w:left="380" w:hanging="372"/>
        <w:spacing w:after="0" w:line="25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our 2017 Stock Option and Grant Plan, as amended, the exercise price of, and number of shares subject to, stock options granted in years 2020 and 2021 were adjusted in connection with (i) the 1-for-10 reverse stock split and (ii) our merger with Gemini Therapeutics, Inc., or Gemini, each of which occurred on December 29, 2022, pursuant to which all of our shares of common stock were converted into shares of Gemini’s common stock based on an exchange ratio of 0.1096. Accordingly, such stock options shown in the table above (and in the corresponding footnotes) reflect our NEOs’ post-reverse stock split holdings and post-conversion holdings.</w:t>
      </w:r>
    </w:p>
    <w:p>
      <w:pPr>
        <w:spacing w:after="0" w:line="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stock awards is determined by multiplying the number of shares subject to the award by $79.41, which was the closing price of our common stock on December 31, 2025, the last trading day of the fiscal year.</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RSUs that vest in equal 25% installments over four years on each anniversary of the vesting commencement date, subject to the NEO’s continuous service.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vests in 48 equal monthly installments following the vesting commencement date, subject to the NEO’s continuous service.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became vested in full on or prior to December 31, 2025.</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vested on the one-year anniversary of the vesting commencement date. The remaining shares vest in 36 equal monthly installments following the vesting commencement date, subject to the NEO’s continuous service.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2025</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option exercises and stock vested for each of our NEOs during the fiscal year ended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80" w:type="dxa"/>
            <w:vAlign w:val="bottom"/>
            <w:gridSpan w:val="3"/>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80" w:type="dxa"/>
            <w:vAlign w:val="bottom"/>
          </w:tcPr>
          <w:p>
            <w:pPr>
              <w:spacing w:after="0"/>
              <w:rPr>
                <w:sz w:val="15"/>
                <w:szCs w:val="15"/>
                <w:color w:val="auto"/>
              </w:rPr>
            </w:pPr>
          </w:p>
        </w:tc>
        <w:tc>
          <w:tcPr>
            <w:tcW w:w="4000" w:type="dxa"/>
            <w:vAlign w:val="bottom"/>
            <w:gridSpan w:val="4"/>
          </w:tcPr>
          <w:p>
            <w:pPr>
              <w:ind w:left="15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5"/>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vMerge w:val="restart"/>
          </w:tcPr>
          <w:p>
            <w:pPr>
              <w:spacing w:after="0"/>
              <w:rPr>
                <w:sz w:val="10"/>
                <w:szCs w:val="10"/>
                <w:color w:val="auto"/>
              </w:rPr>
            </w:pPr>
          </w:p>
        </w:tc>
        <w:tc>
          <w:tcPr>
            <w:tcW w:w="18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Number of Shares Acquired</w:t>
            </w:r>
          </w:p>
        </w:tc>
        <w:tc>
          <w:tcPr>
            <w:tcW w:w="30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jc w:val="right"/>
              <w:ind w:right="40"/>
              <w:spacing w:after="0" w:line="115" w:lineRule="exact"/>
              <w:rPr>
                <w:sz w:val="20"/>
                <w:szCs w:val="20"/>
                <w:color w:val="auto"/>
              </w:rPr>
            </w:pPr>
            <w:r>
              <w:rPr>
                <w:rFonts w:ascii="Times New Roman" w:cs="Times New Roman" w:eastAsia="Times New Roman" w:hAnsi="Times New Roman"/>
                <w:sz w:val="13"/>
                <w:szCs w:val="13"/>
                <w:b w:val="1"/>
                <w:bCs w:val="1"/>
                <w:color w:val="auto"/>
              </w:rPr>
              <w:t>Value Realized on Exercise</w:t>
            </w:r>
          </w:p>
        </w:tc>
        <w:tc>
          <w:tcPr>
            <w:tcW w:w="280" w:type="dxa"/>
            <w:vAlign w:val="bottom"/>
          </w:tcPr>
          <w:p>
            <w:pPr>
              <w:spacing w:after="0"/>
              <w:rPr>
                <w:sz w:val="10"/>
                <w:szCs w:val="10"/>
                <w:color w:val="auto"/>
              </w:rPr>
            </w:pPr>
          </w:p>
        </w:tc>
        <w:tc>
          <w:tcPr>
            <w:tcW w:w="1820" w:type="dxa"/>
            <w:vAlign w:val="bottom"/>
            <w:tcBorders>
              <w:top w:val="single" w:sz="8" w:color="auto"/>
            </w:tcBorders>
          </w:tcPr>
          <w:p>
            <w:pPr>
              <w:jc w:val="right"/>
              <w:ind w:right="10"/>
              <w:spacing w:after="0" w:line="115" w:lineRule="exact"/>
              <w:rPr>
                <w:sz w:val="20"/>
                <w:szCs w:val="20"/>
                <w:color w:val="auto"/>
              </w:rPr>
            </w:pPr>
            <w:r>
              <w:rPr>
                <w:rFonts w:ascii="Times New Roman" w:cs="Times New Roman" w:eastAsia="Times New Roman" w:hAnsi="Times New Roman"/>
                <w:sz w:val="13"/>
                <w:szCs w:val="13"/>
                <w:b w:val="1"/>
                <w:bCs w:val="1"/>
                <w:color w:val="auto"/>
              </w:rPr>
              <w:t>Number of Shares Acquired</w:t>
            </w:r>
          </w:p>
        </w:tc>
        <w:tc>
          <w:tcPr>
            <w:tcW w:w="24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jc w:val="right"/>
              <w:ind w:right="71"/>
              <w:spacing w:after="0" w:line="115" w:lineRule="exact"/>
              <w:rPr>
                <w:sz w:val="20"/>
                <w:szCs w:val="20"/>
                <w:color w:val="auto"/>
              </w:rPr>
            </w:pPr>
            <w:r>
              <w:rPr>
                <w:rFonts w:ascii="Times New Roman" w:cs="Times New Roman" w:eastAsia="Times New Roman" w:hAnsi="Times New Roman"/>
                <w:sz w:val="13"/>
                <w:szCs w:val="13"/>
                <w:b w:val="1"/>
                <w:bCs w:val="1"/>
                <w:color w:val="auto"/>
              </w:rPr>
              <w:t>Value Realized on Vesting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300" w:type="dxa"/>
            <w:vAlign w:val="bottom"/>
          </w:tcPr>
          <w:p>
            <w:pPr>
              <w:spacing w:after="0"/>
              <w:rPr>
                <w:sz w:val="15"/>
                <w:szCs w:val="15"/>
                <w:color w:val="auto"/>
              </w:rPr>
            </w:pPr>
          </w:p>
        </w:tc>
        <w:tc>
          <w:tcPr>
            <w:tcW w:w="1840" w:type="dxa"/>
            <w:vAlign w:val="bottom"/>
            <w:tcBorders>
              <w:bottom w:val="single" w:sz="8" w:color="auto"/>
            </w:tcBorders>
          </w:tcPr>
          <w:p>
            <w:pPr>
              <w:jc w:val="right"/>
              <w:ind w:right="720"/>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5"/>
                <w:szCs w:val="15"/>
                <w:color w:val="auto"/>
              </w:rPr>
            </w:pPr>
          </w:p>
        </w:tc>
        <w:tc>
          <w:tcPr>
            <w:tcW w:w="1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240" w:type="dxa"/>
            <w:vAlign w:val="bottom"/>
          </w:tcPr>
          <w:p>
            <w:pPr>
              <w:spacing w:after="0"/>
              <w:rPr>
                <w:sz w:val="15"/>
                <w:szCs w:val="15"/>
                <w:color w:val="auto"/>
              </w:rPr>
            </w:pPr>
          </w:p>
        </w:tc>
        <w:tc>
          <w:tcPr>
            <w:tcW w:w="1840" w:type="dxa"/>
            <w:vAlign w:val="bottom"/>
            <w:tcBorders>
              <w:bottom w:val="single" w:sz="8" w:color="auto"/>
            </w:tcBorders>
          </w:tcPr>
          <w:p>
            <w:pPr>
              <w:jc w:val="right"/>
              <w:ind w:right="711"/>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Quisel, J.D., Ph.D.</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6,977,811</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897,573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Pamela Stephenson, M.P.H.</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495,935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Savage, M.D., Ph.D.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1,950,209</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Jonathan Yu, M.B.A.</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2,461,424</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jc w:val="both"/>
        <w:ind w:left="38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exercise of stock option awards does not represent proceeds from any sale of any common stock acquired upon exercise, but is determined by multiplying the number of shares acquired upon exercise by the difference between the exercise price of the option and the closing price of our common stock on the Nasdaq Global Market at each time of exercise.</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upon vesting represents the number of vested RSUs multiplied by the closing price of our common stock on the Nasdaq Global Market at the time of each vesting.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John Quisel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employment agreement effective as of December 29, 2022 with Dr. Quisel, or the Quisel Employment Agreement, who currently serves as our President and Chief Executive Officer, that supersedes his previous employment agreement. The Quisel Employment Agreement provides for Dr. Quisel’s at-will employment, an annual salary of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Quisel Employment Agreement also provides that upon a termination 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Dr. Quisel’s target bonus pro-rated for the year of termination, any earned, but unpaid bonus for the fiscal year prior to the fiscal year of termination, acceleration of 25% of Dr. Quisel’s unvested and outstanding time-based vesting equity awards and payment of COBRA premiums (subject to Dr. Quisel’s continued copayment of such premiums at the active employees’ rate) for up to 12 months following the termination date.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Jean Franchi</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party to an employment agreement effective as of February 7, 2024 with Ms. Franchi, or the Franchi Employment Agreement, who currently serves as our Chief Financial Officer. The Franchi Employment Agreement provides for Ms. Franchi’s at-will employment, an annual salary of $515,000, subject to our periodic review and increase, but not decrease (except for an across-the-board reduction of no greater than 10% of based on the Company’s financial performance similarly affecting all or substantially all senior management employees of the Company), a </w:t>
      </w:r>
      <w:r>
        <w:rPr>
          <w:rFonts w:ascii="Times New Roman" w:cs="Times New Roman" w:eastAsia="Times New Roman" w:hAnsi="Times New Roman"/>
          <w:sz w:val="18"/>
          <w:szCs w:val="18"/>
          <w:color w:val="212529"/>
        </w:rPr>
        <w:t>one-time signing bonus of $75,000,</w:t>
      </w:r>
      <w:r>
        <w:rPr>
          <w:rFonts w:ascii="Times New Roman" w:cs="Times New Roman" w:eastAsia="Times New Roman" w:hAnsi="Times New Roman"/>
          <w:sz w:val="18"/>
          <w:szCs w:val="18"/>
          <w:color w:val="auto"/>
        </w:rPr>
        <w:t xml:space="preserve"> an annual bonus with a target amount equal to 40% of her base salary and eligibility to participate in the employee benefit plans generally available to our employees. In addition, as contemplated by the Franchi Employment Agreement, the board of directors granted Ms. Franchi (i) an option to purchase 55,000 shares of our common stock, and (ii) 36,666 RSUs.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Franchi Employment Agreement also provides that upon a termination without cause (and not due to death or disability) or if Ms. Franchi resigns for good reason, in each case, outside of the period that is within 3 months prior to, or within 12 months after, the occurrence of the first event constituting a change in control, then Ms. Franchi is entitled to receive cash severance equal to continued base salary payments for 9 months, any earned, but unpaid bonus for the fiscal year prior to the fiscal year of termination, and payment of COBRA premiums (subject to Ms. Franchi’s continued copayment of such premiums at the active employees’ rate) for up to 9 months.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Ms. Franchi is terminated by the Company or a successor involuntarily without cause (and not due to death or disability) or Ms. Franchi resigns for good reason, Ms. Franchi shall be entitled to a lump sum cash payment equal to 12 months of her then current base salary, plus 100% of her target bonus for the year of termination, plus any earned, but unpaid bonus for the fiscal year prior to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fiscal year of termination. In addition, upon such a termination, all of Ms. Franchi’s outstanding equity awards subject to time-based vesting shall be immediately and fully accelerated and she shall be entitled to the payment of COBRA premiums for up to 12 months (subject to Ms. Franchi’s continued copayment of such premiums at the active employees’ rate).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Ms. Franchi’s execution of a release of claims in our favor. If as a result of a termination of her employment Ms. Franchi becomes subject to the excise tax imposed by Section 4999 of the Internal Revenue Code, Ms. Franchi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Franchi is also subject to our confidentiality, assignment, non-solicitation, and noncompetition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 Pamela Stephenson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party to an employment agreement effective as of February 26, 2024 with Ms. Stephenson, or the Stephenson Employment Agreement, who currently serves as our Chief Commercial Officer. The Stephenson Employment Agreement provides for Ms. Stephenson’s at-will employment, an annual salary of $505,000, subject to our periodic review and increase, but not decrease (except for an across-the-board reduction of no greater than 10% of based on the Company’s financial performance similarly affecting all or substantially all senior management employees of the Company), a </w:t>
      </w:r>
      <w:r>
        <w:rPr>
          <w:rFonts w:ascii="Times New Roman" w:cs="Times New Roman" w:eastAsia="Times New Roman" w:hAnsi="Times New Roman"/>
          <w:sz w:val="18"/>
          <w:szCs w:val="18"/>
          <w:color w:val="212529"/>
        </w:rPr>
        <w:t>one-time signing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bonus of $40,000, </w:t>
      </w:r>
      <w:r>
        <w:rPr>
          <w:rFonts w:ascii="Times New Roman" w:cs="Times New Roman" w:eastAsia="Times New Roman" w:hAnsi="Times New Roman"/>
          <w:sz w:val="18"/>
          <w:szCs w:val="18"/>
          <w:color w:val="000000"/>
        </w:rPr>
        <w:t>an annual bonus with a target amount equal to 40% of her base salary and eligibility to participate in the employee benefit plans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generally available to our employees. In addition, as contemplated by the Stephenson Employment Agreement, the board of directors granted Ms. Stephenson (i) an option to purchase 55,000 shares of our common stock, and (ii) 36,666 RSUs.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Stephenson Employment Agreement also provides that upon a termination without cause (and not due to death or disability) or if Ms. Stephenson resigns for good reason, in each case, outside of the period that is within 3 months prior to, or within 12 months after, the occurrence of the first event constituting a change in control, then Ms. Stephenson is entitled to receive cash severance equal to continued base salary payments for 9 months, any earned, but unpaid bonus for the fiscal year prior to the fiscal year of termination, and payment of COBRA premiums (subject to Ms. Stephenson’s continued copayment of such premiums at the active employees’ rate) for up to 9 months.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Ms. Stephenson is terminated by the Company or a successor involuntarily without cause (and not due to death or disability) or Ms. Stephenson resigns for good reason, Ms. Stephenson shall be entitled to a lump sum cash payment equal to 12 months of her then current base salary, plus 100% of her target bonus for the year of termination, plus any earned, but unpaid bonus for the fiscal year prior to the fiscal year of termination. In addition, upon such a termination, all of Ms. Stephenson’s outstanding equity awards subject to time-based vesting shall be immediately and fully accelerated and she shall be entitled to the payment of COBRA premiums for up to 12 months (subject to Ms. Stephenson’s continued copayment of such premiums at the active employees’ rate).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severance payments and benefits are conditioned upon Ms. Stephenson’s execution of a release of claims in our favor. If as a result of a termination of her employment Ms. Stephenson becomes subject to the excise tax imposed by Section 4999 of the Internal Revenue Code, Ms. Stephenson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Stephenson is also subject to our confidentiality, assignment, non-solicitation, and noncompetition policies.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William Savage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employment agreement effective as of December 29, 2022 with Dr. Savage,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eligibility to participate in the employee benefit plans generally available to our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his then current base salary, plus 100% of his target bonus for the year of termination, plus any earned, but unpaid bonus for the fiscal year prior to the fiscal year of termination.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Jonathan Yu</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an employment agreement effective as of December 29, 2022 with Mr. Yu, or the Yu Employment Agreement, who currently serves as our Chief Operating Officer, that supersedes his previous offer letter. The Yu Employment Agreement provides for Mr. Yu’s at-will employment, an annual salary of $400,000,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eligibility to participate in the employee benefit plans generally available to our employees.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Yu Employment Agreement also provides that upon a termination without cause (and not due to death or disability) or if Mr. Yu resigns for good reason, in each case, outside of the period that is within 3 months prior to, or within 12 months after, the occurrence of the first event constituting a change in control, then Mr. Yu is entitled to receive cash severance equal to continued base salary payments for 9 months, any earned, but unpaid bonus for the fiscal year prior to the fiscal year of termination, and payment of COBRA premiums (subject to Mr. Yu’s continued copayment of such premiums at the active employees’ rate) for up to 9 months.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within 3 months prior to or 12 months following a change of control, Mr. Yu is terminated by the Company or a successor involuntarily without cause (and not due to death or disability) or Mr. Yu resigns for good reason, Mr. Yu shall be entitled to a lump sum cash payment equal to 12 months of his then current base salary, plus 100% of his target bonus for the year of termination, plus any earned, but unpaid bonus for the fiscal year prior to the fiscal year of termination. In addition, upon such a termination, all of Mr. Yu’s outstanding equity awards subject to time-based vesting shall be immediately and fully accelerated and he shall be entitled to the payment of COBRA premiums for up to 12 months (subject to Mr. Yu’s continued copayment of such premiums at the active employees’ rate).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severance payments and benefits are conditioned upon Mr. Yu’s execution of a release of claims in our favor. If as a result of a termination of his employment Mr. Yu becomes subject to the excise tax imposed by Section 4999 of the Internal Revenue Code, Mr. Yu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Mr. Yu is also subject to our confidentiality, assignment, non-solicitation, and noncompetition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compensation and benefits payable to each NEO under their employment agreements in various termination and/or change-in-control situations has been estimated in the table below, which assumes that such termination and/or change-in-control occurred on December 31, 2025. For purposes of the following table, we have used $79.41 per share, which was the closing price of our common stock as reported on the Nasdaq Global Market on December 31, 2025, the last trading day of the year 2025, to estimate the value of our common stock upon acceleration. The value of the option vesting acceleration was calculated by multiplying the number of unvested shares underlying stock options subject to vesting acceleration as of December 31, 2025 by the difference between the closing price of our common stock as reported on the Nasdaq Global Market on December 31, 2025 and the exercise price for such unvested stock options.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the amounts in the table below represent estimated potential payments. No NEO's employment was terminated on December 31, 2025 and a change in control did not occur on that date. Moreover, there can be no assurance that a termination of employment, a change in control, or both would produce the same or similar results as those set forth below if either or both of them occurred on any other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144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Resignation for Good</w:t>
            </w:r>
          </w:p>
        </w:tc>
        <w:tc>
          <w:tcPr>
            <w:tcW w:w="2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Resignation for Good</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8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Reason or Termination</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Reason or Termination</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During</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 Outside</w:t>
            </w:r>
          </w:p>
        </w:tc>
        <w:tc>
          <w:tcPr>
            <w:tcW w:w="19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Termination Due to Death</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8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(Without Termination of</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 Period</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 Period</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80" w:type="dxa"/>
            <w:vAlign w:val="bottom"/>
            <w:vMerge w:val="continue"/>
          </w:tcPr>
          <w:p>
            <w:pPr>
              <w:spacing w:after="0"/>
              <w:rPr>
                <w:sz w:val="15"/>
                <w:szCs w:val="15"/>
                <w:color w:val="auto"/>
              </w:rPr>
            </w:pPr>
          </w:p>
        </w:tc>
        <w:tc>
          <w:tcPr>
            <w:tcW w:w="1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Employment) ($)</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or Disability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0</wp:posOffset>
            </wp:positionV>
            <wp:extent cx="24085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160" w:space="720"/>
            <w:col w:w="9240"/>
          </w:cols>
          <w:pgMar w:left="320" w:top="1411" w:right="4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Franchi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Pamela Stephenson, M.P.H.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William Savage, M.D.,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Yu, M.B.A.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16"/>
        </w:trPr>
        <w:tc>
          <w:tcPr>
            <w:tcW w:w="140" w:type="dxa"/>
            <w:vAlign w:val="bottom"/>
            <w:tcBorders>
              <w:right w:val="single" w:sz="8" w:color="CFF0FC"/>
            </w:tcBorders>
            <w:shd w:val="clear" w:color="auto" w:fill="CFF0FC"/>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Bonus Payment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382,250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98"/>
        </w:trPr>
        <w:tc>
          <w:tcPr>
            <w:tcW w:w="140" w:type="dxa"/>
            <w:vAlign w:val="bottom"/>
            <w:tcBorders>
              <w:right w:val="single" w:sz="8" w:color="CFF0FC"/>
            </w:tcBorders>
            <w:shd w:val="clear" w:color="auto" w:fill="CFF0FC"/>
          </w:tcPr>
          <w:p>
            <w:pPr>
              <w:spacing w:after="0"/>
              <w:rPr>
                <w:sz w:val="17"/>
                <w:szCs w:val="17"/>
                <w:color w:val="auto"/>
              </w:rPr>
            </w:pPr>
          </w:p>
        </w:tc>
        <w:tc>
          <w:tcPr>
            <w:tcW w:w="1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5,276,991</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6"/>
        </w:trPr>
        <w:tc>
          <w:tcPr>
            <w:tcW w:w="140" w:type="dxa"/>
            <w:vAlign w:val="bottom"/>
            <w:tcBorders>
              <w:right w:val="single" w:sz="8" w:color="CFF0FC"/>
            </w:tcBorders>
            <w:shd w:val="clear" w:color="auto" w:fill="CFF0FC"/>
          </w:tcPr>
          <w:p>
            <w:pPr>
              <w:spacing w:after="0"/>
              <w:rPr>
                <w:sz w:val="10"/>
                <w:szCs w:val="10"/>
                <w:color w:val="auto"/>
              </w:rPr>
            </w:pPr>
          </w:p>
        </w:tc>
        <w:tc>
          <w:tcPr>
            <w:tcW w:w="1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CFF0FC"/>
            </w:tcBorders>
            <w:shd w:val="clear" w:color="auto" w:fill="CFF0FC"/>
          </w:tcPr>
          <w:p>
            <w:pPr>
              <w:spacing w:after="0"/>
              <w:rPr>
                <w:sz w:val="9"/>
                <w:szCs w:val="9"/>
                <w:color w:val="auto"/>
              </w:rPr>
            </w:pPr>
          </w:p>
        </w:tc>
        <w:tc>
          <w:tcPr>
            <w:tcW w:w="1340" w:type="dxa"/>
            <w:vAlign w:val="bottom"/>
            <w:vMerge w:val="continue"/>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FF0FC"/>
            </w:tcBorders>
            <w:shd w:val="clear" w:color="auto" w:fill="CFF0FC"/>
          </w:tcPr>
          <w:p>
            <w:pPr>
              <w:spacing w:after="0"/>
              <w:rPr>
                <w:sz w:val="18"/>
                <w:szCs w:val="18"/>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 Acceleration</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10,173,295</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16"/>
        </w:trPr>
        <w:tc>
          <w:tcPr>
            <w:tcW w:w="140" w:type="dxa"/>
            <w:vAlign w:val="bottom"/>
            <w:tcBorders>
              <w:right w:val="single" w:sz="8" w:color="CFF0FC"/>
            </w:tcBorders>
            <w:shd w:val="clear" w:color="auto" w:fill="CFF0FC"/>
          </w:tcPr>
          <w:p>
            <w:pPr>
              <w:spacing w:after="0"/>
              <w:rPr>
                <w:sz w:val="18"/>
                <w:szCs w:val="18"/>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55,945</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10"/>
        </w:trPr>
        <w:tc>
          <w:tcPr>
            <w:tcW w:w="140" w:type="dxa"/>
            <w:vAlign w:val="bottom"/>
            <w:tcBorders>
              <w:top w:val="single" w:sz="8" w:color="CFF0FC"/>
              <w:right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16,930,981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531,000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Bonus Payment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Option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1,125,805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Acceleration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RSU Acceleration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5,042,456</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37,297</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6,948,957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520,000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Bonus Payment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16"/>
        </w:trPr>
        <w:tc>
          <w:tcPr>
            <w:tcW w:w="140" w:type="dxa"/>
            <w:vAlign w:val="bottom"/>
            <w:tcBorders>
              <w:right w:val="single" w:sz="8" w:color="CFF0FC"/>
            </w:tcBorders>
            <w:shd w:val="clear" w:color="auto" w:fill="CFF0FC"/>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 w:type="dxa"/>
            <w:vAlign w:val="bottom"/>
            <w:tcBorders>
              <w:right w:val="single" w:sz="8" w:color="CFF0FC"/>
            </w:tcBorders>
            <w:shd w:val="clear" w:color="auto" w:fill="CFF0FC"/>
          </w:tcPr>
          <w:p>
            <w:pPr>
              <w:spacing w:after="0"/>
              <w:rPr>
                <w:sz w:val="17"/>
                <w:szCs w:val="17"/>
                <w:color w:val="auto"/>
              </w:rPr>
            </w:pPr>
          </w:p>
        </w:tc>
        <w:tc>
          <w:tcPr>
            <w:tcW w:w="1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1,143,382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6"/>
        </w:trPr>
        <w:tc>
          <w:tcPr>
            <w:tcW w:w="140" w:type="dxa"/>
            <w:vAlign w:val="bottom"/>
            <w:tcBorders>
              <w:right w:val="single" w:sz="8" w:color="CFF0FC"/>
            </w:tcBorders>
            <w:shd w:val="clear" w:color="auto" w:fill="CFF0FC"/>
          </w:tcPr>
          <w:p>
            <w:pPr>
              <w:spacing w:after="0"/>
              <w:rPr>
                <w:sz w:val="10"/>
                <w:szCs w:val="10"/>
                <w:color w:val="auto"/>
              </w:rPr>
            </w:pPr>
          </w:p>
        </w:tc>
        <w:tc>
          <w:tcPr>
            <w:tcW w:w="1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CFF0FC"/>
            </w:tcBorders>
            <w:shd w:val="clear" w:color="auto" w:fill="CFF0FC"/>
          </w:tcPr>
          <w:p>
            <w:pPr>
              <w:spacing w:after="0"/>
              <w:rPr>
                <w:sz w:val="9"/>
                <w:szCs w:val="9"/>
                <w:color w:val="auto"/>
              </w:rPr>
            </w:pPr>
          </w:p>
        </w:tc>
        <w:tc>
          <w:tcPr>
            <w:tcW w:w="1340" w:type="dxa"/>
            <w:vAlign w:val="bottom"/>
            <w:vMerge w:val="continue"/>
            <w:shd w:val="clear" w:color="auto" w:fill="CFF0FC"/>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FF0FC"/>
            </w:tcBorders>
            <w:shd w:val="clear" w:color="auto" w:fill="CFF0FC"/>
          </w:tcPr>
          <w:p>
            <w:pPr>
              <w:spacing w:after="0"/>
              <w:rPr>
                <w:sz w:val="18"/>
                <w:szCs w:val="18"/>
                <w:color w:val="auto"/>
              </w:rPr>
            </w:pP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 Acceleration</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5,042,456</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57"/>
        </w:trPr>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37,297</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9"/>
        </w:trPr>
        <w:tc>
          <w:tcPr>
            <w:tcW w:w="140" w:type="dxa"/>
            <w:vAlign w:val="bottom"/>
            <w:tcBorders>
              <w:top w:val="single" w:sz="8" w:color="CFF0FC"/>
              <w:right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6,951,135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523,000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Bonus Payment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209,200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Option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1,569,905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Acceleration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RSU Acceleration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3,009,718</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Health Benefits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5,311,823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507,000</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-153670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-4388485</wp:posOffset>
            </wp:positionV>
            <wp:extent cx="7132320" cy="9690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6901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-2391410</wp:posOffset>
            </wp:positionV>
            <wp:extent cx="7132320" cy="11315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131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7"/>
          <w:szCs w:val="17"/>
          <w:color w:val="auto"/>
        </w:rPr>
        <w:t>695,000</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382,250</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1,319,248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2,543,324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37,297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4,977,118</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386,250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27,972</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414,222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-120650</wp:posOffset>
            </wp:positionV>
            <wp:extent cx="11144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378,750</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27,972</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406,722</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378,750</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5715</wp:posOffset>
            </wp:positionV>
            <wp:extent cx="11144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378,750</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367,500</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
        <w:spacing w:after="0"/>
        <w:rPr>
          <w:sz w:val="20"/>
          <w:szCs w:val="20"/>
          <w:color w:val="auto"/>
        </w:rPr>
      </w:pPr>
      <w:r>
        <w:rPr>
          <w:rFonts w:ascii="Times New Roman" w:cs="Times New Roman" w:eastAsia="Times New Roman" w:hAnsi="Times New Roman"/>
          <w:sz w:val="13"/>
          <w:szCs w:val="13"/>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
        <w:spacing w:after="0"/>
        <w:rPr>
          <w:sz w:val="20"/>
          <w:szCs w:val="20"/>
          <w:color w:val="auto"/>
        </w:rPr>
      </w:pPr>
      <w:r>
        <w:rPr>
          <w:rFonts w:ascii="Times New Roman" w:cs="Times New Roman" w:eastAsia="Times New Roman" w:hAnsi="Times New Roman"/>
          <w:sz w:val="13"/>
          <w:szCs w:val="13"/>
          <w:color w:val="auto"/>
        </w:rPr>
        <w:t>1)</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
        <w:spacing w:after="0"/>
        <w:rPr>
          <w:sz w:val="20"/>
          <w:szCs w:val="20"/>
          <w:color w:val="auto"/>
        </w:rPr>
      </w:pPr>
      <w:r>
        <w:rPr>
          <w:rFonts w:ascii="Times New Roman" w:cs="Times New Roman" w:eastAsia="Times New Roman" w:hAnsi="Times New Roman"/>
          <w:sz w:val="13"/>
          <w:szCs w:val="13"/>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
        <w:spacing w:after="0"/>
        <w:rPr>
          <w:sz w:val="20"/>
          <w:szCs w:val="20"/>
          <w:color w:val="auto"/>
        </w:rPr>
      </w:pPr>
      <w:r>
        <w:rPr>
          <w:rFonts w:ascii="Times New Roman" w:cs="Times New Roman" w:eastAsia="Times New Roman" w:hAnsi="Times New Roman"/>
          <w:sz w:val="13"/>
          <w:szCs w:val="13"/>
          <w:color w:val="auto"/>
        </w:rPr>
        <w:t>1)</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
        <w:spacing w:after="0"/>
        <w:rPr>
          <w:sz w:val="20"/>
          <w:szCs w:val="20"/>
          <w:color w:val="auto"/>
        </w:rPr>
      </w:pPr>
      <w:r>
        <w:rPr>
          <w:rFonts w:ascii="Times New Roman" w:cs="Times New Roman" w:eastAsia="Times New Roman" w:hAnsi="Times New Roman"/>
          <w:sz w:val="13"/>
          <w:szCs w:val="13"/>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w:t>
      </w:r>
    </w:p>
    <w:p>
      <w:pPr>
        <w:ind w:left="40"/>
        <w:spacing w:after="0"/>
        <w:rPr>
          <w:sz w:val="20"/>
          <w:szCs w:val="20"/>
          <w:color w:val="auto"/>
        </w:rPr>
      </w:pP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-127635</wp:posOffset>
            </wp:positionV>
            <wp:extent cx="11226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5715</wp:posOffset>
            </wp:positionV>
            <wp:extent cx="11226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4" w:lineRule="exact"/>
        <w:rPr>
          <w:sz w:val="20"/>
          <w:szCs w:val="20"/>
          <w:color w:val="auto"/>
        </w:rPr>
      </w:pPr>
    </w:p>
    <w:p>
      <w:pPr>
        <w:sectPr>
          <w:pgSz w:w="11900" w:h="16838" w:orient="portrait"/>
          <w:cols w:equalWidth="0" w:num="5">
            <w:col w:w="1740" w:space="20"/>
            <w:col w:w="5860" w:space="720"/>
            <w:col w:w="720" w:space="120"/>
            <w:col w:w="1020" w:space="720"/>
            <w:col w:w="200"/>
          </w:cols>
          <w:pgMar w:left="320" w:top="1411" w:right="459" w:bottom="1440" w:gutter="0" w:footer="0" w:header="0"/>
          <w:type w:val="continuous"/>
        </w:sect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1" w:right="4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Bonus Payment</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202,800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760" w:type="dxa"/>
            <w:vAlign w:val="bottom"/>
          </w:tcPr>
          <w:p>
            <w:pPr>
              <w:spacing w:after="0"/>
              <w:rPr>
                <w:sz w:val="17"/>
                <w:szCs w:val="17"/>
                <w:color w:val="auto"/>
              </w:rPr>
            </w:pPr>
          </w:p>
        </w:tc>
        <w:tc>
          <w:tcPr>
            <w:tcW w:w="148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Option</w:t>
            </w:r>
          </w:p>
        </w:tc>
        <w:tc>
          <w:tcPr>
            <w:tcW w:w="120" w:type="dxa"/>
            <w:vAlign w:val="bottom"/>
            <w:shd w:val="clear" w:color="auto" w:fill="CFF0FC"/>
          </w:tcPr>
          <w:p>
            <w:pPr>
              <w:spacing w:after="0"/>
              <w:rPr>
                <w:sz w:val="17"/>
                <w:szCs w:val="17"/>
                <w:color w:val="auto"/>
              </w:rPr>
            </w:pPr>
          </w:p>
        </w:tc>
        <w:tc>
          <w:tcPr>
            <w:tcW w:w="1720" w:type="dxa"/>
            <w:vAlign w:val="bottom"/>
            <w:vMerge w:val="restart"/>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1,481,814</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900" w:type="dxa"/>
            <w:vAlign w:val="bottom"/>
            <w:gridSpan w:val="2"/>
            <w:vMerge w:val="restart"/>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14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Acceleration</w:t>
            </w:r>
          </w:p>
        </w:tc>
        <w:tc>
          <w:tcPr>
            <w:tcW w:w="120" w:type="dxa"/>
            <w:vAlign w:val="bottom"/>
            <w:shd w:val="clear" w:color="auto" w:fill="CFF0FC"/>
          </w:tcPr>
          <w:p>
            <w:pPr>
              <w:spacing w:after="0"/>
              <w:rPr>
                <w:sz w:val="10"/>
                <w:szCs w:val="10"/>
                <w:color w:val="auto"/>
              </w:rPr>
            </w:pPr>
          </w:p>
        </w:tc>
        <w:tc>
          <w:tcPr>
            <w:tcW w:w="1720" w:type="dxa"/>
            <w:vAlign w:val="bottom"/>
            <w:vMerge w:val="continue"/>
            <w:shd w:val="clear" w:color="auto" w:fill="CFF0FC"/>
          </w:tcPr>
          <w:p>
            <w:pPr>
              <w:spacing w:after="0"/>
              <w:rPr>
                <w:sz w:val="10"/>
                <w:szCs w:val="10"/>
                <w:color w:val="auto"/>
              </w:rPr>
            </w:pPr>
          </w:p>
        </w:tc>
        <w:tc>
          <w:tcPr>
            <w:tcW w:w="1980" w:type="dxa"/>
            <w:vAlign w:val="bottom"/>
            <w:gridSpan w:val="2"/>
            <w:vMerge w:val="continue"/>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17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9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4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 Acceleration</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2,987,722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90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Health Benefits</w:t>
            </w:r>
          </w:p>
        </w:tc>
        <w:tc>
          <w:tcPr>
            <w:tcW w:w="120" w:type="dxa"/>
            <w:vAlign w:val="bottom"/>
            <w:shd w:val="clear" w:color="auto" w:fill="CFF0FC"/>
          </w:tcPr>
          <w:p>
            <w:pPr>
              <w:spacing w:after="0"/>
              <w:rPr>
                <w:sz w:val="15"/>
                <w:szCs w:val="15"/>
                <w:color w:val="auto"/>
              </w:rPr>
            </w:pPr>
          </w:p>
        </w:tc>
        <w:tc>
          <w:tcPr>
            <w:tcW w:w="1720" w:type="dxa"/>
            <w:vAlign w:val="bottom"/>
            <w:shd w:val="clear" w:color="auto" w:fill="CFF0FC"/>
          </w:tcPr>
          <w:p>
            <w:pPr>
              <w:ind w:left="15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FF0FC"/>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37,297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76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27,972</w:t>
            </w:r>
          </w:p>
        </w:tc>
        <w:tc>
          <w:tcPr>
            <w:tcW w:w="260" w:type="dxa"/>
            <w:vAlign w:val="bottom"/>
            <w:vMerge w:val="continue"/>
            <w:shd w:val="clear" w:color="auto" w:fill="CFF0FC"/>
          </w:tcPr>
          <w:p>
            <w:pPr>
              <w:spacing w:after="0"/>
              <w:rPr>
                <w:sz w:val="15"/>
                <w:szCs w:val="15"/>
                <w:color w:val="auto"/>
              </w:rPr>
            </w:pPr>
          </w:p>
        </w:tc>
        <w:tc>
          <w:tcPr>
            <w:tcW w:w="1900" w:type="dxa"/>
            <w:vAlign w:val="bottom"/>
            <w:gridSpan w:val="2"/>
            <w:shd w:val="clear" w:color="auto" w:fill="CFF0FC"/>
          </w:tcPr>
          <w:p>
            <w:pPr>
              <w:ind w:left="15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720" w:type="dxa"/>
            <w:vAlign w:val="bottom"/>
            <w:tcBorders>
              <w:bottom w:val="single" w:sz="8" w:color="auto"/>
            </w:tcBorders>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176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176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jc w:val="right"/>
              <w:spacing w:after="0" w:line="81" w:lineRule="exact"/>
              <w:rPr>
                <w:sz w:val="20"/>
                <w:szCs w:val="20"/>
                <w:color w:val="auto"/>
              </w:rPr>
            </w:pPr>
            <w:r>
              <w:rPr>
                <w:rFonts w:ascii="Times New Roman" w:cs="Times New Roman" w:eastAsia="Times New Roman" w:hAnsi="Times New Roman"/>
                <w:sz w:val="9"/>
                <w:szCs w:val="9"/>
                <w:color w:val="auto"/>
              </w:rPr>
              <w:t>1)</w:t>
            </w:r>
          </w:p>
        </w:tc>
        <w:tc>
          <w:tcPr>
            <w:tcW w:w="178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7"/>
                <w:szCs w:val="17"/>
                <w:color w:val="auto"/>
              </w:rPr>
            </w:pPr>
          </w:p>
        </w:tc>
        <w:tc>
          <w:tcPr>
            <w:tcW w:w="172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5,216,633</w:t>
            </w: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395,472</w:t>
            </w:r>
          </w:p>
        </w:tc>
        <w:tc>
          <w:tcPr>
            <w:tcW w:w="260" w:type="dxa"/>
            <w:vAlign w:val="bottom"/>
          </w:tcPr>
          <w:p>
            <w:pPr>
              <w:spacing w:after="0"/>
              <w:rPr>
                <w:sz w:val="17"/>
                <w:szCs w:val="17"/>
                <w:color w:val="auto"/>
              </w:rPr>
            </w:pPr>
          </w:p>
        </w:tc>
        <w:tc>
          <w:tcPr>
            <w:tcW w:w="19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114425" cy="8572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4425" cy="85725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-717550</wp:posOffset>
            </wp:positionV>
            <wp:extent cx="6017895" cy="720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17895" cy="7200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83"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18 months of the NEO's base salary in effect as of December 31, 2025.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12 months of the NEO’s base salary in effect as of December 31, 2025.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payment equal to the NEO’s target annual cash incentive bonus.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100% of the unvested stock options held by the NEO.</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25% of the unvested stock options held by the NEO.</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100% of the RSUs held by the NEO.</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acceleration of vesting as to 25% of the RSUs held by the NEO.</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monthly cash payment for 18 months for continued medical and dental benefits for the NEO, based upon the premium rate in effect as of December 31, 2025.</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monthly cash payment for 12 months for continued medical and dental benefits for the NEO, based upon the premium rate in effect as of December 31, 2025.</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nine months of the NEO’s base salary in effect as of December 31, 2025.</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monthly cash payment for nine months for continued medical and dental benefits for the NEO, based upon the premium rate in effect as of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we are required to disclose the median of the annual total compensation of our employees, the annual total compensation of our Chief Executive Officer during 2025, Dr. Quisel, and the ratio of these two amounts. The pay ratio included in this information is a reasonable estimate calculated in a manner consistent with Item 402(u) of Regulation S-K. The pay ratio reported by other companies may not be comparable to the pay ratio reported below, as other companies have different employee populations and compensation practices and may use different methodologies, measurement dates, exclusions, estimates and assumptions in calculating their own pay ratios.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median employee from our global employee population (excluding Dr. Quisel) and calculated the annual total compensation of both that employee and Dr. Quisel in accordance with the requirements of the Summary Compensation Table. The 2025 annual total compensation of Dr. Quisel is $9,986,626 and the 2025 annual total compensation of the median employee is $570,211. Based on this information, the ratio of the 2025 annual total compensation of Dr. Quisel to the estimated median of the 2025 annual total compensation of our employees was 18 to 1. We believe this pay ratio is a reasonable estimate calculated in a manner consistent with SEC rules.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Methodology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identify the median employee, as well as to determine the total annual compensation of our median employee and our Chief Executive Officer, we took the following steps:</w:t>
      </w:r>
    </w:p>
    <w:p>
      <w:pPr>
        <w:spacing w:after="0" w:line="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2025, our employee population consisted of 154 individuals, excluding Dr. Quisel.</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for each employee employed for all of 2025 we included the amount of salary paid as of December 31, 2025, the bonus earned for 2025, employer contributions under our 401(k) plan, and the grant date fair value of stock options and restricted stock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47" w:name="page48"/>
    <w:bookmarkEnd w:id="47"/>
    <w:p>
      <w:pPr>
        <w:spacing w:after="0" w:line="8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awarded in 2025, each as reflected in our human resources, payroll and equity award systems. For employees who were employed on December 31, 2025 but were not employed for all of 2025, we combined their annualized 2025 base salary, their target bonus for 2025 multiplied by our corporate bonus multiplier, employer contributions under our 401(k) plan, and the grant date fair value of stock options and restricted stock units awarded in 2025, each as reflected in our human resources, payroll and equity award systems. We did not make any cost-of-living adjustments.</w:t>
      </w:r>
    </w:p>
    <w:p>
      <w:pPr>
        <w:spacing w:after="0" w:line="72" w:lineRule="exact"/>
        <w:rPr>
          <w:sz w:val="20"/>
          <w:szCs w:val="20"/>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identified our median employee, we calculated such employee’s compensation for 2025 using the same methodology as used to calculate Dr. Quisel's total compensation in the “2025 Summary Compensation Table”.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NEO pay, and the compensation committee does not utilize CAP (as defined below) as the basis for making compensation decisions. For additional information about our pay-for-performance philosophy and how we align executive compensation with Company performance, refer to "Compensation Discussion and Analysis"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Pay Versus Performance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table reports the compensation of our Principal Executive Officer, or PEO, which is the Chief Executive Officer, and the average compensation of the other non-PEO NEOs, or Non-PEO NEOs, as reported in the "2025 Summary Compensation Table" for the past four fiscal years, as well as Compensation Actually Paid, or CAP, as calculated under the SEC Pay-Versus-Performance disclosure requirements, together with certain performance </w:t>
      </w:r>
      <w:r>
        <w:rPr>
          <w:rFonts w:ascii="Times New Roman" w:cs="Times New Roman" w:eastAsia="Times New Roman" w:hAnsi="Times New Roman"/>
          <w:sz w:val="16"/>
          <w:szCs w:val="16"/>
          <w:color w:val="auto"/>
        </w:rPr>
        <w:t>measures required by the rules.</w:t>
      </w:r>
      <w:r>
        <w:rPr>
          <w:rFonts w:ascii="Times New Roman" w:cs="Times New Roman" w:eastAsia="Times New Roman" w:hAnsi="Times New Roman"/>
          <w:sz w:val="18"/>
          <w:szCs w:val="18"/>
          <w:color w:val="auto"/>
        </w:rPr>
        <w:t xml:space="preserve"> We did not use any financial performance measure to link CAP to our NEOs to our company performance in the most recently completed fiscal year; accordingly, this disclosure does not present a Company-Selected Measure in the table below nor a Tabular List of our most important financial metrics. The compensation committee did not consider the pay versus performance disclosure below in making its pay decisions for any of the years shown.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40" w:type="dxa"/>
            <w:vAlign w:val="bottom"/>
          </w:tcPr>
          <w:p>
            <w:pPr>
              <w:spacing w:after="0"/>
              <w:rPr>
                <w:sz w:val="15"/>
                <w:szCs w:val="15"/>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72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4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8"/>
        </w:trPr>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gridSpan w:val="2"/>
          </w:tcPr>
          <w:p>
            <w:pPr>
              <w:jc w:val="center"/>
              <w:ind w:left="34"/>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 ($)</w:t>
            </w:r>
          </w:p>
        </w:tc>
        <w:tc>
          <w:tcPr>
            <w:tcW w:w="2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 ($)</w:t>
            </w: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(1)</w:t>
            </w:r>
          </w:p>
        </w:tc>
        <w:tc>
          <w:tcPr>
            <w:tcW w:w="240" w:type="dxa"/>
            <w:vAlign w:val="bottom"/>
          </w:tcPr>
          <w:p>
            <w:pPr>
              <w:spacing w:after="0"/>
              <w:rPr>
                <w:sz w:val="11"/>
                <w:szCs w:val="11"/>
                <w:color w:val="auto"/>
              </w:rPr>
            </w:pPr>
          </w:p>
        </w:tc>
        <w:tc>
          <w:tcPr>
            <w:tcW w:w="128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PEO ($)</w:t>
            </w:r>
            <w:r>
              <w:rPr>
                <w:rFonts w:ascii="Times New Roman" w:cs="Times New Roman" w:eastAsia="Times New Roman" w:hAnsi="Times New Roman"/>
                <w:sz w:val="15"/>
                <w:szCs w:val="15"/>
                <w:b w:val="1"/>
                <w:bCs w:val="1"/>
                <w:color w:val="auto"/>
                <w:vertAlign w:val="superscript"/>
              </w:rPr>
              <w:t>(2)</w:t>
            </w:r>
          </w:p>
        </w:tc>
        <w:tc>
          <w:tcPr>
            <w:tcW w:w="24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240" w:type="dxa"/>
            <w:vAlign w:val="bottom"/>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(4)</w:t>
            </w:r>
          </w:p>
        </w:tc>
        <w:tc>
          <w:tcPr>
            <w:tcW w:w="220" w:type="dxa"/>
            <w:vAlign w:val="bottom"/>
          </w:tcPr>
          <w:p>
            <w:pPr>
              <w:spacing w:after="0"/>
              <w:rPr>
                <w:sz w:val="11"/>
                <w:szCs w:val="11"/>
                <w:color w:val="auto"/>
              </w:rPr>
            </w:pPr>
          </w:p>
        </w:tc>
        <w:tc>
          <w:tcPr>
            <w:tcW w:w="1260" w:type="dxa"/>
            <w:vAlign w:val="bottom"/>
            <w:tcBorders>
              <w:bottom w:val="single" w:sz="8" w:color="auto"/>
            </w:tcBorders>
          </w:tcPr>
          <w:p>
            <w:pPr>
              <w:jc w:val="right"/>
              <w:ind w:right="181"/>
              <w:spacing w:after="0" w:line="135" w:lineRule="exact"/>
              <w:rPr>
                <w:sz w:val="20"/>
                <w:szCs w:val="20"/>
                <w:color w:val="auto"/>
              </w:rPr>
            </w:pPr>
            <w:r>
              <w:rPr>
                <w:rFonts w:ascii="Times New Roman" w:cs="Times New Roman" w:eastAsia="Times New Roman" w:hAnsi="Times New Roman"/>
                <w:sz w:val="12"/>
                <w:szCs w:val="12"/>
                <w:b w:val="1"/>
                <w:bCs w:val="1"/>
                <w:color w:val="auto"/>
              </w:rPr>
              <w:t>Return ($)</w:t>
            </w:r>
            <w:r>
              <w:rPr>
                <w:rFonts w:ascii="Times New Roman" w:cs="Times New Roman" w:eastAsia="Times New Roman" w:hAnsi="Times New Roman"/>
                <w:sz w:val="15"/>
                <w:szCs w:val="15"/>
                <w:b w:val="1"/>
                <w:bCs w:val="1"/>
                <w:color w:val="auto"/>
                <w:vertAlign w:val="superscript"/>
              </w:rPr>
              <w:t>(5)</w:t>
            </w:r>
          </w:p>
        </w:tc>
        <w:tc>
          <w:tcPr>
            <w:tcW w:w="220" w:type="dxa"/>
            <w:vAlign w:val="bottom"/>
          </w:tcPr>
          <w:p>
            <w:pPr>
              <w:spacing w:after="0"/>
              <w:rPr>
                <w:sz w:val="11"/>
                <w:szCs w:val="11"/>
                <w:color w:val="auto"/>
              </w:rPr>
            </w:pPr>
          </w:p>
        </w:tc>
        <w:tc>
          <w:tcPr>
            <w:tcW w:w="124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(6)</w:t>
            </w:r>
          </w:p>
        </w:tc>
        <w:tc>
          <w:tcPr>
            <w:tcW w:w="220" w:type="dxa"/>
            <w:vAlign w:val="bottom"/>
          </w:tcPr>
          <w:p>
            <w:pPr>
              <w:spacing w:after="0"/>
              <w:rPr>
                <w:sz w:val="11"/>
                <w:szCs w:val="11"/>
                <w:color w:val="auto"/>
              </w:rPr>
            </w:pPr>
          </w:p>
        </w:tc>
        <w:tc>
          <w:tcPr>
            <w:tcW w:w="132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(Thousands) ($)</w:t>
            </w:r>
            <w:r>
              <w:rPr>
                <w:rFonts w:ascii="Times New Roman" w:cs="Times New Roman" w:eastAsia="Times New Roman" w:hAnsi="Times New Roman"/>
                <w:sz w:val="15"/>
                <w:szCs w:val="15"/>
                <w:b w:val="1"/>
                <w:bCs w:val="1"/>
                <w:color w:val="auto"/>
                <w:vertAlign w:val="superscript"/>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9,986,626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13,475,891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3,831,773</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5,162,323</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(212,184)</w:t>
            </w:r>
          </w:p>
        </w:tc>
        <w:tc>
          <w:tcPr>
            <w:tcW w:w="0" w:type="dxa"/>
            <w:vAlign w:val="bottom"/>
          </w:tcPr>
          <w:p>
            <w:pPr>
              <w:spacing w:after="0"/>
              <w:rPr>
                <w:sz w:val="1"/>
                <w:szCs w:val="1"/>
                <w:color w:val="auto"/>
              </w:rPr>
            </w:pPr>
          </w:p>
        </w:tc>
      </w:tr>
      <w:tr>
        <w:trPr>
          <w:trHeight w:val="216"/>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9,065,924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8,673,485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3,827,045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4,301,978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(109,357)</w:t>
            </w: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909,100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5,226,012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1,220,778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1,915,148</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(76,429)</w:t>
            </w:r>
          </w:p>
        </w:tc>
        <w:tc>
          <w:tcPr>
            <w:tcW w:w="0" w:type="dxa"/>
            <w:vAlign w:val="bottom"/>
          </w:tcPr>
          <w:p>
            <w:pPr>
              <w:spacing w:after="0"/>
              <w:rPr>
                <w:sz w:val="1"/>
                <w:szCs w:val="1"/>
                <w:color w:val="auto"/>
              </w:rPr>
            </w:pPr>
          </w:p>
        </w:tc>
      </w:tr>
      <w:tr>
        <w:trPr>
          <w:trHeight w:val="21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1,831,265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1,183,878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841,281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690,939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(46,827)</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83" w:lineRule="exact"/>
        <w:rPr>
          <w:sz w:val="20"/>
          <w:szCs w:val="20"/>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Dr. Quisel (PEO) for each corresponding year in the “Total” column of the Summary Compensation Table.</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amount of CAP for Dr. Quisel, as computed in accordance with Item 402(v) of Regulation S-K. The dollar amounts do not reflect the actual amount of compensation earned by or paid to Dr. Quisel during the applicable year. In accordance with the requirements of Item 402(v) of Regulation S-K, the following adjustments were made to Dr. Quisel’s total reported compensation for 2025, 2024, 2023, and 2022 to determine the CAP: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Summary Compensation Total for PEO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Grant date fair value of equity awards granted in the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indicated as reported in the SCT for such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Year-end fair value of equity awards granted in the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indicated that remained outstanding and unvested as of the end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Change in fair value of equity awards granted in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to the year indicated that were outstanding and unvested at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end of the year indicated (as compared to fair value at the end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immediately prior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99"/>
              </w:rPr>
              <w:t>ADD</w:t>
            </w:r>
            <w:r>
              <w:rPr>
                <w:rFonts w:ascii="Times New Roman" w:cs="Times New Roman" w:eastAsia="Times New Roman" w:hAnsi="Times New Roman"/>
                <w:sz w:val="18"/>
                <w:szCs w:val="18"/>
                <w:color w:val="auto"/>
                <w:w w:val="99"/>
              </w:rPr>
              <w:t>: Vesting-date fair value of equity awards granted during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indicated that vested during such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Change in fair value of equity awards granted in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to the year indicated that vested in the year indicated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value at vesting date as compared to the end of the immediately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Fair value as of the end of the year prior to the year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indicated of equity awards forfeited during the year indicated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Net Adjustments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9,986,626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9,065,924</w:t>
            </w:r>
          </w:p>
        </w:tc>
        <w:tc>
          <w:tcPr>
            <w:tcW w:w="2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8,726,863</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7,931,661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10,574,937</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7,053,758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1,636,989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1,158,980</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3,018,833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(560,576)</w:t>
            </w:r>
          </w:p>
        </w:tc>
        <w:tc>
          <w:tcPr>
            <w:tcW w:w="0" w:type="dxa"/>
            <w:vAlign w:val="bottom"/>
          </w:tcPr>
          <w:p>
            <w:pPr>
              <w:spacing w:after="0"/>
              <w:rPr>
                <w:sz w:val="1"/>
                <w:szCs w:val="1"/>
                <w:color w:val="auto"/>
              </w:rPr>
            </w:pPr>
          </w:p>
        </w:tc>
      </w:tr>
      <w:tr>
        <w:trPr>
          <w:trHeight w:val="648"/>
        </w:trPr>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531,752</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672,472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(49,541)</w:t>
            </w:r>
          </w:p>
        </w:tc>
        <w:tc>
          <w:tcPr>
            <w:tcW w:w="32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(297,251)</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1,298,079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(642,650)</w:t>
            </w:r>
          </w:p>
        </w:tc>
        <w:tc>
          <w:tcPr>
            <w:tcW w:w="0" w:type="dxa"/>
            <w:vAlign w:val="bottom"/>
          </w:tcPr>
          <w:p>
            <w:pPr>
              <w:spacing w:after="0"/>
              <w:rPr>
                <w:sz w:val="1"/>
                <w:szCs w:val="1"/>
                <w:color w:val="auto"/>
              </w:rPr>
            </w:pPr>
          </w:p>
        </w:tc>
      </w:tr>
      <w:tr>
        <w:trPr>
          <w:trHeight w:val="635"/>
        </w:trPr>
        <w:tc>
          <w:tcPr>
            <w:tcW w:w="11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13,475,891</w:t>
            </w: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10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8,673,485</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5,226,012</w:t>
            </w:r>
          </w:p>
        </w:tc>
        <w:tc>
          <w:tcPr>
            <w:tcW w:w="10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-2639695</wp:posOffset>
            </wp:positionV>
            <wp:extent cx="7132320" cy="1654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5417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-436245</wp:posOffset>
            </wp:positionV>
            <wp:extent cx="71323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-25400</wp:posOffset>
            </wp:positionV>
            <wp:extent cx="9004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-7620</wp:posOffset>
            </wp:positionV>
            <wp:extent cx="900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480"/>
            <w:col w:w="5820"/>
          </w:cols>
          <w:pgMar w:left="320" w:top="1440" w:right="339" w:bottom="1440" w:gutter="0" w:footer="0" w:header="0"/>
        </w:sectPr>
      </w:pPr>
    </w:p>
    <w:p>
      <w:pPr>
        <w:spacing w:after="0" w:line="25" w:lineRule="exact"/>
        <w:rPr>
          <w:sz w:val="20"/>
          <w:szCs w:val="20"/>
          <w:color w:val="auto"/>
        </w:rPr>
      </w:pPr>
    </w:p>
    <w:p>
      <w:pPr>
        <w:jc w:val="both"/>
        <w:ind w:left="380" w:hanging="372"/>
        <w:spacing w:after="0" w:line="25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of the amounts reported for the Company’s Non-PEO NEOs as a group in the “Total” column of the Summary Compensation Table in each applicable year. The names of each of the Non-PEO NEOs included for purposes of calculating the average amounts in each applicable year are as follows: (i) for 2025, Jean Franchi, Pamela Stephenson, M.P.H., William Savage M.D., Ph.D., and Jonathan Yu, M.B.A.; (ii) for 2024, Jean Franchi, Pamela Stephenson, M.P.H., William Savage M.D., Ph.D., Jonathan Yu, M.B.A., and Joanne Bryce, C.P.A.; (iii) for 2023, Joanne Bryce, C.P.A. and William Savage, M.D., Ph.D.; and (iv) for 2022, Joanne Bryce, C.P.A., William Savage M.D., Ph.D., and Jonathan Yu, M.B.A.</w:t>
      </w:r>
    </w:p>
    <w:p>
      <w:pPr>
        <w:spacing w:after="0" w:line="79"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amount of CAP to the Non-PEO NEOs, as computed in accordance with Item 402(v) of Regulation S-K. The dollar amounts do not reflect the actual average amount of compensation earned by or paid to the Non-PEO NEOs as a group during the applicable year. In accordance with the requirements of Item 402(v) of Regulation S-K, the following adjustments were made to average total reported compensation for the Non-PEO NEOs for each year to determine the CAP, using the same methodology described above in Note 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25" w:lineRule="exact"/>
        <w:rPr>
          <w:sz w:val="20"/>
          <w:szCs w:val="20"/>
          <w:color w:val="auto"/>
        </w:rPr>
      </w:pPr>
    </w:p>
    <w:p>
      <w:pPr>
        <w:ind w:left="5420"/>
        <w:spacing w:after="0"/>
        <w:tabs>
          <w:tab w:leader="none" w:pos="7040" w:val="left"/>
          <w:tab w:leader="none" w:pos="8680" w:val="left"/>
          <w:tab w:leader="none" w:pos="102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7620</wp:posOffset>
            </wp:positionV>
            <wp:extent cx="900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2"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18"/>
          <w:szCs w:val="18"/>
          <w:color w:val="auto"/>
        </w:rPr>
        <w:t>Average Summary Compensation Total for non-PEO NEOs</w:t>
      </w:r>
      <w:r>
        <w:rPr>
          <w:sz w:val="20"/>
          <w:szCs w:val="20"/>
          <w:color w:val="auto"/>
        </w:rPr>
        <w:tab/>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Average grant date fair value of equity awards granted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year indicated as reported in the SCT for such year for non-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PEO NEOS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year-end fair value of equity awards granted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year indicated that remained outstanding and unvested as of</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end of such year for non-PEO NEOs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change in fair value of equity awards granted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years prior to the year indicated that were outstanding and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unvested at the end of the year indicated (as compared to fair</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value at the end of the immediately prior year) for non-PEO</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NEOs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vesting-date fair value of equity awards granted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during the year indicated that vested during such year for non-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PEO NEOs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ADD</w:t>
      </w:r>
      <w:r>
        <w:rPr>
          <w:rFonts w:ascii="Times New Roman" w:cs="Times New Roman" w:eastAsia="Times New Roman" w:hAnsi="Times New Roman"/>
          <w:sz w:val="18"/>
          <w:szCs w:val="18"/>
          <w:color w:val="auto"/>
        </w:rPr>
        <w:t>: Average change in fair value of equity awards granted 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years prior to the year indicated that vested in the year indicated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(fair value at vesting date as compared to the end of the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immediately prior year) for non-PEO NEOs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3,831,773</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3,827,045</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1,220,778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841,281</w:t>
            </w:r>
          </w:p>
        </w:tc>
        <w:tc>
          <w:tcPr>
            <w:tcW w:w="60" w:type="dxa"/>
            <w:vAlign w:val="bottom"/>
          </w:tcPr>
          <w:p>
            <w:pPr>
              <w:spacing w:after="0"/>
              <w:rPr>
                <w:sz w:val="20"/>
                <w:szCs w:val="20"/>
                <w:color w:val="auto"/>
              </w:rPr>
            </w:pPr>
          </w:p>
        </w:tc>
      </w:tr>
      <w:tr>
        <w:trPr>
          <w:trHeight w:val="407"/>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3,001,903</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1,549,321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561,898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291,082</w:t>
            </w:r>
          </w:p>
        </w:tc>
        <w:tc>
          <w:tcPr>
            <w:tcW w:w="60" w:type="dxa"/>
            <w:vAlign w:val="bottom"/>
          </w:tcPr>
          <w:p>
            <w:pPr>
              <w:spacing w:after="0"/>
              <w:rPr>
                <w:sz w:val="24"/>
                <w:szCs w:val="24"/>
                <w:color w:val="auto"/>
              </w:rPr>
            </w:pPr>
          </w:p>
        </w:tc>
      </w:tr>
      <w:tr>
        <w:trPr>
          <w:trHeight w:val="648"/>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7"/>
              </w:rPr>
              <w:t>3,716,292</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2,525,993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440,732</w:t>
            </w:r>
          </w:p>
        </w:tc>
        <w:tc>
          <w:tcPr>
            <w:tcW w:w="60" w:type="dxa"/>
            <w:vAlign w:val="bottom"/>
          </w:tcPr>
          <w:p>
            <w:pPr>
              <w:spacing w:after="0"/>
              <w:rPr>
                <w:sz w:val="24"/>
                <w:szCs w:val="24"/>
                <w:color w:val="auto"/>
              </w:rPr>
            </w:pPr>
          </w:p>
        </w:tc>
      </w:tr>
      <w:tr>
        <w:trPr>
          <w:trHeight w:val="864"/>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455,084</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(155,015)</w:t>
            </w:r>
          </w:p>
        </w:tc>
      </w:tr>
      <w:tr>
        <w:trPr>
          <w:trHeight w:val="864"/>
        </w:trPr>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297,234</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756"/>
        </w:trPr>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(136,157)</w:t>
            </w:r>
          </w:p>
        </w:tc>
        <w:tc>
          <w:tcPr>
            <w:tcW w:w="3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(66,418)</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310,764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-2399665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-1851025</wp:posOffset>
            </wp:positionV>
            <wp:extent cx="713232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-753745</wp:posOffset>
            </wp:positionV>
            <wp:extent cx="71323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4940" w:space="600"/>
            <w:col w:w="57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Average fair value as of the end of the year prior to the</w:t>
            </w:r>
          </w:p>
        </w:tc>
        <w:tc>
          <w:tcPr>
            <w:tcW w:w="38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549,476</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year indicated of equity awards forfeited during the year</w:t>
            </w:r>
          </w:p>
        </w:tc>
        <w:tc>
          <w:tcPr>
            <w:tcW w:w="38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indicated for non-PEO NEOs</w:t>
            </w:r>
          </w:p>
        </w:tc>
        <w:tc>
          <w:tcPr>
            <w:tcW w:w="3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Net Adjustments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5,162,323</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4,301,978</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1,915,148</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reflect the cumulative Total Shareholder Return (TSR) of our common stock for the measurement periods beginning on December 31, 2021 and ending on December 31 of each of 2025, 2024, 2023, and 2022 respectively, calculated in accordance with Item 201(e) of Regulation S-K.</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in this column reflect the cumulative Total Shareholder Return (TSR) of our Peer Group for the measurement periods beginning on December 31, 2021 and ending on December 31 of each of 2025, 2024, 2023, and 2022, respectively, calculated in accordance with Item 201(e) of Regulation S-K. “Peer Group” represents the Nasdaq Biotechnology Index, which the Company has identified as its peer group for purposes of Item 402(v) and which is used by the Company for purposes of compliance with Item 201(e) of Regulation S-K.</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net loss reflected in the Company’s audited financial statements for the applicable fiscal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third graph below further illustrates the relationship between Company total shareholder return and that of the Peer Group. As noted above, CAP for purposes of the tabular disclosure and the following graphs was calculated in accordance with SEC rules and does not fully represent the actual final amount of compensation earned by or actually paid to our NEOs during the applicable fiscal years.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NEO Compensation Actually Paid and Company Total Shareholder Return, or TSR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demonstrated by the following graph, the amount of CAP to the PEO, Dr. Quisel, and the average amount of CAP to the Company’s non-PEO NEOs as a group, is aligned with the Company’s cumulative TSR over the four years presented in the table. The alignment is due to the fact that a significant portion of CAP to Dr. Quisel and to the non-PEO NEOs is comprised of equity awards. As described in more detail in “Compensation Discussion and Analysis” above, the Company generally structures a significant portion of target compensation granted to the NEOs to be comprised of equity awards, and until December 31, 2023, all such equity awards consisted solely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128270</wp:posOffset>
            </wp:positionV>
            <wp:extent cx="4406265" cy="27863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0626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NEO Compensation Actually Paid and Net Income/(Loss)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demonstrated by the following graph, the amount of CAP to Dr. Quisel and the average amount of CAP to the non-PEO NEOs as a group is not aligned with the Company’s net loss over the four years presented in the table. We are a clinical-stage company with no products approved for commercial sale and we have not generated any revenue from product sales to date. Further, we expect to continue to incur significant research and development costs, and other expenses related to our clinical development programs and ongoing operations. Consequently, we have not historically looked to net loss as an appropriate performance measure for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128270</wp:posOffset>
            </wp:positionV>
            <wp:extent cx="4406265" cy="2785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0626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TSR of the Company and Cumulative TSR of the Peer Group</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demonstrated by the following graph, the Company’s cumulative TSR over the four-year period presented in the table was 157.8%, while the cumulative TSR of the peer group presented for this purpose, the Nasdaq Biotechnology Index, was 19.9% over the four years presented in the table. For more information regarding the Company’s performance and the companies that the Compensation Committee considers when determining compensation, refer to “Compensation Discussion and Analysis”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125730</wp:posOffset>
            </wp:positionV>
            <wp:extent cx="4414520" cy="27774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1452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r>
              <w:rPr>
                <w:rFonts w:ascii="Times New Roman" w:cs="Times New Roman" w:eastAsia="Times New Roman" w:hAnsi="Times New Roman"/>
                <w:sz w:val="19"/>
                <w:szCs w:val="19"/>
                <w:b w:val="1"/>
                <w:bCs w:val="1"/>
                <w:color w:val="auto"/>
                <w:w w:val="93"/>
                <w:vertAlign w:val="superscript"/>
              </w:rPr>
              <w:t>(4)</w:t>
            </w:r>
          </w:p>
        </w:tc>
        <w:tc>
          <w:tcPr>
            <w:tcW w:w="220" w:type="dxa"/>
            <w:vAlign w:val="bottom"/>
          </w:tcPr>
          <w:p>
            <w:pPr>
              <w:spacing w:after="0"/>
              <w:rPr>
                <w:sz w:val="18"/>
                <w:szCs w:val="18"/>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Borders>
              <w:top w:val="single" w:sz="8" w:color="auto"/>
            </w:tcBorders>
          </w:tcPr>
          <w:p>
            <w:pPr>
              <w:jc w:val="center"/>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20" w:type="dxa"/>
            <w:vAlign w:val="bottom"/>
          </w:tcPr>
          <w:p>
            <w:pPr>
              <w:spacing w:after="0"/>
              <w:rPr>
                <w:sz w:val="12"/>
                <w:szCs w:val="12"/>
                <w:color w:val="auto"/>
              </w:rPr>
            </w:pPr>
          </w:p>
        </w:tc>
        <w:tc>
          <w:tcPr>
            <w:tcW w:w="2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48"/>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20" w:type="dxa"/>
            <w:vAlign w:val="bottom"/>
          </w:tcPr>
          <w:p>
            <w:pPr>
              <w:spacing w:after="0"/>
              <w:rPr>
                <w:sz w:val="12"/>
                <w:szCs w:val="12"/>
                <w:color w:val="auto"/>
              </w:rPr>
            </w:pPr>
          </w:p>
        </w:tc>
        <w:tc>
          <w:tcPr>
            <w:tcW w:w="2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column</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4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 ($)</w:t>
            </w:r>
          </w:p>
        </w:tc>
        <w:tc>
          <w:tcPr>
            <w:tcW w:w="22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2021 Stock Option and Incentive Plan</w:t>
            </w:r>
            <w:r>
              <w:rPr>
                <w:rFonts w:ascii="Times New Roman" w:cs="Times New Roman" w:eastAsia="Times New Roman" w:hAnsi="Times New Roman"/>
                <w:sz w:val="24"/>
                <w:szCs w:val="24"/>
                <w:color w:val="auto"/>
                <w:vertAlign w:val="superscript"/>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3,234,668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2021 Employee Stock Purchase Plan</w:t>
            </w:r>
            <w:r>
              <w:rPr>
                <w:rFonts w:ascii="Times New Roman" w:cs="Times New Roman" w:eastAsia="Times New Roman" w:hAnsi="Times New Roman"/>
                <w:sz w:val="24"/>
                <w:szCs w:val="24"/>
                <w:color w:val="auto"/>
                <w:vertAlign w:val="superscript"/>
              </w:rPr>
              <w:t>(2)</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2017 Stock Option and Grant Plan of Disc</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795,738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2017 Stock Option and Grant Plan of Gemini</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2021 Inducement Plan</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4,030,406</w:t>
            </w: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Inducement grants outside of equity plans</w:t>
            </w:r>
            <w:r>
              <w:rPr>
                <w:rFonts w:ascii="Times New Roman" w:cs="Times New Roman" w:eastAsia="Times New Roman" w:hAnsi="Times New Roman"/>
                <w:sz w:val="24"/>
                <w:szCs w:val="24"/>
                <w:color w:val="auto"/>
                <w:vertAlign w:val="superscript"/>
              </w:rPr>
              <w:t>(3)</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381,329</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-598805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 w:lineRule="exact"/>
        <w:rPr>
          <w:sz w:val="20"/>
          <w:szCs w:val="20"/>
          <w:color w:val="auto"/>
        </w:rPr>
      </w:pPr>
    </w:p>
    <w:p>
      <w:pPr>
        <w:jc w:val="both"/>
        <w:ind w:left="380" w:hanging="372"/>
        <w:spacing w:after="0" w:line="261"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1,515,624 shares to the 2021 Stock Option and Incentive Plan effective January 1, 2026.</w:t>
      </w:r>
    </w:p>
    <w:p>
      <w:pPr>
        <w:spacing w:after="0" w:line="7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2026.</w:t>
      </w:r>
    </w:p>
    <w:p>
      <w:pPr>
        <w:spacing w:after="0" w:line="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stock option and RSU awards approved by our board of directors outside of equity plans as inducements material to the acceptance of employment of each of Ms. Franchi and Ms. Stephenson in February 2024 and to three other non-executive employees.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outstanding stock options and does not include outstanding restricted stock awards, which do not have an exercise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non-employee member of our board of directors during the fiscal year ended December 31, 2025. Dr. Quisel, one of our directors who also serves as our Chief Executive Officer, does not receive any additional compensation for his service as a director and, consequently, is not included in this table. Dr. Quisel is one of our named executive officers and, accordingly, the compensation that we pay to Dr. Quisel is discussed above under ‘‘2025 Summary Compensation Table’’ above.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2025 for their services as members of the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Fee Earned or Paid in Cash</w:t>
            </w:r>
          </w:p>
        </w:tc>
        <w:tc>
          <w:tcPr>
            <w:tcW w:w="300" w:type="dxa"/>
            <w:vAlign w:val="bottom"/>
          </w:tcPr>
          <w:p>
            <w:pPr>
              <w:spacing w:after="0"/>
              <w:rPr>
                <w:sz w:val="13"/>
                <w:szCs w:val="13"/>
                <w:color w:val="auto"/>
              </w:rPr>
            </w:pPr>
          </w:p>
        </w:tc>
        <w:tc>
          <w:tcPr>
            <w:tcW w:w="1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9"/>
                <w:szCs w:val="19"/>
                <w:b w:val="1"/>
                <w:bCs w:val="1"/>
                <w:color w:val="auto"/>
                <w:vertAlign w:val="superscript"/>
              </w:rPr>
              <w:t>(1)(2)</w:t>
            </w:r>
          </w:p>
        </w:tc>
        <w:tc>
          <w:tcPr>
            <w:tcW w:w="300" w:type="dxa"/>
            <w:vAlign w:val="bottom"/>
          </w:tcPr>
          <w:p>
            <w:pPr>
              <w:spacing w:after="0"/>
              <w:rPr>
                <w:sz w:val="13"/>
                <w:szCs w:val="13"/>
                <w:color w:val="auto"/>
              </w:rPr>
            </w:pPr>
          </w:p>
        </w:tc>
        <w:tc>
          <w:tcPr>
            <w:tcW w:w="17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Nadim Ahmed</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964,522</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985,609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418,177</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468,238</w:t>
            </w:r>
          </w:p>
        </w:tc>
        <w:tc>
          <w:tcPr>
            <w:tcW w:w="30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418,177</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418,177</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418,177</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418,177</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Mona Ashiya, Ph.D.</w:t>
            </w:r>
            <w:r>
              <w:rPr>
                <w:rFonts w:ascii="Times New Roman" w:cs="Times New Roman" w:eastAsia="Times New Roman" w:hAnsi="Times New Roman"/>
                <w:sz w:val="24"/>
                <w:szCs w:val="24"/>
                <w:color w:val="auto"/>
                <w:vertAlign w:val="superscript"/>
              </w:rPr>
              <w:t>(4)</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221,872</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83" w:lineRule="exact"/>
        <w:rPr>
          <w:sz w:val="20"/>
          <w:szCs w:val="20"/>
          <w:color w:val="auto"/>
        </w:rPr>
      </w:pPr>
    </w:p>
    <w:p>
      <w:pPr>
        <w:jc w:val="both"/>
        <w:ind w:left="380" w:hanging="372"/>
        <w:spacing w:after="0" w:line="258"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awarded to the non-employee directors during fiscal year 2025, calculated in accordance with FASB ASC Topic 718. The assumptions used in calculating the grant date fair value of the awards reported in this column are set forth in Note 10 to our consolidated financial statements included in Annual Report on Form 10-K for the fiscal year ended December 31, 2025. The amounts reported in this column reflect the accounting cost for the stock options and do not correspond to the actual economic value that may be received upon exercise of the stock options or any sale of any of the underlying shares of common stock.</w:t>
      </w:r>
    </w:p>
    <w:p>
      <w:pPr>
        <w:spacing w:after="0" w:line="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our non-employee members of our board of directors held the following aggregate number of unexercised options as of such date: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0" w:type="dxa"/>
            <w:vAlign w:val="bottom"/>
          </w:tcPr>
          <w:p>
            <w:pPr>
              <w:spacing w:after="0"/>
              <w:rPr>
                <w:sz w:val="1"/>
                <w:szCs w:val="1"/>
                <w:color w:val="auto"/>
              </w:rPr>
            </w:pPr>
          </w:p>
        </w:tc>
      </w:tr>
      <w:tr>
        <w:trPr>
          <w:trHeight w:val="173"/>
        </w:trPr>
        <w:tc>
          <w:tcPr>
            <w:tcW w:w="8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Donald Nicholson, Ph.D.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Georges Gemayel, Ph.D.</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Mona Ashiya, Ph.D.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Mark Chin, M.S., M.B.A.</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Liam Ratcliffe, M.D., Ph.D.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White, M.P.P., J.D.</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Nadim Ahmed</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2025, our board of directors awarded to Dr. Gemayel an option to purchase 1,000 shares of our common stock in recognition of Dr. Gemayel's significant contributions as a director in support of the Company's commercialization preparations, which award was in addition to the 2025 annual stock option award under our non-employee director compensation policy.</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Ashiya resigned from the board effective October 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implemented a formal policy that is designed to provide a total compensation package that enables us to attract and retain, on a long-term basis, high caliber non-employee directors. Pursuant to this policy, in 2025 our non-employee directors were eligible to receive the following cash retainers: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8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Annual Retainer for Non-</w:t>
            </w:r>
          </w:p>
        </w:tc>
        <w:tc>
          <w:tcPr>
            <w:tcW w:w="240" w:type="dxa"/>
            <w:vAlign w:val="bottom"/>
          </w:tcPr>
          <w:p>
            <w:pPr>
              <w:spacing w:after="0"/>
              <w:rPr>
                <w:sz w:val="13"/>
                <w:szCs w:val="13"/>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Annual Retainer for Chair</w:t>
            </w:r>
          </w:p>
        </w:tc>
      </w:tr>
      <w:tr>
        <w:trPr>
          <w:trHeight w:val="173"/>
        </w:trPr>
        <w:tc>
          <w:tcPr>
            <w:tcW w:w="7280" w:type="dxa"/>
            <w:vAlign w:val="bottom"/>
          </w:tcPr>
          <w:p>
            <w:pPr>
              <w:spacing w:after="0"/>
              <w:rPr>
                <w:sz w:val="15"/>
                <w:szCs w:val="15"/>
                <w:color w:val="auto"/>
              </w:rPr>
            </w:pPr>
          </w:p>
        </w:tc>
        <w:tc>
          <w:tcPr>
            <w:tcW w:w="18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Chair Member ($)</w:t>
            </w:r>
          </w:p>
        </w:tc>
        <w:tc>
          <w:tcPr>
            <w:tcW w:w="240" w:type="dxa"/>
            <w:vAlign w:val="bottom"/>
          </w:tcPr>
          <w:p>
            <w:pPr>
              <w:spacing w:after="0"/>
              <w:rPr>
                <w:sz w:val="15"/>
                <w:szCs w:val="15"/>
                <w:color w:val="auto"/>
              </w:rPr>
            </w:pPr>
          </w:p>
        </w:tc>
        <w:tc>
          <w:tcPr>
            <w:tcW w:w="18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r>
      <w:tr>
        <w:trPr>
          <w:trHeight w:val="20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Committee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the non-employee director compensation policy also provided that, upon initial election to our board of directors, such non-employee director will be granted an option to purchase 20,000 shares of our common stock, or the Initial Grant. The Initial Grant will vest in equal monthly installments over three years, with a one-year cliff from the date of grant, subject to continued service through the applicable vesting date. Furthermore, on the date of each annual meeting of stockholders, each non-employee director who continues as a non-employee director following such meeting will be granted an annual option to purchase 10,000 shares of our common stock, or the Annual Grant. The Annual Grant will vest in full on the earlier of (i) the first anniversary of the grant date or (ii) our next annual meeting of stockholders, subject to continued service through the applicable vesting date. Such awards are subject to full accelerated vesting upon the sale of the Company.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2026, our compensation committee, with input from our compensation consultant, recommended, and the board of directors approved, increasing the annual cash retainer for non-chair members of the board of directors to $45,000 to align with the 50th percentile of the market data for our peer group, with no changes to the other annual cash retainers. In addition, for 2026, our compensation committee, with input from our compensation consultant, recommended, and the board of directors approved, limiting (i) the Initial Grant to an option to purchase the lesser of (A) 20,000 shares of our common stock, or (B) such number of shares of our common stock with a grant date fair value equal to approximately $730,000, and (ii) the Annual Grant to an annual option to purchase the lesser of (A) 10,000 shares of our common stock, or (B) such number of shares of our common stock with a grant date fair value equal to approximately $365,000.</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shall not exceed (i) $1,000,000 in the first calendar year an individual becomes a non-employee director and (ii) $750,000 in any other year.</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 directors receive no additional compensation for their service as a director. We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2—ADVISORY VOTE ON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sections of this proxy statement titled “Compensation Discussion and Analysis” beginning on page 20 and “Executive Compensation” beginning on page 33 describe in detail our executive compensation program and the decisions made by our board of directors and compensation committee. As we describe in greater detail in the “Compensation Discussion and Analysis” section, our compensation committee has designed our executive compensation program to motivate our executive officers to achieve our Company’s goals by closely linking the value of the compensation they receive to our performance relative to these goals.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asking stockholders to approve a non-binding advisory vote on the following resolution:</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in this proxy statement under the caption “Compensation Discussion and Analysis,” is hereby approved.</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 The resolution will be approved, on a non-binding advisory basis, if the votes cast FOR exceed the votes cast AGAINST the proposal. Abstentions and broker non-votes will have no effect on the voting of this proposal.</w:t>
      </w:r>
    </w:p>
    <w:p>
      <w:pPr>
        <w:spacing w:after="0" w:line="185" w:lineRule="exact"/>
        <w:rPr>
          <w:sz w:val="20"/>
          <w:szCs w:val="20"/>
          <w:color w:val="auto"/>
        </w:rPr>
      </w:pPr>
    </w:p>
    <w:p>
      <w:pPr>
        <w:jc w:val="center"/>
        <w:ind w:right="4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UNANIMOUSLY RECOMMENDS THAT YOU VOTE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THE APPROVAL, ON AN ADVISORY (NON-BINDING) BASIS, OF THE COMPENSATION OF OUR NAMED EXECUTIVE OFFICERS (PROPOSAL NO. 2 ON YOUR PROXY CARD)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 RATIFICATION OF THE APPOINTMENT OF ERNST &amp; YOUNG LLP AS DISC MEDICINE, INC.’S INDEPENDENT REGISTERED PUBLIC ACCOUNTING FIRM FOR THE FISCAL YEAR ENDING DECEMBER 31, 2026</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Ernst &amp; Young LLP, or EY, as our independent registered public accounting firm for the fiscal year ending December 31, 2026. EY has served as our independent registered public accounting firm since 2020.</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2026. Stockholder approval is not required to appoint EY as our independent registered public accounting firm. However, the board of directors believes that submitting the appointment of EY to the stockholders for ratification is good corporate governance. If the stockholders do not ratify this appointment, the audit committee will reconsider whether to retain EY. If the selection of EY is ratified, the audit committee, at its discretion, may direct the appointment of a different independent registered public accounting firm at any time it decides that such a change would be in the best interest of Disc and its stockholders.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representative of EY is expected to be present at the Annual Meeting and will have an opportunity to make a statement if he or she desires to do so and to respond to appropriate questions from our stockholders.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EY for the audit of the financial statements and for other services provided during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1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48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1,270,551</w:t>
            </w: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1,160,237</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2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(3)</w:t>
            </w:r>
          </w:p>
        </w:tc>
        <w:tc>
          <w:tcPr>
            <w:tcW w:w="2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2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348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1,293,565</w:t>
            </w:r>
          </w:p>
        </w:tc>
        <w:tc>
          <w:tcPr>
            <w:tcW w:w="9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1,190,888</w:t>
            </w:r>
          </w:p>
        </w:tc>
        <w:tc>
          <w:tcPr>
            <w:tcW w:w="100" w:type="dxa"/>
            <w:vAlign w:val="bottom"/>
            <w:shd w:val="clear" w:color="auto" w:fill="CFF0FC"/>
          </w:tcPr>
          <w:p>
            <w:pPr>
              <w:spacing w:after="0"/>
              <w:rPr>
                <w:sz w:val="18"/>
                <w:szCs w:val="18"/>
                <w:color w:val="auto"/>
              </w:rPr>
            </w:pPr>
          </w:p>
        </w:tc>
      </w:tr>
      <w:tr>
        <w:trPr>
          <w:trHeight w:val="276"/>
        </w:trPr>
        <w:tc>
          <w:tcPr>
            <w:tcW w:w="4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22"/>
                <w:szCs w:val="22"/>
                <w:color w:val="auto"/>
              </w:rPr>
              <w:t>___________________</w:t>
            </w:r>
          </w:p>
        </w:tc>
        <w:tc>
          <w:tcPr>
            <w:tcW w:w="2100" w:type="dxa"/>
            <w:vAlign w:val="bottom"/>
            <w:tcBorders>
              <w:top w:val="single" w:sz="8" w:color="CFF0FC"/>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380" w:type="dxa"/>
            <w:vAlign w:val="bottom"/>
            <w:tcBorders>
              <w:top w:val="single" w:sz="8" w:color="CFF0FC"/>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7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-187325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-187325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 w:lineRule="exact"/>
        <w:rPr>
          <w:sz w:val="20"/>
          <w:szCs w:val="20"/>
          <w:color w:val="auto"/>
        </w:rPr>
      </w:pPr>
    </w:p>
    <w:p>
      <w:pPr>
        <w:jc w:val="both"/>
        <w:ind w:left="38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in connection with the audit of our annual financial statements and reviews of our quarterly financial statements for those fiscal years. This category also includes fees for services incurred in connection with the filing of our Registration Statements on Form S-3, prospectus supplements, and related services that are normally provided in connection with regulatory filings.</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services that are reasonably related to the performance of the audit or review of our financial statements. There were no such fees incurred in 2025 or 2024.</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incurred in 2025 or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and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audit services, must be approved in advance by our Audit Committee, except that pre-approval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2025 and 2024 were pre-approved by the Audit Committee in accordance with the pre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approval policy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Board Recommendation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votes properly cast for and against this Proposal No. 3 is required to ratify the appointment of Ernst &amp; Young LLP as our independent registered public accounting firm for the fiscal year ending December 31, 2026. Abstentions and broker non-votes, if any, will have no effect on the outcome of the vote.</w:t>
      </w:r>
    </w:p>
    <w:p>
      <w:pPr>
        <w:spacing w:after="0" w:line="17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VOTING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RATIFICATION OF THE APPOINTMENT OF ERNST &amp; YOUNG LLP AS DISC MEDICINE, INC.’S INDEPENDENT REGISTERED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PUBLIC ACCOUNTING FIRM FOR THE FISCAL YEAR ENDING DECEMBER 31, 2026.</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 ON YOUR PROXY CARD)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2025, to which we were or will be a party, in which:</w:t>
      </w:r>
    </w:p>
    <w:p>
      <w:pPr>
        <w:spacing w:after="0" w:line="117"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our total assets for the last two completed fiscal years;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Compensation arrangements for our named executive officers are described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section of this proxy statement titled “Executive Compensation.” Compensation arrangements for our directors are described </w:t>
      </w:r>
      <w:r>
        <w:rPr>
          <w:rFonts w:ascii="Times New Roman" w:cs="Times New Roman" w:eastAsia="Times New Roman" w:hAnsi="Times New Roman"/>
          <w:sz w:val="18"/>
          <w:szCs w:val="18"/>
          <w:color w:val="231F20"/>
        </w:rPr>
        <w:t>in</w:t>
      </w:r>
      <w:r>
        <w:rPr>
          <w:rFonts w:ascii="Times New Roman" w:cs="Times New Roman" w:eastAsia="Times New Roman" w:hAnsi="Times New Roman"/>
          <w:sz w:val="18"/>
          <w:szCs w:val="18"/>
          <w:color w:val="auto"/>
        </w:rPr>
        <w:t xml:space="preserve"> the section of this proxy statement titled “Non-Employee Director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2025, we completed an underwritten public offering and sale of 2,619,049 shares of our common stock at a purchase price of $84.00 per share and pre-funded warrants to purchase an aggregate of 59,523 shares of our common stock at a purchase price of $83.9999 per pre-funded warrant, for an aggregate total proceeds of $225.0 million before deducting underwriting discounts, commissions and other offering expenses. AI DMI LLC also participated in the underwritten public offering as a selling stockholder and sold 744,047 shares of our common stock at a purchase price of $84.00 per share. AI DMI LLC is an affiliate of Access Industries Management, and beneficially owns more than five percent of our outstanding capital stock. Dr. Ratcliffe is Head of Biotechnology at Access Industries Management and a member of our board of directors. We did not receive any proceeds from the sale of shares by AI DMI LLC. Certain investors or their affiliates are beneficial holders of more than 5% of our capital stock, and the table below sets forth the number of shares of our common stock purchased by such holders: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Our Common</w:t>
            </w:r>
          </w:p>
        </w:tc>
        <w:tc>
          <w:tcPr>
            <w:tcW w:w="220" w:type="dxa"/>
            <w:vAlign w:val="bottom"/>
          </w:tcPr>
          <w:p>
            <w:pPr>
              <w:spacing w:after="0"/>
              <w:rPr>
                <w:sz w:val="13"/>
                <w:szCs w:val="13"/>
                <w:color w:val="auto"/>
              </w:rPr>
            </w:pP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Purchase Price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2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392,857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32,999,998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22"/>
                <w:szCs w:val="22"/>
                <w:color w:val="auto"/>
              </w:rPr>
              <w:t>___________________</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(1)  FMR LLC beneficially owns more than five percent of our outstanding capital stock.</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completed an underwritten public offering and sale of 4,533,182 shares of our common stock at a purchase price of $55.00 per share and pre-funded warrants to purchase an aggregate of 181,818 shares of our common stock at a purchase price of $54.9999 per pre-funded warrant, for an aggregate total proceeds of $259.3 million before deducting underwriting discounts, commissions and other offering expenses. The shares of common stock sold included 615,000 shares sold pursuant to an option granted to the underwriters, which was exercised in full. Certain investors or their affiliates are beneficial holders of more than 5% of our capital stock, and the table below sets forth the number of shares of our common stock purchased by such 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40" w:type="dxa"/>
            <w:vAlign w:val="bottom"/>
          </w:tcPr>
          <w:p>
            <w:pPr>
              <w:spacing w:after="0"/>
              <w:rPr>
                <w:sz w:val="13"/>
                <w:szCs w:val="13"/>
                <w:color w:val="auto"/>
              </w:rPr>
            </w:pPr>
          </w:p>
        </w:tc>
        <w:tc>
          <w:tcPr>
            <w:tcW w:w="1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of Our Common</w:t>
            </w:r>
          </w:p>
        </w:tc>
        <w:tc>
          <w:tcPr>
            <w:tcW w:w="220" w:type="dxa"/>
            <w:vAlign w:val="bottom"/>
          </w:tcPr>
          <w:p>
            <w:pPr>
              <w:spacing w:after="0"/>
              <w:rPr>
                <w:sz w:val="13"/>
                <w:szCs w:val="13"/>
                <w:color w:val="auto"/>
              </w:rPr>
            </w:pP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Purchase Price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2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4"/>
                <w:szCs w:val="24"/>
                <w:color w:val="auto"/>
                <w:vertAlign w:val="superscript"/>
              </w:rPr>
              <w:t>(1)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4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393,189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21,625,395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83"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Wellington Management Group LLP beneficially owned more than five percent of our outstanding capital stock at the time of this transaction.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beneficially owns more than five percent of our outstanding capital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services undertaken by such person on our behalf or that person’s status as a member of our board of directors to the maximum extent allowed under Delaware law.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beneficial owners of more than 10% of our common stock to file reports of holdings and transactions in securities of the Company with the SEC. The SEC has designated specific deadlines for these reports, and we must identify in this proxy statement those persons who did not file these reports when due.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on a review of Forms 3, 4 and 5 and any amendments thereto filed electronically with the SEC with respect to the most recent fiscal year and written representations from the reporting persons, we believe all Section 16(a) filing requirements were satisfied in 2025 with the exception of the following:</w:t>
      </w:r>
    </w:p>
    <w:p>
      <w:pPr>
        <w:spacing w:after="0" w:line="68" w:lineRule="exact"/>
        <w:rPr>
          <w:sz w:val="20"/>
          <w:szCs w:val="20"/>
          <w:color w:val="auto"/>
        </w:rPr>
      </w:pPr>
    </w:p>
    <w:p>
      <w:pPr>
        <w:jc w:val="center"/>
        <w:ind w:left="5540" w:right="360" w:hanging="5158"/>
        <w:spacing w:after="0" w:line="783" w:lineRule="auto"/>
        <w:tabs>
          <w:tab w:leader="none" w:pos="7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William Savage, M.D., Ph.D., a Form 4 filed on February 12, 2025 reporting the exercise and sale of a stock option on February 3, 2025.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common stock as of April 22, 2026 by:</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to us to be the beneficial owner of 5% or more of the outstanding shares of our common stock;</w:t>
      </w:r>
    </w:p>
    <w:p>
      <w:pPr>
        <w:spacing w:after="0" w:line="12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 and our other executive officers who served during the year ended December 31, 2025, named in the "2025 Summary Compensation Table" above, whom, collectively, we refer to as our named executive officers;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April 22, 2026.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column entitled “Percentage of Shares Beneficially Owned” is based on a total of 38,199,089 shares of our common stock outstanding as of April 22, 2026. Except as otherwise indicated in the footnotes below, the address of the beneficial owner is c/o Disc Medicine, Inc., 321 Arsenal Street, Suite 101, Watertown, MA 02472.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21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260" w:type="dxa"/>
            <w:vAlign w:val="bottom"/>
          </w:tcPr>
          <w:p>
            <w:pPr>
              <w:spacing w:after="0"/>
              <w:rPr>
                <w:sz w:val="13"/>
                <w:szCs w:val="13"/>
                <w:color w:val="auto"/>
              </w:rPr>
            </w:pPr>
          </w:p>
        </w:tc>
        <w:tc>
          <w:tcPr>
            <w:tcW w:w="2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 of Shares Beneficially</w:t>
            </w:r>
          </w:p>
        </w:tc>
      </w:tr>
      <w:tr>
        <w:trPr>
          <w:trHeight w:val="173"/>
        </w:trPr>
        <w:tc>
          <w:tcPr>
            <w:tcW w:w="6580" w:type="dxa"/>
            <w:vAlign w:val="bottom"/>
          </w:tcPr>
          <w:p>
            <w:pPr>
              <w:spacing w:after="0"/>
              <w:rPr>
                <w:sz w:val="15"/>
                <w:szCs w:val="15"/>
                <w:color w:val="auto"/>
              </w:rPr>
            </w:pPr>
          </w:p>
        </w:tc>
        <w:tc>
          <w:tcPr>
            <w:tcW w:w="21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Stock Beneficially Owned</w:t>
            </w:r>
          </w:p>
        </w:tc>
        <w:tc>
          <w:tcPr>
            <w:tcW w:w="260" w:type="dxa"/>
            <w:vAlign w:val="bottom"/>
          </w:tcPr>
          <w:p>
            <w:pPr>
              <w:spacing w:after="0"/>
              <w:rPr>
                <w:sz w:val="15"/>
                <w:szCs w:val="15"/>
                <w:color w:val="auto"/>
              </w:rPr>
            </w:pPr>
          </w:p>
        </w:tc>
        <w:tc>
          <w:tcPr>
            <w:tcW w:w="230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0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4"/>
                <w:szCs w:val="24"/>
                <w:color w:val="auto"/>
                <w:vertAlign w:val="superscript"/>
              </w:rPr>
              <w:t>(1)</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5,300,016</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6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AI DMI LLC</w:t>
            </w:r>
            <w:r>
              <w:rPr>
                <w:rFonts w:ascii="Times New Roman" w:cs="Times New Roman" w:eastAsia="Times New Roman" w:hAnsi="Times New Roman"/>
                <w:sz w:val="24"/>
                <w:szCs w:val="24"/>
                <w:color w:val="auto"/>
                <w:vertAlign w:val="superscript"/>
              </w:rPr>
              <w:t>(2)</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3,018,460</w:t>
            </w:r>
          </w:p>
        </w:tc>
        <w:tc>
          <w:tcPr>
            <w:tcW w:w="2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RA Capital Management, L.P.</w:t>
            </w:r>
            <w:r>
              <w:rPr>
                <w:rFonts w:ascii="Times New Roman" w:cs="Times New Roman" w:eastAsia="Times New Roman" w:hAnsi="Times New Roman"/>
                <w:sz w:val="24"/>
                <w:szCs w:val="24"/>
                <w:color w:val="auto"/>
                <w:vertAlign w:val="superscript"/>
              </w:rPr>
              <w:t>(3)</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2,228,924</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6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Directors, Named Executive Officers and Other Executive Officers</w:t>
            </w:r>
          </w:p>
        </w:tc>
        <w:tc>
          <w:tcPr>
            <w:tcW w:w="2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John Quisel, J.D., Ph.D.</w:t>
            </w:r>
            <w:r>
              <w:rPr>
                <w:rFonts w:ascii="Times New Roman" w:cs="Times New Roman" w:eastAsia="Times New Roman" w:hAnsi="Times New Roman"/>
                <w:sz w:val="24"/>
                <w:szCs w:val="24"/>
                <w:color w:val="auto"/>
                <w:vertAlign w:val="superscript"/>
              </w:rPr>
              <w:t>(4)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601,217</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Jonathan Yu, M.B.A.</w:t>
            </w:r>
            <w:r>
              <w:rPr>
                <w:rFonts w:ascii="Times New Roman" w:cs="Times New Roman" w:eastAsia="Times New Roman" w:hAnsi="Times New Roman"/>
                <w:sz w:val="24"/>
                <w:szCs w:val="24"/>
                <w:color w:val="auto"/>
                <w:vertAlign w:val="superscript"/>
              </w:rPr>
              <w:t>(5)</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146,377</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William Savage, M.D., Ph.D.</w:t>
            </w:r>
            <w:r>
              <w:rPr>
                <w:rFonts w:ascii="Times New Roman" w:cs="Times New Roman" w:eastAsia="Times New Roman" w:hAnsi="Times New Roman"/>
                <w:sz w:val="24"/>
                <w:szCs w:val="24"/>
                <w:color w:val="auto"/>
                <w:vertAlign w:val="superscript"/>
              </w:rPr>
              <w:t>(6)</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96,539</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Pamela Stephenson, M.P.H.</w:t>
            </w:r>
            <w:r>
              <w:rPr>
                <w:rFonts w:ascii="Times New Roman" w:cs="Times New Roman" w:eastAsia="Times New Roman" w:hAnsi="Times New Roman"/>
                <w:sz w:val="24"/>
                <w:szCs w:val="24"/>
                <w:color w:val="auto"/>
                <w:vertAlign w:val="superscript"/>
              </w:rPr>
              <w:t>(7)</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Jean Franchi</w:t>
            </w:r>
            <w:r>
              <w:rPr>
                <w:rFonts w:ascii="Times New Roman" w:cs="Times New Roman" w:eastAsia="Times New Roman" w:hAnsi="Times New Roman"/>
                <w:sz w:val="24"/>
                <w:szCs w:val="24"/>
                <w:color w:val="auto"/>
                <w:vertAlign w:val="superscript"/>
              </w:rPr>
              <w:t>(8)</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Donald Nicholson, Ph.D.</w:t>
            </w:r>
            <w:r>
              <w:rPr>
                <w:rFonts w:ascii="Times New Roman" w:cs="Times New Roman" w:eastAsia="Times New Roman" w:hAnsi="Times New Roman"/>
                <w:sz w:val="24"/>
                <w:szCs w:val="24"/>
                <w:color w:val="auto"/>
                <w:vertAlign w:val="superscript"/>
              </w:rPr>
              <w:t>(9)</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Georges Gemayel</w:t>
            </w:r>
            <w:r>
              <w:rPr>
                <w:rFonts w:ascii="Times New Roman" w:cs="Times New Roman" w:eastAsia="Times New Roman" w:hAnsi="Times New Roman"/>
                <w:sz w:val="24"/>
                <w:szCs w:val="24"/>
                <w:color w:val="auto"/>
                <w:vertAlign w:val="superscript"/>
              </w:rPr>
              <w:t>(10)</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Mark Chin, MS, M.B.A.</w:t>
            </w:r>
            <w:r>
              <w:rPr>
                <w:rFonts w:ascii="Times New Roman" w:cs="Times New Roman" w:eastAsia="Times New Roman" w:hAnsi="Times New Roman"/>
                <w:sz w:val="24"/>
                <w:szCs w:val="24"/>
                <w:color w:val="auto"/>
                <w:vertAlign w:val="superscript"/>
              </w:rPr>
              <w:t>(11)</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Liam Ratcliffe, M.D., Ph.D.</w:t>
            </w:r>
            <w:r>
              <w:rPr>
                <w:rFonts w:ascii="Times New Roman" w:cs="Times New Roman" w:eastAsia="Times New Roman" w:hAnsi="Times New Roman"/>
                <w:sz w:val="24"/>
                <w:szCs w:val="24"/>
                <w:color w:val="auto"/>
                <w:vertAlign w:val="superscript"/>
              </w:rPr>
              <w:t>(12)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34,136</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Kevin Bitterman, Ph.D.</w:t>
            </w:r>
            <w:r>
              <w:rPr>
                <w:rFonts w:ascii="Times New Roman" w:cs="Times New Roman" w:eastAsia="Times New Roman" w:hAnsi="Times New Roman"/>
                <w:sz w:val="24"/>
                <w:szCs w:val="24"/>
                <w:color w:val="auto"/>
                <w:vertAlign w:val="superscript"/>
              </w:rPr>
              <w:t>(13)</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27,136</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r>
      <w:tr>
        <w:trPr>
          <w:trHeight w:val="216"/>
        </w:trPr>
        <w:tc>
          <w:tcPr>
            <w:tcW w:w="65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William White, M.P.P., J.D.</w:t>
            </w:r>
            <w:r>
              <w:rPr>
                <w:rFonts w:ascii="Times New Roman" w:cs="Times New Roman" w:eastAsia="Times New Roman" w:hAnsi="Times New Roman"/>
                <w:sz w:val="24"/>
                <w:szCs w:val="24"/>
                <w:color w:val="auto"/>
                <w:vertAlign w:val="superscript"/>
              </w:rPr>
              <w:t>(14)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Nadim Ahmed</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r>
      <w:tr>
        <w:trPr>
          <w:trHeight w:val="213"/>
        </w:trPr>
        <w:tc>
          <w:tcPr>
            <w:tcW w:w="6580" w:type="dxa"/>
            <w:vAlign w:val="bottom"/>
          </w:tcPr>
          <w:p>
            <w:pPr>
              <w:spacing w:after="0" w:line="212"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r>
              <w:rPr>
                <w:rFonts w:ascii="Times New Roman" w:cs="Times New Roman" w:eastAsia="Times New Roman" w:hAnsi="Times New Roman"/>
                <w:sz w:val="24"/>
                <w:szCs w:val="24"/>
                <w:b w:val="1"/>
                <w:bCs w:val="1"/>
                <w:color w:val="auto"/>
                <w:vertAlign w:val="superscript"/>
              </w:rPr>
              <w:t>(15)</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1,484,168</w:t>
            </w:r>
          </w:p>
        </w:tc>
        <w:tc>
          <w:tcPr>
            <w:tcW w:w="2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3.76%</w:t>
            </w:r>
          </w:p>
        </w:tc>
      </w:tr>
    </w:tbl>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beneficial ownership of less than 1% of our outstanding common stock.</w:t>
      </w:r>
    </w:p>
    <w:p>
      <w:pPr>
        <w:spacing w:after="0" w:line="117" w:lineRule="exact"/>
        <w:rPr>
          <w:sz w:val="20"/>
          <w:szCs w:val="20"/>
          <w:color w:val="auto"/>
        </w:rPr>
      </w:pPr>
    </w:p>
    <w:p>
      <w:pPr>
        <w:jc w:val="both"/>
        <w:ind w:left="380" w:hanging="372"/>
        <w:spacing w:after="0" w:line="261"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that are beneficially owned, or that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spacing w:after="0" w:line="86"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 The information set forth above is based on based on (i) our review of Schedule 13G/A filed with the SEC by FMR LLC on November 5, 2025, regarding their beneficial ownership of our common stock as of September 30, 2025, and (ii) the purchase of 392,857 shares of our common stock by FMR LLC in our October 2025 public offering.</w:t>
      </w:r>
    </w:p>
    <w:p>
      <w:pPr>
        <w:spacing w:after="0" w:line="79" w:lineRule="exact"/>
        <w:rPr>
          <w:sz w:val="20"/>
          <w:szCs w:val="20"/>
          <w:color w:val="auto"/>
        </w:rPr>
      </w:pPr>
    </w:p>
    <w:p>
      <w:pPr>
        <w:jc w:val="both"/>
        <w:ind w:left="380" w:hanging="372"/>
        <w:spacing w:after="0" w:line="253"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2,814,379 shares of common stock and pre-funded warrants to purchase 204,081 shares of common stock at $0.0001 per share, or the Pre-Funded Warrants, held by AI DMI LLC. The shares and Pre-Funded Warrants held by AI DMI LLC may be deemed to be beneficially owned by Access Industries Holdings LLC, or AIH, Access Industries Management, LLC, or AIM, and Len Blavatnik because (i) Mr. Blavatnik controls AIM and holds a majority of the outstanding voting interests in AIH, (ii) AIM controls AIH and (iii) AIH indirectly controls all of the outstanding voting interests in AI DMI LLC. Liam Ratcliffe, a member of our board of directors, is Head of Biotechnology at Access Industries, Inc., which is an affiliate of AI DMI LLC. Each of AIM, AIH, Mr. Blavatnik and Dr. Ratcliffe, and each of their affiliated entities (other than AI DMI LLC) and the officers, partners, members and managers thereof, disclaims beneficial ownership of the shares held by AI DMI LLC. The address of AI DMI LLC is c/o Access Industries, Inc., 40 West 57th Street, 28th Floor, New York, NY 10019. The information set forth above is based on our review of Amendment No. 6 to Schedule 13D filed with the SEC by AI DMI LLC on October 22, 2025 regarding their beneficial ownership of our common stock and the Pre-Funded Warrants as of October 20, 2025.</w:t>
      </w:r>
    </w:p>
    <w:p>
      <w:pPr>
        <w:spacing w:after="0" w:line="86"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2,228,924 shares of common stock held by RA Capital Healthcare Fund, L.P., or the Fund. RA Capital Healthcare Fund GP, LLC is the general partner of the Fund. The general partner of RA Capital Management, L.P., or RA Capital, is RA Capital Management GP, LLC, of which Peter Kolchinsky and Rajeev Shah are the controlling persons. RA Capital serves as investment adviser for the Fund and may be deemed a beneficial owner of the shares held by the Fund. As managers of RA Capital, Dr. Kolchinsky and Mr. Shah may be deemed beneficial owners of the shares beneficially owned by RA Capital. Because the Fund has divested voting and investment power over the shares and may not revoke that delegation on less than 61 days' notice, the Fund disclaims beneficial ownership of the shares. RA Capital, Dr. Kolchinsky, and Mr. Shah disclaim beneficial ownership of the shares held by the Fund. The address of RA Capital is c/o RA Capital Management, L.P., 200 Berkeley Street, 18th Floor, Boston MA 02116. The information set forth above is based on our review of Schedule 13G filed with the SEC by RA Capital on January 7, 2026 regarding their beneficial ownership of our common stock as of December 30, 2025.</w:t>
      </w:r>
    </w:p>
    <w:p>
      <w:pPr>
        <w:spacing w:after="0" w:line="80"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78,929 shares of common stock and options to purchase 522,288 shares of our common stock that are exercisable within 60 days of April 22, 2026.</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10,242 shares of common stock and options to purchase 136,135 shares of our common stock that are exercisable within 60 days of April 22, 2026.</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35,213 shares of common stock and options to purchase 61,326 shares of our common stock that are exercisable within 60 days of April 22, 2026.</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18,665 shares of common stock and options to purchase 45,062 shares of our common stock that are exercisable within 60 days of April 22, 2026.</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46,208 shares of our common stock that are exercisable within 60 days of April 22, 2026.</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15,332 shares of common stock and options to purchase 155,598 shares of our common stock that are exercisable within 60 days of April 22, 2026.</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123,082 shares of our common stock that are exercisable within 60 days of April 22, 2026.</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34,136 shares of our common stock that are exercisable within 60 days of April 22,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ind w:left="372" w:hanging="372"/>
        <w:spacing w:after="0"/>
        <w:tabs>
          <w:tab w:leader="none" w:pos="3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34,136 shares of our common stock that are exercisable within 60 days of April 22, 2026.</w:t>
      </w:r>
    </w:p>
    <w:p>
      <w:pPr>
        <w:spacing w:after="0" w:line="117"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27,136 shares of our common stock that are exercisable within 60 days of April 22, 2026.</w:t>
      </w:r>
    </w:p>
    <w:p>
      <w:pPr>
        <w:spacing w:after="0" w:line="117"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21,804 shares of our common stock that are exercisable within 60 days of April 22, 2026.</w:t>
      </w:r>
    </w:p>
    <w:p>
      <w:pPr>
        <w:spacing w:after="0" w:line="117"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shares described in notes 4-14 above, and also consists of (i) 10,156 shares of common stock and (ii) options to purchase 108,720 shares of our common stock that are exercisable within 60 days of April 22, 2026, which are held by our other executive officer.</w:t>
      </w:r>
    </w:p>
    <w:p>
      <w:pPr>
        <w:spacing w:after="0" w:line="200" w:lineRule="exact"/>
        <w:rPr>
          <w:sz w:val="20"/>
          <w:szCs w:val="20"/>
          <w:color w:val="auto"/>
        </w:rPr>
      </w:pPr>
    </w:p>
    <w:p>
      <w:pPr>
        <w:spacing w:after="0" w:line="394"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Disc Medicine’s financial statements and financial reporting process and systems of internal controls regarding finance, accounting, and compliance with legal and regulatory requirements, (2) the qualifications, independence, and performance of Disc Medicine’s independent registered public accounting firm, (3) the performance of Disc Medicine’s internal audit function, if any, and (4) other matters as set forth in the charter of the audit committee approved by the board of directors.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Disc Medicine’s financial statements and the financial reporting process, including its system of internal control over financial reporting and its disclosure controls and procedures. The independent registered public accounting firm is responsible for performing an audit of Disc Medicine’s financial statements in accordance with the standards of the Public Company Accounting Oversight Board, or PCAOB, and issuing a report thereon. The audit committee’s responsibility is to monitor and oversee these processes.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financial statements of Disc Medicine for the fiscal year ended December 31, 2025.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has received the written disclosures and the letter from the independent accountant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requirements of the PCAOB regarding the independent accountant’s communications with the audit committee concerning independence and has discussed with the independent accountant the independent accountant’s independence.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Disc Medicine be included in Disc Medicine’s 2025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OF DISC MEDICINE,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White,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Liam Ratcliffe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Chin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Disc Medicine, Inc., 321 Arsenal Street, Suite 101, Watertown, Massachusetts 02472, Attention: Corporate Secretary, telephone: (617) 674-9274.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29, 2026. However, if the date of the 2026 Annual Meeting of Stockholders is changed by more than 30 days from the date of the previous year’s meeting, then the deadline is a reasonable time before we begin to print and send our proxy statement for the 2026 Annual Meeting of Stockholders. SEC rules set standards for eligibility and specify the types of stockholder proposals that may be excluded from a proxy statement. Stockholder proposals should be addressed to Disc Medicine, Inc., 321 Arsenal Street, Suite 101, Watertown, Massachusetts 02472, Attention: Corporate Secretary. We also encourage you to submit any such proposals via email to ir@discmedicine.com.</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18, 2027 and no later than March 20, 2027. In addition, to comply with the universal proxy rules, stockholders who intend to solicit proxies in support of director nominees other than our nominees must provide notice by the same deadline noted herein to submit a notice of nomination for consideration at the 2026 Annual Meeting of Stockholders. Such notice must comply with the additional requirements of Rule 14a-19(b). Stockholder proposals and the required notice should be addressed to Disc Medicine, Inc., 321 Arsenal Street, Suite 101, Watertown, Massachusetts 02472, Attention: Corporate Secretary.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not aware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892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789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3"/>
    </w:lvl>
  </w:abstractNum>
  <w:abstractNum w:abstractNumId="31">
    <w:nsid w:val="7724C67E"/>
    <w:multiLevelType w:val="hybridMultilevel"/>
    <w:lvl w:ilvl="0">
      <w:lvlJc w:val="left"/>
      <w:lvlText w:val="(%1)"/>
      <w:numFmt w:val="decimal"/>
      <w:start w:val="5"/>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3"/>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
    </w:lvl>
  </w:abstractNum>
  <w:abstractNum w:abstractNumId="42">
    <w:nsid w:val="2A487CB0"/>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2026-04-28T18:53:33Z</dcterms:created>
  <dcterms:modified xsi:type="dcterms:W3CDTF">2026-04-28T18:53:33Z</dcterms:modified>
</cp:coreProperties>
</file>