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740" w:hanging="4"/>
        <w:spacing w:after="0" w:line="25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Exchange Act (17 CFR 240.13e-4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Securities registered pursuant to Section 12(b) of the Act:</w:t>
      </w:r>
    </w:p>
    <w:p>
      <w:pPr>
        <w:spacing w:after="0" w:line="15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On May 9, 2024, Disc Medicine, Inc. announced its financial results for the quarter ended March 31, 2024 and provided a corporate update. A copy of the press release in connection with the announcement is being furnished as Exhibit 99.1 to this Current Report on Form 8-K.</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Disc Medicine, Inc. on May 9, 2024</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180" w:val="left"/>
          <w:tab w:leader="none" w:pos="58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200"/>
        <w:spacing w:after="0"/>
        <w:tabs>
          <w:tab w:leader="none" w:pos="582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27" w:lineRule="exact"/>
        <w:rPr>
          <w:sz w:val="20"/>
          <w:szCs w:val="20"/>
          <w:color w:val="auto"/>
        </w:rPr>
      </w:pPr>
    </w:p>
    <w:p>
      <w:pPr>
        <w:ind w:left="5200"/>
        <w:spacing w:after="0"/>
        <w:tabs>
          <w:tab w:leader="none" w:pos="58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40030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Reports First Quarter 2024 Financial Results and Provides Business Update</w:t>
      </w:r>
    </w:p>
    <w:p>
      <w:pPr>
        <w:spacing w:after="0" w:line="254" w:lineRule="exact"/>
        <w:rPr>
          <w:sz w:val="20"/>
          <w:szCs w:val="20"/>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Presented top-line results from AURORA, the placebo-controlled phase 2 study of bitopertin in erythropoietic porphyrias (EPP), in April 2024</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 track to deliver additional analyses from BEACON and AURORA in Q2 2024</w:t>
      </w:r>
    </w:p>
    <w:p>
      <w:pPr>
        <w:spacing w:after="0" w:line="130" w:lineRule="exact"/>
        <w:rPr>
          <w:rFonts w:ascii="Times New Roman" w:cs="Times New Roman" w:eastAsia="Times New Roman" w:hAnsi="Times New Roman"/>
          <w:sz w:val="18"/>
          <w:szCs w:val="18"/>
          <w:color w:val="auto"/>
        </w:rPr>
      </w:pPr>
    </w:p>
    <w:p>
      <w:pPr>
        <w:ind w:left="420" w:right="280" w:hanging="316"/>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to present updated data from the phase 1b/2 study of DISC-0974 in anemia of myelofibrosis (MF), as well as initial single-ascending dose (SAD) data from the phase 1 study of DISC-3405 in healthy volunteers in Q2 2024</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be well-capitalized, ending Q1 2024 with $343M in cash and cash equivalents, which provides runway well into 2026</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WATERTOWN, Mass. (May 9, 2024) – Disc Medicine, Inc. (NASDAQ:IRON), a clinical-stage biopharmaceutical company focused on the discovery, development, and commercialization of novel treatments for patients suffering from serious hematologic diseases, today reported financial results for the first quarter ended March 31, 2024.</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topline data from AURORA, presented in April, strengthened our belief that bitopertin is active. These data confirmed that bitopertin significantly reduced toxic PPIX in EPP patients and led to reduced phototoxic pain reactions and improved quality of life. We look forward to building upon this and sharing additional data from the AURORA and BEACON studies in June as we move towards regulatory interactions in the second half of the year,” said John Quisel, J.D., Ph.D., President and Chief Executive Officer of Disc. “We also look forward to our additional readouts of updated data for DISC-0974 in anemia of myelofibrosis and initial data on DISC-3405 in healthy volunteers, both in June.”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results from the phase 2 AURORA trial in April 2024, showing: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dose-dependent, and sustained reductions in whole blood protoporphyrin IX (PPIX) levels</w:t>
      </w:r>
    </w:p>
    <w:p>
      <w:pPr>
        <w:spacing w:after="0" w:line="130" w:lineRule="exact"/>
        <w:rPr>
          <w:rFonts w:ascii="Times New Roman" w:cs="Times New Roman" w:eastAsia="Times New Roman" w:hAnsi="Times New Roman"/>
          <w:sz w:val="18"/>
          <w:szCs w:val="18"/>
          <w:color w:val="auto"/>
        </w:rPr>
      </w:pPr>
    </w:p>
    <w:p>
      <w:pPr>
        <w:ind w:left="1420" w:right="4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on measures of light tolerance, including the precedented regulatory endpoint of cumulative time in light on days without pain, but did not meet statistical significance due to a benefit in the placebo arm that was greater than expected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reductions in phototoxic reactions with pain, reaching statistical significance for the 60 mg group</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improvements in the Patient Global Impression of Change, with statistical significance at the 60 mg dose group compared to placebo</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well-tolerated with stable hemoglobin at both dose levels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analyses from the AURORA and BEACON trials to be presented in Q2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interactions to define optimal registrational endpoints moving forward in EPP expected to occur in the second half of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Rare Pediatric Disease Designation (RPD) in May 2024 for the treatment of EPP</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DISC-0974: Anti-Hemojuvelin Antibody (Hepcidin Suppression)</w:t>
      </w:r>
    </w:p>
    <w:p>
      <w:pPr>
        <w:spacing w:after="0" w:line="135" w:lineRule="exact"/>
        <w:rPr>
          <w:sz w:val="20"/>
          <w:szCs w:val="20"/>
          <w:color w:val="auto"/>
        </w:rPr>
      </w:pPr>
    </w:p>
    <w:p>
      <w:pPr>
        <w:ind w:left="960" w:right="14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phase 1b/2 data from DISC-0974 in anemia in MF patients will be presented in Q2 2024, including safety and changes in hepcidin, iron, and hemoglobin levels for additional patients, as well as longer follow-up for patients included in the data set presented at the 2023 American Society of Hematology Annual Meeting</w:t>
      </w:r>
    </w:p>
    <w:p>
      <w:pPr>
        <w:spacing w:after="0" w:line="81"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phase 1b/2 data from DISC-0974 in anemia in non-dialysis-dependent chronic kidney disease (NDD-CKD) is expected to be shared in the second half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pharmacokinetic and pharmacodynamic data from SAD cohorts expected to be presented in Q2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2024 Financial Results:</w:t>
      </w:r>
    </w:p>
    <w:p>
      <w:pPr>
        <w:spacing w:after="0" w:line="131" w:lineRule="exact"/>
        <w:rPr>
          <w:sz w:val="20"/>
          <w:szCs w:val="20"/>
          <w:color w:val="auto"/>
        </w:rPr>
      </w:pPr>
    </w:p>
    <w:p>
      <w:pPr>
        <w:ind w:left="960" w:right="28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and cash equivalents were $342.6 million as of March 31, 2024, which are expected to fund our operational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into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$23.7 million for the quarter ended March 31, 2024, as compared to</w:t>
      </w:r>
    </w:p>
    <w:p>
      <w:pPr>
        <w:spacing w:after="0" w:line="31" w:lineRule="exact"/>
        <w:rPr>
          <w:rFonts w:ascii="Times New Roman" w:cs="Times New Roman" w:eastAsia="Times New Roman" w:hAnsi="Times New Roman"/>
          <w:sz w:val="18"/>
          <w:szCs w:val="18"/>
          <w:color w:val="auto"/>
        </w:rPr>
      </w:pPr>
    </w:p>
    <w:p>
      <w:pPr>
        <w:ind w:left="96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million for the quarter ended March 31, 2023. The increase in R&amp;D expenses were primarily driven by the progression of Disc’s portfolio, including bitopertin’s ongoing two phase 2 clinical studies and drug manufacturing, and increased headcount.</w:t>
      </w:r>
    </w:p>
    <w:p>
      <w:pPr>
        <w:spacing w:after="0" w:line="82" w:lineRule="exact"/>
        <w:rPr>
          <w:rFonts w:ascii="Times New Roman" w:cs="Times New Roman" w:eastAsia="Times New Roman" w:hAnsi="Times New Roman"/>
          <w:sz w:val="18"/>
          <w:szCs w:val="18"/>
          <w:color w:val="auto"/>
        </w:rPr>
      </w:pPr>
    </w:p>
    <w:p>
      <w:pPr>
        <w:ind w:left="960" w:right="6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G&amp;A expenses were $7.8 million for the quarter ended March 31,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 million for the quarter ended March 31, 2023. The increase in G&amp;A expenses was primarily due to increased headcount.</w:t>
      </w:r>
    </w:p>
    <w:p>
      <w:pPr>
        <w:spacing w:after="0" w:line="60" w:lineRule="exact"/>
        <w:rPr>
          <w:rFonts w:ascii="Times New Roman" w:cs="Times New Roman" w:eastAsia="Times New Roman" w:hAnsi="Times New Roman"/>
          <w:sz w:val="18"/>
          <w:szCs w:val="18"/>
          <w:color w:val="auto"/>
        </w:rPr>
      </w:pPr>
    </w:p>
    <w:p>
      <w:pPr>
        <w:ind w:left="960" w:right="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$26.9 million for the quarter ended March 31, 2024, as compared to $22.8 million for the quarter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cs="Times New Roman" w:eastAsia="Times New Roman" w:hAnsi="Times New Roman"/>
          <w:sz w:val="18"/>
          <w:szCs w:val="18"/>
          <w:u w:val="single" w:color="auto"/>
          <w:color w:val="auto"/>
        </w:rPr>
        <w:t>www.discmedicine.com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the results thereof, its phase 1b/2 clinical studies of DISC-0974 in patients with MF and NDD-CKD patients with anemia, its initial SAD data in its phase 1 clinical study of DISC-3405 in healthy volunteers;</w:t>
      </w:r>
    </w:p>
    <w:p>
      <w:pPr>
        <w:sectPr>
          <w:pgSz w:w="11900" w:h="16838" w:orient="portrait"/>
          <w:cols w:equalWidth="0" w:num="1">
            <w:col w:w="10980"/>
          </w:cols>
          <w:pgMar w:left="440" w:top="1089" w:right="47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projected timelines for the initiation and completion of its clinical trials, anticipated timing of release of data, and other clinical activities; Disc’s business plans, objectives and expected contributions of management; and Disc’s beliefs about operating expenses and that it will have capital to fund Disc well into 2026.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that enrollment timelines of both the BEACON and AURORA studies may not necessarily be predictive of future enrollment timelines; the timing of initiation of Disc’s planned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2023, Quarterly Report for the quarter ended March 31, 2024,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ectPr>
          <w:pgSz w:w="11900" w:h="16838" w:orient="portrait"/>
          <w:cols w:equalWidth="0" w:num="1">
            <w:col w:w="10980"/>
          </w:cols>
          <w:pgMar w:left="440" w:top="1093" w:right="479" w:bottom="1440" w:gutter="0" w:footer="0" w:header="0"/>
        </w:sectPr>
      </w:pPr>
    </w:p>
    <w:bookmarkStart w:id="6" w:name="page7"/>
    <w:bookmarkEnd w:id="6"/>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DISC MEDICINE,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1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23,704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7,758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(31,462)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(25,125)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11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4,518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24,809,869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8"/>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spacing w:after="0"/>
              <w:rPr>
                <w:sz w:val="24"/>
                <w:szCs w:val="24"/>
                <w:color w:val="auto"/>
              </w:rPr>
            </w:pPr>
          </w:p>
        </w:tc>
        <w:tc>
          <w:tcPr>
            <w:tcW w:w="1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$342,615</w:t>
            </w:r>
          </w:p>
        </w:tc>
        <w:tc>
          <w:tcPr>
            <w:tcW w:w="100" w:type="dxa"/>
            <w:vAlign w:val="bottom"/>
          </w:tcPr>
          <w:p>
            <w:pPr>
              <w:spacing w:after="0"/>
              <w:rPr>
                <w:sz w:val="24"/>
                <w:szCs w:val="24"/>
                <w:color w:val="auto"/>
              </w:rPr>
            </w:pP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360,382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351,948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354,182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4"/>
                <w:szCs w:val="24"/>
                <w:color w:val="auto"/>
              </w:rPr>
            </w:pPr>
          </w:p>
        </w:tc>
        <w:tc>
          <w:tcPr>
            <w:tcW w:w="13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$ 14,852</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338,071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345,121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354,182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0019"/>
      </w:cols>
      <w:pgMar w:left="440" w:top="10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2024-05-09T07:10:29Z</dcterms:created>
  <dcterms:modified xsi:type="dcterms:W3CDTF">2024-05-09T07:10:29Z</dcterms:modified>
</cp:coreProperties>
</file>