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DISC MEDICINE,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146050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2660" w:type="dxa"/>
            <w:vAlign w:val="bottom"/>
          </w:tcPr>
          <w:p>
            <w:pPr>
              <w:jc w:val="center"/>
              <w:ind w:right="1527"/>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5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001-39438</w:t>
            </w:r>
          </w:p>
        </w:tc>
        <w:tc>
          <w:tcPr>
            <w:tcW w:w="1640" w:type="dxa"/>
            <w:vAlign w:val="bottom"/>
          </w:tcPr>
          <w:p>
            <w:pPr>
              <w:jc w:val="center"/>
              <w:ind w:left="847"/>
              <w:spacing w:after="0"/>
              <w:rPr>
                <w:sz w:val="20"/>
                <w:szCs w:val="20"/>
                <w:color w:val="auto"/>
              </w:rPr>
            </w:pPr>
            <w:r>
              <w:rPr>
                <w:rFonts w:ascii="Times New Roman" w:cs="Times New Roman" w:eastAsia="Times New Roman" w:hAnsi="Times New Roman"/>
                <w:sz w:val="12"/>
                <w:szCs w:val="12"/>
                <w:b w:val="1"/>
                <w:bCs w:val="1"/>
                <w:color w:val="auto"/>
                <w:w w:val="99"/>
              </w:rPr>
              <w:t>85-1612845</w:t>
            </w:r>
          </w:p>
        </w:tc>
      </w:tr>
      <w:tr>
        <w:trPr>
          <w:trHeight w:val="99"/>
        </w:trPr>
        <w:tc>
          <w:tcPr>
            <w:tcW w:w="2660" w:type="dxa"/>
            <w:vAlign w:val="bottom"/>
          </w:tcPr>
          <w:p>
            <w:pPr>
              <w:jc w:val="center"/>
              <w:ind w:right="1527"/>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1540" w:type="dxa"/>
            <w:vAlign w:val="bottom"/>
          </w:tcPr>
          <w:p>
            <w:pPr>
              <w:ind w:left="12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47"/>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660" w:type="dxa"/>
            <w:vAlign w:val="bottom"/>
          </w:tcPr>
          <w:p>
            <w:pPr>
              <w:jc w:val="center"/>
              <w:ind w:right="1547"/>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15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7"/>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271"/>
        </w:trPr>
        <w:tc>
          <w:tcPr>
            <w:tcW w:w="4200" w:type="dxa"/>
            <w:vAlign w:val="bottom"/>
            <w:gridSpan w:val="2"/>
          </w:tcPr>
          <w:p>
            <w:pPr>
              <w:jc w:val="center"/>
              <w:ind w:right="648"/>
              <w:spacing w:after="0"/>
              <w:rPr>
                <w:sz w:val="20"/>
                <w:szCs w:val="20"/>
                <w:color w:val="auto"/>
              </w:rPr>
            </w:pPr>
            <w:r>
              <w:rPr>
                <w:rFonts w:ascii="Times New Roman" w:cs="Times New Roman" w:eastAsia="Times New Roman" w:hAnsi="Times New Roman"/>
                <w:sz w:val="12"/>
                <w:szCs w:val="12"/>
                <w:b w:val="1"/>
                <w:bCs w:val="1"/>
                <w:color w:val="auto"/>
                <w:w w:val="99"/>
              </w:rPr>
              <w:t>321 Arsenal Street, Suite 101, Watertown, MA 02472</w:t>
            </w:r>
          </w:p>
        </w:tc>
        <w:tc>
          <w:tcPr>
            <w:tcW w:w="1640" w:type="dxa"/>
            <w:vAlign w:val="bottom"/>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02472</w:t>
            </w:r>
          </w:p>
        </w:tc>
      </w:tr>
      <w:tr>
        <w:trPr>
          <w:trHeight w:val="125"/>
        </w:trPr>
        <w:tc>
          <w:tcPr>
            <w:tcW w:w="2660" w:type="dxa"/>
            <w:vAlign w:val="bottom"/>
          </w:tcPr>
          <w:p>
            <w:pPr>
              <w:jc w:val="center"/>
              <w:ind w:left="787"/>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540" w:type="dxa"/>
            <w:vAlign w:val="bottom"/>
          </w:tcPr>
          <w:p>
            <w:pPr>
              <w:spacing w:after="0"/>
              <w:rPr>
                <w:sz w:val="10"/>
                <w:szCs w:val="10"/>
                <w:color w:val="auto"/>
              </w:rPr>
            </w:pPr>
          </w:p>
        </w:tc>
        <w:tc>
          <w:tcPr>
            <w:tcW w:w="1640" w:type="dxa"/>
            <w:vAlign w:val="bottom"/>
          </w:tcPr>
          <w:p>
            <w:pPr>
              <w:jc w:val="center"/>
              <w:ind w:left="90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(617) 674-9274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0" w:lineRule="exact"/>
        <w:rPr>
          <w:sz w:val="24"/>
          <w:szCs w:val="24"/>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under the Exchange Act (17 CFR 240.13e-4</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w:t>
      </w:r>
    </w:p>
    <w:p>
      <w:pPr>
        <w:spacing w:after="0" w:line="6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Symbol</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4"/>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IRON</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Global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67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3"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Exclusive License Agreement with Mabwell Therapeutics, Inc.</w:t>
      </w:r>
    </w:p>
    <w:p>
      <w:pPr>
        <w:spacing w:after="0" w:line="82"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color w:val="auto"/>
        </w:rPr>
        <w:t>On January 19, 2023, Disc Medicine, Inc. (“Disc”) entered into an exclusive license agreement with Mabwell Therapeutics, Inc. (“Mabwell”) (a wholly-owned subsidiary of Mabwell (Shanghai) Bioscience Co., Ltd), pursuant to which Mabwell granted Disc an exclusive and sublicensable license under certain patent rights, know-how, and materials to develop and commercialize antibody products containing Mabwell’s MWTX-001,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Disc also granted Mabwell an exclusive, sublicensable, royalty-free license under Disc’s patents and know-how arising under the agreement to develop and commercialize licensed antibody products in Greater China and Southeast Asia.</w:t>
      </w:r>
    </w:p>
    <w:p>
      <w:pPr>
        <w:spacing w:after="0" w:line="126" w:lineRule="exact"/>
        <w:rPr>
          <w:sz w:val="20"/>
          <w:szCs w:val="20"/>
          <w:color w:val="auto"/>
        </w:rPr>
      </w:pPr>
    </w:p>
    <w:p>
      <w:pPr>
        <w:ind w:left="840" w:right="879"/>
        <w:spacing w:after="0" w:line="282" w:lineRule="auto"/>
        <w:rPr>
          <w:sz w:val="20"/>
          <w:szCs w:val="20"/>
          <w:color w:val="auto"/>
        </w:rPr>
      </w:pPr>
      <w:r>
        <w:rPr>
          <w:rFonts w:ascii="Times New Roman" w:cs="Times New Roman" w:eastAsia="Times New Roman" w:hAnsi="Times New Roman"/>
          <w:sz w:val="11"/>
          <w:szCs w:val="11"/>
          <w:color w:val="auto"/>
        </w:rPr>
        <w:t>The license agreement requires Disc to pay Mabwell an upfront payment of $10 million dollars, and certain development and regulatory milestone payments for the licensed antibody products, for up to three indications, up to a maximum aggregate amount of $127.5 million dollars, as well as certain commercial milestone payments for certain licensed antibody product net sales achievements, up to a maximum aggregate amount of $275 million dollars. Disc is further obligated to pay a tiered percentage of revenue that Disc receives from its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112" w:lineRule="exact"/>
        <w:rPr>
          <w:sz w:val="20"/>
          <w:szCs w:val="20"/>
          <w:color w:val="auto"/>
        </w:rPr>
      </w:pPr>
    </w:p>
    <w:p>
      <w:pPr>
        <w:ind w:left="840" w:right="899"/>
        <w:spacing w:after="0" w:line="276" w:lineRule="auto"/>
        <w:rPr>
          <w:sz w:val="20"/>
          <w:szCs w:val="20"/>
          <w:color w:val="auto"/>
        </w:rPr>
      </w:pPr>
      <w:r>
        <w:rPr>
          <w:rFonts w:ascii="Times New Roman" w:cs="Times New Roman" w:eastAsia="Times New Roman" w:hAnsi="Times New Roman"/>
          <w:sz w:val="11"/>
          <w:szCs w:val="11"/>
          <w:color w:val="auto"/>
        </w:rPr>
        <w:t>In addition, Disc is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license expires on a licensed antibody product-by-licensed antibody product and country-by-country basis upon the later of</w:t>
      </w:r>
    </w:p>
    <w:p>
      <w:pPr>
        <w:spacing w:after="0" w:line="2" w:lineRule="exact"/>
        <w:rPr>
          <w:sz w:val="20"/>
          <w:szCs w:val="20"/>
          <w:color w:val="auto"/>
        </w:rPr>
      </w:pPr>
    </w:p>
    <w:p>
      <w:pPr>
        <w:jc w:val="both"/>
        <w:ind w:left="840" w:right="859" w:hanging="8"/>
        <w:spacing w:after="0" w:line="255" w:lineRule="auto"/>
        <w:tabs>
          <w:tab w:leader="none" w:pos="1003"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125" w:lineRule="exact"/>
        <w:rPr>
          <w:sz w:val="20"/>
          <w:szCs w:val="20"/>
          <w:color w:val="auto"/>
        </w:rPr>
      </w:pPr>
    </w:p>
    <w:p>
      <w:pPr>
        <w:ind w:left="840" w:right="859"/>
        <w:spacing w:after="0" w:line="255" w:lineRule="auto"/>
        <w:rPr>
          <w:sz w:val="20"/>
          <w:szCs w:val="20"/>
          <w:color w:val="auto"/>
        </w:rPr>
      </w:pPr>
      <w:r>
        <w:rPr>
          <w:rFonts w:ascii="Times New Roman" w:cs="Times New Roman" w:eastAsia="Times New Roman" w:hAnsi="Times New Roman"/>
          <w:sz w:val="12"/>
          <w:szCs w:val="12"/>
          <w:color w:val="auto"/>
        </w:rPr>
        <w:t>Disc’s license grant expires upon expiration of the last remaining royalty obligation for the last licensed antibody product in the last country. Either party may terminate the agreement prior to its expiration upon the other party’s uncured material breach, insolvency, or a challenge of the validity or enforceability of the patents licensed to such other party under the agreement. Disc may also terminate the agreement for convenience on 60 days’ written notice to Mabwell. In the event the agreement is terminated other than by Disc for cause, Disc has agreed to grant Mabwell an exclusive, sublicensable, worldwide license under Disc’s patent rights and know-how arising under the license agreement to develop and commercialize products containing the licensed antibodies. In such circumstances, Disc and Mabwell will negotiate a royalty to be paid by Mabwell on the net sales of such products in the licensed territory.</w:t>
      </w:r>
    </w:p>
    <w:p>
      <w:pPr>
        <w:sectPr>
          <w:pgSz w:w="11900" w:h="16838" w:orient="portrait"/>
          <w:cols w:equalWidth="0" w:num="1">
            <w:col w:w="9019"/>
          </w:cols>
          <w:pgMar w:left="1440" w:top="242" w:right="1440" w:bottom="1440" w:gutter="0" w:footer="0" w:header="0"/>
        </w:sectPr>
      </w:pPr>
    </w:p>
    <w:bookmarkStart w:id="2" w:name="page3"/>
    <w:bookmarkEnd w:id="2"/>
    <w:p>
      <w:pPr>
        <w:ind w:left="840" w:right="839"/>
        <w:spacing w:after="0" w:line="327"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The forgoing description of the license agreement between Disc and Mabwell does not purport to be complete and is qualified in its entirety by the full text of the agreement, a copy of which is expected to be filed as an exhibit to Disc’s annual report on Form 10-K for the year ending December 31, 2022.</w:t>
      </w:r>
    </w:p>
    <w:p>
      <w:pPr>
        <w:spacing w:after="0" w:line="182"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On January 20, 2023, Disc issued a press release, a copy of which is furnished herewith as Exhibit 99.1.</w:t>
      </w:r>
    </w:p>
    <w:p>
      <w:pPr>
        <w:spacing w:after="0" w:line="150" w:lineRule="exact"/>
        <w:rPr>
          <w:sz w:val="20"/>
          <w:szCs w:val="20"/>
          <w:color w:val="auto"/>
        </w:rPr>
      </w:pPr>
    </w:p>
    <w:p>
      <w:pPr>
        <w:ind w:left="840" w:right="859"/>
        <w:spacing w:after="0" w:line="265" w:lineRule="auto"/>
        <w:rPr>
          <w:sz w:val="20"/>
          <w:szCs w:val="20"/>
          <w:color w:val="auto"/>
        </w:rPr>
      </w:pPr>
      <w:r>
        <w:rPr>
          <w:rFonts w:ascii="Times New Roman" w:cs="Times New Roman" w:eastAsia="Times New Roman" w:hAnsi="Times New Roman"/>
          <w:sz w:val="12"/>
          <w:szCs w:val="12"/>
          <w:color w:val="auto"/>
        </w:rPr>
        <w:t>In addition, on January 20, 2023, Disc posted to its website a slide presentation regarding the transaction with Mabwell and its current development plans for the licensed anti-TMPRSS6 monoclonal antibody portfolio. Such slide presentation is being furnished as Exhibit 99.2 to this Current Report on Form 8-K. The Company undertakes no obligation to update, supplement or amend the materials attached hereto as Exhibit 99.2.</w:t>
      </w:r>
    </w:p>
    <w:p>
      <w:pPr>
        <w:spacing w:after="0" w:line="119"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920"/>
        <w:spacing w:after="0"/>
        <w:tabs>
          <w:tab w:leader="none" w:pos="140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59"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EE"/>
        </w:rPr>
        <w:t>Press release issued by Disc Medicine, Inc. on January 20, 2023, furnished herewith.</w:t>
      </w:r>
    </w:p>
    <w:p>
      <w:pPr>
        <w:spacing w:after="0" w:line="7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EE"/>
        </w:rPr>
        <w:t>Disc Medicine, Inc. Corporate Presentation, dated January 20, 2023, furnished herewith.</w:t>
      </w:r>
    </w:p>
    <w:p>
      <w:pPr>
        <w:spacing w:after="0" w:line="78"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(embedded within the Inline XBRL document).</w:t>
      </w:r>
    </w:p>
    <w:p>
      <w:pPr>
        <w:sectPr>
          <w:pgSz w:w="11900" w:h="16838" w:orient="portrait"/>
          <w:cols w:equalWidth="0" w:num="1">
            <w:col w:w="9019"/>
          </w:cols>
          <w:pgMar w:left="1440" w:top="246"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89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DISC MEDICINE, INC.</w:t>
      </w:r>
    </w:p>
    <w:p>
      <w:pPr>
        <w:spacing w:after="0" w:line="168" w:lineRule="exact"/>
        <w:rPr>
          <w:sz w:val="20"/>
          <w:szCs w:val="20"/>
          <w:color w:val="auto"/>
        </w:rPr>
      </w:pPr>
    </w:p>
    <w:p>
      <w:pPr>
        <w:ind w:left="840"/>
        <w:spacing w:after="0"/>
        <w:tabs>
          <w:tab w:leader="none" w:pos="4500" w:val="left"/>
          <w:tab w:leader="none" w:pos="4920" w:val="left"/>
        </w:tabs>
        <w:rPr>
          <w:sz w:val="20"/>
          <w:szCs w:val="20"/>
          <w:color w:val="auto"/>
        </w:rPr>
      </w:pPr>
      <w:r>
        <w:rPr>
          <w:rFonts w:ascii="Times New Roman" w:cs="Times New Roman" w:eastAsia="Times New Roman" w:hAnsi="Times New Roman"/>
          <w:sz w:val="12"/>
          <w:szCs w:val="12"/>
          <w:color w:val="auto"/>
        </w:rPr>
        <w:t>Date: January 23,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10795</wp:posOffset>
            </wp:positionV>
            <wp:extent cx="20516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15"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2"/>
          <w:szCs w:val="12"/>
          <w:color w:val="auto"/>
        </w:rPr>
        <w:t>Name:</w:t>
        <w:tab/>
        <w:t>John Quisel, J.D. Ph.D.</w:t>
      </w:r>
    </w:p>
    <w:p>
      <w:pPr>
        <w:spacing w:after="0" w:line="6" w:lineRule="exact"/>
        <w:rPr>
          <w:sz w:val="20"/>
          <w:szCs w:val="20"/>
          <w:color w:val="auto"/>
        </w:rPr>
      </w:pPr>
    </w:p>
    <w:p>
      <w:pPr>
        <w:ind w:left="4520"/>
        <w:spacing w:after="0"/>
        <w:tabs>
          <w:tab w:leader="none" w:pos="4920" w:val="left"/>
        </w:tabs>
        <w:rPr>
          <w:sz w:val="20"/>
          <w:szCs w:val="20"/>
          <w:color w:val="auto"/>
        </w:rPr>
      </w:pPr>
      <w:r>
        <w:rPr>
          <w:rFonts w:ascii="Times New Roman" w:cs="Times New Roman" w:eastAsia="Times New Roman" w:hAnsi="Times New Roman"/>
          <w:sz w:val="12"/>
          <w:szCs w:val="12"/>
          <w:color w:val="auto"/>
        </w:rPr>
        <w:t>Title:</w:t>
        <w:tab/>
        <w:t>Chief Executive Officer</w:t>
      </w:r>
    </w:p>
    <w:p>
      <w:pPr>
        <w:sectPr>
          <w:pgSz w:w="11900" w:h="16838" w:orient="portrait"/>
          <w:cols w:equalWidth="0" w:num="1">
            <w:col w:w="9019"/>
          </w:cols>
          <w:pgMar w:left="1440" w:top="242" w:right="1440" w:bottom="1440" w:gutter="0" w:footer="0" w:header="0"/>
        </w:sectPr>
      </w:pPr>
    </w:p>
    <w:bookmarkStart w:id="4" w:name="page5"/>
    <w:bookmarkEnd w:id="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116205</wp:posOffset>
            </wp:positionV>
            <wp:extent cx="1503045" cy="234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304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Disc Medicine Announces Exclusive Licensing Agreement with Mabwell Therapeutics for Novel Anti-TMPRSS6 Monoclonal Antibodies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Modulate Iron Homeostasis</w:t>
      </w:r>
    </w:p>
    <w:p>
      <w:pPr>
        <w:spacing w:after="0" w:line="74" w:lineRule="exact"/>
        <w:rPr>
          <w:sz w:val="20"/>
          <w:szCs w:val="20"/>
          <w:color w:val="auto"/>
        </w:rPr>
      </w:pPr>
    </w:p>
    <w:p>
      <w:pPr>
        <w:ind w:left="1480" w:right="1339" w:hanging="288"/>
        <w:spacing w:after="0" w:line="283"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Disc will obtain exclusive rights to MWTX-003 and other novel anti-TMPRSS6 antibodies in the United States, Europe and other territories excluding Greater China and certain other territories in Southeast Asia</w:t>
      </w:r>
    </w:p>
    <w:p>
      <w:pPr>
        <w:spacing w:after="0" w:line="43" w:lineRule="exact"/>
        <w:rPr>
          <w:rFonts w:ascii="Times New Roman" w:cs="Times New Roman" w:eastAsia="Times New Roman" w:hAnsi="Times New Roman"/>
          <w:sz w:val="12"/>
          <w:szCs w:val="12"/>
          <w:color w:val="auto"/>
        </w:rPr>
      </w:pPr>
    </w:p>
    <w:p>
      <w:pPr>
        <w:ind w:left="1480" w:right="1439" w:hanging="288"/>
        <w:spacing w:after="0" w:line="283" w:lineRule="auto"/>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MWTX-003 demonstrated potent and durable suppression of serum iron and efficacy in animal models of beta-thalassemia and polycythemia vera (PV)</w:t>
      </w:r>
    </w:p>
    <w:p>
      <w:pPr>
        <w:spacing w:after="0" w:line="43"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FDA has accepted the IND for MWTX-003 and Disc plans to initiate a phase 1 study of MWTX-003 in healthy volunteers during 2H’23</w:t>
      </w:r>
    </w:p>
    <w:p>
      <w:pPr>
        <w:spacing w:after="0" w:line="152" w:lineRule="exact"/>
        <w:rPr>
          <w:sz w:val="20"/>
          <w:szCs w:val="20"/>
          <w:color w:val="auto"/>
        </w:rPr>
      </w:pPr>
    </w:p>
    <w:p>
      <w:pPr>
        <w:ind w:left="840" w:right="919"/>
        <w:spacing w:after="0" w:line="257" w:lineRule="auto"/>
        <w:rPr>
          <w:sz w:val="20"/>
          <w:szCs w:val="20"/>
          <w:color w:val="auto"/>
        </w:rPr>
      </w:pPr>
      <w:r>
        <w:rPr>
          <w:rFonts w:ascii="Times New Roman" w:cs="Times New Roman" w:eastAsia="Times New Roman" w:hAnsi="Times New Roman"/>
          <w:sz w:val="12"/>
          <w:szCs w:val="12"/>
          <w:color w:val="auto"/>
        </w:rPr>
        <w:t>WATERTOWN, Mass. (January 20, 2023) – Disc Medicine, Inc. (NASDAQ:IRON), a clinical-stage biopharmaceutical company focused on the discovery, development, and commercialization of novel treatments for patients suffering from serious hematologic diseases, announced today that is has entered into an agreement with Mabwell Therapeutics to obtain an exclusive license to a portfolio of monoclonal antibodies targeting TMPRSS6 (Transmembrane Serine Protease 6, also known as Matriptase-2) including the phase 1-ready drug candidate MWTX-003. Disc plans to initiate a phase 1 trial in healthy volunteers in the second half of 2023.</w:t>
      </w:r>
    </w:p>
    <w:p>
      <w:pPr>
        <w:spacing w:after="0" w:line="125" w:lineRule="exact"/>
        <w:rPr>
          <w:sz w:val="20"/>
          <w:szCs w:val="20"/>
          <w:color w:val="auto"/>
        </w:rPr>
      </w:pPr>
    </w:p>
    <w:p>
      <w:pPr>
        <w:jc w:val="both"/>
        <w:ind w:left="840" w:right="1019"/>
        <w:spacing w:after="0" w:line="300" w:lineRule="auto"/>
        <w:rPr>
          <w:sz w:val="20"/>
          <w:szCs w:val="20"/>
          <w:color w:val="auto"/>
        </w:rPr>
      </w:pPr>
      <w:r>
        <w:rPr>
          <w:rFonts w:ascii="Times New Roman" w:cs="Times New Roman" w:eastAsia="Times New Roman" w:hAnsi="Times New Roman"/>
          <w:sz w:val="11"/>
          <w:szCs w:val="11"/>
          <w:color w:val="auto"/>
        </w:rPr>
        <w:t>MWTX-003 has the potential to address a wide range of hematologic disorders including polycythemia vera and beta-thalassemia by controlling iron homeostasis. Genetic studies show that TMPRSS6 affects red blood cell formation by controlling the level of iron that is available for erythropoiesis. Clinical and non-clinical evidence has shown that reducing iron levels by inhibiting TMPRSS6 has potential to treat hematologic disorders.</w:t>
      </w:r>
    </w:p>
    <w:p>
      <w:pPr>
        <w:spacing w:after="0" w:line="102" w:lineRule="exact"/>
        <w:rPr>
          <w:sz w:val="20"/>
          <w:szCs w:val="20"/>
          <w:color w:val="auto"/>
        </w:rPr>
      </w:pPr>
    </w:p>
    <w:p>
      <w:pPr>
        <w:ind w:left="840" w:right="879"/>
        <w:spacing w:after="0" w:line="260" w:lineRule="auto"/>
        <w:rPr>
          <w:sz w:val="20"/>
          <w:szCs w:val="20"/>
          <w:color w:val="auto"/>
        </w:rPr>
      </w:pPr>
      <w:r>
        <w:rPr>
          <w:rFonts w:ascii="Times New Roman" w:cs="Times New Roman" w:eastAsia="Times New Roman" w:hAnsi="Times New Roman"/>
          <w:sz w:val="12"/>
          <w:szCs w:val="12"/>
          <w:color w:val="auto"/>
        </w:rPr>
        <w:t>“Disc has built deep expertise in the role of iron homeostasis in hematologic disorders, and I am thrilled to expand our portfolio with these highly complementary antibody programs.” said John Quisel, J.D., Ph.D., Chief Executive Officer and President of Disc. “We are delighted to be partnering with Mabwell, a company with a strong antibody technology platform that is led by Dr. Xin Du, a leading expert on TMPRSS6 biology. This program is in perfect alignment with our strategy and we look forward to advancing MWTX-003 into phase 1 studies later this year.”</w:t>
      </w:r>
    </w:p>
    <w:p>
      <w:pPr>
        <w:spacing w:after="0" w:line="122" w:lineRule="exact"/>
        <w:rPr>
          <w:sz w:val="20"/>
          <w:szCs w:val="20"/>
          <w:color w:val="auto"/>
        </w:rPr>
      </w:pPr>
    </w:p>
    <w:p>
      <w:pPr>
        <w:ind w:left="840" w:right="879"/>
        <w:spacing w:after="0" w:line="257" w:lineRule="auto"/>
        <w:rPr>
          <w:sz w:val="20"/>
          <w:szCs w:val="20"/>
          <w:color w:val="auto"/>
        </w:rPr>
      </w:pPr>
      <w:r>
        <w:rPr>
          <w:rFonts w:ascii="Times New Roman" w:cs="Times New Roman" w:eastAsia="Times New Roman" w:hAnsi="Times New Roman"/>
          <w:sz w:val="12"/>
          <w:szCs w:val="12"/>
          <w:color w:val="auto"/>
        </w:rPr>
        <w:t>Under the terms of the agreement, Disc will obtain exclusive rights to develop and commercialize MWTX-003 and other anti-TMPRSS6 monoclonal antibodies discovered by Mabwell, in the United States, Europe, and other territories outside of China and Southeast Asia. MWTX-003 is phase 1-ready and received acceptance of an Investigational New Drug (IND) application from the U.S. Food and Drug Administration (FDA) in November 2022. Mabwell will receive an upfront cash payment of $10.0 million, in addition to development and commercial milestones for a total of up to $412.5 million in eligible payments, and tiered, mid to high single digit royalties on net sales.</w:t>
      </w:r>
    </w:p>
    <w:p>
      <w:pPr>
        <w:spacing w:after="0" w:line="125" w:lineRule="exact"/>
        <w:rPr>
          <w:sz w:val="20"/>
          <w:szCs w:val="20"/>
          <w:color w:val="auto"/>
        </w:rPr>
      </w:pPr>
    </w:p>
    <w:p>
      <w:pPr>
        <w:ind w:left="840" w:right="959"/>
        <w:spacing w:after="0" w:line="279" w:lineRule="auto"/>
        <w:rPr>
          <w:sz w:val="20"/>
          <w:szCs w:val="20"/>
          <w:color w:val="auto"/>
        </w:rPr>
      </w:pPr>
      <w:r>
        <w:rPr>
          <w:rFonts w:ascii="Times New Roman" w:cs="Times New Roman" w:eastAsia="Times New Roman" w:hAnsi="Times New Roman"/>
          <w:sz w:val="12"/>
          <w:szCs w:val="12"/>
          <w:color w:val="auto"/>
        </w:rPr>
        <w:t>The transaction is subject to customary closing conditions and approval by the shareholders of the parent company of Mabwell Therapeutics, Mabwell (Shanghai) Bioscience Co., Ltd.</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About Disc</w:t>
      </w:r>
    </w:p>
    <w:p>
      <w:pPr>
        <w:spacing w:after="0" w:line="82" w:lineRule="exact"/>
        <w:rPr>
          <w:sz w:val="20"/>
          <w:szCs w:val="20"/>
          <w:color w:val="auto"/>
        </w:rPr>
      </w:pPr>
    </w:p>
    <w:p>
      <w:pPr>
        <w:ind w:left="840" w:right="919"/>
        <w:spacing w:after="0" w:line="260" w:lineRule="auto"/>
        <w:rPr>
          <w:sz w:val="20"/>
          <w:szCs w:val="20"/>
          <w:color w:val="auto"/>
        </w:rPr>
      </w:pPr>
      <w:r>
        <w:rPr>
          <w:rFonts w:ascii="Times New Roman" w:cs="Times New Roman" w:eastAsia="Times New Roman" w:hAnsi="Times New Roman"/>
          <w:sz w:val="12"/>
          <w:szCs w:val="12"/>
          <w:color w:val="auto"/>
        </w:rPr>
        <w:t xml:space="preserve">Disc Medicine is a clinical-stage biopharmaceutical company committed to discovering, developing, and commercializing novel treatments for patients who suffer from serious hematologic diseases. We are building a portfolio of innovative,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Times New Roman" w:cs="Times New Roman" w:eastAsia="Times New Roman" w:hAnsi="Times New Roman"/>
          <w:sz w:val="12"/>
          <w:szCs w:val="12"/>
          <w:u w:val="single" w:color="auto"/>
          <w:color w:val="auto"/>
        </w:rPr>
        <w:t>www.discmedicine.com</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bookmarkStart w:id="5" w:name="page6"/>
    <w:bookmarkEnd w:id="5"/>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1503045" cy="234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03045" cy="234315"/>
                    </a:xfrm>
                    <a:prstGeom prst="rect">
                      <a:avLst/>
                    </a:prstGeom>
                    <a:noFill/>
                  </pic:spPr>
                </pic:pic>
              </a:graphicData>
            </a:graphic>
          </wp:anchor>
        </w:drawing>
        <w:t>About Mabwell Therapeutics</w:t>
      </w:r>
    </w:p>
    <w:p>
      <w:pPr>
        <w:spacing w:after="0" w:line="82"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Mabwell Therapeutics, Inc. is a San Diego-based biotechnology company focusing on the discovery and development of antibody and protein-based drugs in multiple therapeutic areas including hematological disorders, liver disease, and neurodegenerative diseases. Mabwell Therapeutics is a wholly-owned subsidiary of Mabwell (Shanghai) Bioscience Co., Ltd., a global integrated biopharmaceutical company primarily engaged in the discovery, development, manufacturing, and commercialization of biotherapeutics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Disc Cautionary Statement Regarding Forward-Looking Statements</w:t>
      </w:r>
    </w:p>
    <w:p>
      <w:pPr>
        <w:spacing w:after="0" w:line="82" w:lineRule="exact"/>
        <w:rPr>
          <w:sz w:val="20"/>
          <w:szCs w:val="20"/>
          <w:color w:val="auto"/>
        </w:rPr>
      </w:pPr>
    </w:p>
    <w:p>
      <w:pPr>
        <w:ind w:left="840" w:right="899"/>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including, but not limited to, express or implied statements regarding: future product development plans and projected timelines for the initiation and completion of preclinical and clinical trials and other activities; the potential for the results of ongoing preclinical or clinical trials and the efficacy of Disc’s product candidates; future product development and regulatory strategies, including with respect to specific indications; Disc’s plans for Gemini’s assets; Disc’s plans for its hematology portfolio; interactions with regulatory authorities; and Disc’s financial position.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28" w:lineRule="exact"/>
        <w:rPr>
          <w:sz w:val="20"/>
          <w:szCs w:val="20"/>
          <w:color w:val="auto"/>
        </w:rPr>
      </w:pPr>
    </w:p>
    <w:p>
      <w:pPr>
        <w:ind w:left="840" w:right="859"/>
        <w:spacing w:after="0" w:line="253" w:lineRule="auto"/>
        <w:rPr>
          <w:sz w:val="20"/>
          <w:szCs w:val="20"/>
          <w:color w:val="auto"/>
        </w:rPr>
      </w:pPr>
      <w:r>
        <w:rPr>
          <w:rFonts w:ascii="Times New Roman" w:cs="Times New Roman" w:eastAsia="Times New Roman" w:hAnsi="Times New Roman"/>
          <w:sz w:val="12"/>
          <w:szCs w:val="12"/>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(i) the outcome of any legal proceedings that may be instituted against the parties and others related to the merger agreement; (ii) unanticipated difficulties or expenditures relating to the merger, the response of business partners and competitors to the announcement or completion of the merger, and/or potential difficulties in employee retention as a result of the announcement or completion of the merger; (iii) Disc’s listing on the Nasdaq Capital Market and operating as a public company; (iv) the adequacy of Disc’s capital to support its future operations and its ability to successfully initiate and complete clinical trials;</w:t>
      </w:r>
    </w:p>
    <w:p>
      <w:pPr>
        <w:spacing w:after="0" w:line="1" w:lineRule="exact"/>
        <w:rPr>
          <w:sz w:val="20"/>
          <w:szCs w:val="20"/>
          <w:color w:val="auto"/>
        </w:rPr>
      </w:pPr>
    </w:p>
    <w:p>
      <w:pPr>
        <w:ind w:left="840" w:right="859" w:hanging="8"/>
        <w:spacing w:after="0" w:line="273" w:lineRule="auto"/>
        <w:tabs>
          <w:tab w:leader="none" w:pos="101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nature, strategy and focus of Disc; (vi) the difficulty in predicting the time and cost of development of Disc’s product candidates; (vii) Disc’s plans to research, develop and commercialize its current and future product candidates; (viii) the timing of initiation of Disc’s planned preclinical studies and clinical trials; (ix) the timing of the availability of data from Disc’s clinical trials; (x) the timing of any planned investigational new drug application or new drug application; (xi) the risk of cessation or delay of any ongoing or planned clinical trials of Disc or its collaborators; (xii) the clinical utility, potential benefits and market acceptance of Disc’s product candidates; (xiii) Disc’s commercialization, marketing and manufacturing capabilities and strategy; (xiv) Disc’s ability to identify additional product candidates with significant commercial potential and to expand its pipeline in hematological diseases; (xv) the risk that Disc may not realize the intended benefits of its drug discovery platform; (xvi) developments and projections relating to Disc’s competitors and its industry; (xvii) the impact of government laws and regulations; (xviii) the impact of public health epidemics affecting countries or regions in which Disc has operations or does business, such as the COVID-19 pandemic, (xix)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(xx) the timing and outcome of Disc’s planned interactions with regulatory authorities; (xxi) findings from investigational review boards at clinical trial sites and publication review bodies;</w:t>
      </w:r>
    </w:p>
    <w:p>
      <w:pPr>
        <w:spacing w:after="0" w:line="1" w:lineRule="exact"/>
        <w:rPr>
          <w:rFonts w:ascii="Times New Roman" w:cs="Times New Roman" w:eastAsia="Times New Roman" w:hAnsi="Times New Roman"/>
          <w:sz w:val="11"/>
          <w:szCs w:val="11"/>
          <w:color w:val="auto"/>
        </w:rPr>
      </w:pPr>
    </w:p>
    <w:p>
      <w:pPr>
        <w:ind w:left="840" w:right="1099" w:hanging="8"/>
        <w:spacing w:after="0" w:line="260" w:lineRule="auto"/>
        <w:tabs>
          <w:tab w:leader="none" w:pos="1136"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Disc’s ability to protect its intellectual property position; (xxiii) Disc’s estimates regarding future revenue, expenses, capital requirements and need for additional financing; (xxiv) the other risks and uncertainties described in the “Risk Factors” section of the definitive</w:t>
      </w:r>
    </w:p>
    <w:p>
      <w:pPr>
        <w:sectPr>
          <w:pgSz w:w="11900" w:h="16838" w:orient="portrait"/>
          <w:cols w:equalWidth="0" w:num="1">
            <w:col w:w="9019"/>
          </w:cols>
          <w:pgMar w:left="1440" w:top="692" w:right="1440" w:bottom="1440" w:gutter="0" w:footer="0" w:header="0"/>
        </w:sectPr>
      </w:pPr>
    </w:p>
    <w:bookmarkStart w:id="6" w:name="page7"/>
    <w:bookmarkEnd w:id="6"/>
    <w:p>
      <w:pPr>
        <w:ind w:left="840" w:right="93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1503045" cy="234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03045" cy="234315"/>
                    </a:xfrm>
                    <a:prstGeom prst="rect">
                      <a:avLst/>
                    </a:prstGeom>
                    <a:noFill/>
                  </pic:spPr>
                </pic:pic>
              </a:graphicData>
            </a:graphic>
          </wp:anchor>
        </w:drawing>
        <w:t>proxy statement/prospectus dated December 2, 2022 and filed with the SEC under Rule 424(b) and other documents filed by Disc from time to time with the SEC, as well as discussions of potential risks, uncertainties, and other important factors in Disc’s subsequent filings with the Securities and Exchange Commission; and (xxv) the post-closing integration of Disc and Gemini.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Peg Rusconi</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Verge Scientific Communications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prusconi@vergescientific.com</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Christina Tartaglia (Investor)</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Stern Investor Relations</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christina.tartaglia@sternir.com</w:t>
      </w:r>
    </w:p>
    <w:p>
      <w:pPr>
        <w:sectPr>
          <w:pgSz w:w="11900" w:h="16838" w:orient="portrait"/>
          <w:cols w:equalWidth="0" w:num="1">
            <w:col w:w="9019"/>
          </w:cols>
          <w:pgMar w:left="1440" w:top="696" w:right="1440"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5"/>
    </w:lvl>
  </w:abstractNum>
  <w:abstractNum w:abstractNumId="4">
    <w:nsid w:val="46E87CCD"/>
    <w:multiLevelType w:val="hybridMultilevel"/>
    <w:lvl w:ilvl="0">
      <w:lvlJc w:val="left"/>
      <w:lvlText w:val="(%1)"/>
      <w:numFmt w:val="lowerRoman"/>
      <w:start w:val="2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2023-01-23T05:33:39Z</dcterms:created>
  <dcterms:modified xsi:type="dcterms:W3CDTF">2023-01-23T05:33:39Z</dcterms:modified>
</cp:coreProperties>
</file>