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19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SCHEDULE 13G</w:t>
      </w:r>
    </w:p>
    <w:p>
      <w:pPr>
        <w:spacing w:after="0" w:line="216"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99"/>
        <w:spacing w:after="0"/>
        <w:rPr>
          <w:rFonts w:ascii="Arial" w:cs="Arial" w:eastAsia="Arial" w:hAnsi="Arial"/>
          <w:sz w:val="18"/>
          <w:szCs w:val="18"/>
          <w:color w:val="auto"/>
        </w:rPr>
      </w:pPr>
      <w:r>
        <w:rPr>
          <w:rFonts w:ascii="Arial" w:cs="Arial" w:eastAsia="Arial" w:hAnsi="Arial"/>
          <w:sz w:val="18"/>
          <w:szCs w:val="18"/>
          <w:color w:val="auto"/>
        </w:rPr>
        <w:t>(Amendment No. 2</w:t>
      </w:r>
      <w:hyperlink w:anchor="page1">
        <w:r>
          <w:rPr>
            <w:rFonts w:ascii="Arial" w:cs="Arial" w:eastAsia="Arial" w:hAnsi="Arial"/>
            <w:sz w:val="11"/>
            <w:szCs w:val="11"/>
            <w:u w:val="single" w:color="auto"/>
            <w:color w:val="0000EE"/>
          </w:rPr>
          <w:t>1</w:t>
        </w:r>
      </w:hyperlink>
      <w:r>
        <w:rPr>
          <w:rFonts w:ascii="Arial" w:cs="Arial" w:eastAsia="Arial" w:hAnsi="Arial"/>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Gemini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36870G105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1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[_] Rule 13d-1(b)</w:t>
      </w:r>
    </w:p>
    <w:p>
      <w:pPr>
        <w:spacing w:after="0" w:line="225" w:lineRule="exact"/>
        <w:rPr>
          <w:sz w:val="24"/>
          <w:szCs w:val="24"/>
          <w:color w:val="auto"/>
        </w:rPr>
      </w:pPr>
    </w:p>
    <w:p>
      <w:pPr>
        <w:jc w:val="both"/>
        <w:ind w:left="1300" w:right="8560" w:firstLine="4"/>
        <w:spacing w:after="0" w:line="571" w:lineRule="auto"/>
        <w:tabs>
          <w:tab w:leader="none" w:pos="15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13d-1(c) [_] Rule 13d-1(d)</w:t>
      </w:r>
    </w:p>
    <w:p>
      <w:pPr>
        <w:spacing w:after="0"/>
        <w:rPr>
          <w:sz w:val="20"/>
          <w:szCs w:val="20"/>
          <w:color w:val="auto"/>
        </w:rPr>
      </w:pPr>
      <w:r>
        <w:rPr>
          <w:rFonts w:ascii="Courier New" w:cs="Courier New" w:eastAsia="Courier New" w:hAnsi="Courier New"/>
          <w:sz w:val="18"/>
          <w:szCs w:val="18"/>
          <w:color w:val="auto"/>
        </w:rPr>
        <w:t>__________</w:t>
      </w:r>
    </w:p>
    <w:p>
      <w:pPr>
        <w:spacing w:after="0" w:line="263"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98" w:lineRule="exact"/>
        <w:rPr>
          <w:sz w:val="24"/>
          <w:szCs w:val="24"/>
          <w:color w:val="auto"/>
        </w:rPr>
      </w:pPr>
    </w:p>
    <w:p>
      <w:pPr>
        <w:ind w:right="380" w:firstLine="648"/>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564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645" cy="34290"/>
                    </a:xfrm>
                    <a:prstGeom prst="rect">
                      <a:avLst/>
                    </a:prstGeom>
                    <a:noFill/>
                  </pic:spPr>
                </pic:pic>
              </a:graphicData>
            </a:graphic>
          </wp:anchor>
        </w:drawing>
      </w:r>
    </w:p>
    <w:p>
      <w:pPr>
        <w:spacing w:after="0" w:line="285" w:lineRule="exact"/>
        <w:rPr>
          <w:sz w:val="24"/>
          <w:szCs w:val="24"/>
          <w:color w:val="auto"/>
        </w:rPr>
      </w:pPr>
    </w:p>
    <w:p>
      <w:pPr>
        <w:spacing w:after="0"/>
        <w:rPr>
          <w:rFonts w:ascii="Arial" w:cs="Arial" w:eastAsia="Arial" w:hAnsi="Arial"/>
          <w:sz w:val="12"/>
          <w:szCs w:val="12"/>
          <w:color w:val="0000EE"/>
        </w:rPr>
      </w:pPr>
      <w:hyperlink w:anchor="page1">
        <w:r>
          <w:rPr>
            <w:rFonts w:ascii="Arial" w:cs="Arial" w:eastAsia="Arial" w:hAnsi="Arial"/>
            <w:sz w:val="12"/>
            <w:szCs w:val="12"/>
            <w:u w:val="single" w:color="auto"/>
            <w:color w:val="0000EE"/>
          </w:rPr>
          <w:t>1</w:t>
        </w:r>
      </w:hyperlink>
      <w:r>
        <w:rPr>
          <w:rFonts w:ascii="Arial" w:cs="Arial" w:eastAsia="Arial" w:hAnsi="Arial"/>
          <w:sz w:val="17"/>
          <w:szCs w:val="17"/>
          <w:color w:val="000000"/>
        </w:rPr>
        <w:t>A</w:t>
      </w:r>
      <w:r>
        <w:rPr>
          <w:rFonts w:ascii="Arial" w:cs="Arial" w:eastAsia="Arial" w:hAnsi="Arial"/>
          <w:sz w:val="12"/>
          <w:szCs w:val="12"/>
          <w:color w:val="0000EE"/>
        </w:rPr>
        <w:t xml:space="preserve"> </w:t>
      </w:r>
      <w:r>
        <w:rPr>
          <w:rFonts w:ascii="Arial" w:cs="Arial" w:eastAsia="Arial" w:hAnsi="Arial"/>
          <w:sz w:val="17"/>
          <w:szCs w:val="17"/>
          <w:color w:val="000000"/>
        </w:rPr>
        <w:t>filing for the Issuer was inadvertently filed on October 5, 2021 as an initial filing rather than a first amendment due to a clerical error.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445" w:right="4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CUSIP No.</w:t>
            </w:r>
          </w:p>
        </w:tc>
        <w:tc>
          <w:tcPr>
            <w:tcW w:w="2260" w:type="dxa"/>
            <w:vAlign w:val="bottom"/>
          </w:tcPr>
          <w:p>
            <w:pPr>
              <w:ind w:left="100"/>
              <w:spacing w:after="0"/>
              <w:rPr>
                <w:sz w:val="20"/>
                <w:szCs w:val="20"/>
                <w:color w:val="auto"/>
              </w:rPr>
            </w:pPr>
            <w:r>
              <w:rPr>
                <w:rFonts w:ascii="Arial" w:cs="Arial" w:eastAsia="Arial" w:hAnsi="Arial"/>
                <w:sz w:val="18"/>
                <w:szCs w:val="18"/>
                <w:color w:val="auto"/>
              </w:rPr>
              <w:t>36870G105</w:t>
            </w:r>
          </w:p>
        </w:tc>
      </w:tr>
      <w:tr>
        <w:trPr>
          <w:trHeight w:val="27"/>
        </w:trPr>
        <w:tc>
          <w:tcPr>
            <w:tcW w:w="114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bl>
    <w:p>
      <w:pPr>
        <w:spacing w:after="0" w:line="215" w:lineRule="exact"/>
        <w:rPr>
          <w:sz w:val="20"/>
          <w:szCs w:val="20"/>
          <w:color w:val="auto"/>
        </w:rPr>
      </w:pPr>
    </w:p>
    <w:p>
      <w:pPr>
        <w:ind w:left="900" w:hanging="89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36" w:lineRule="exact"/>
        <w:rPr>
          <w:rFonts w:ascii="Arial" w:cs="Arial" w:eastAsia="Arial" w:hAnsi="Arial"/>
          <w:sz w:val="18"/>
          <w:szCs w:val="18"/>
          <w:color w:val="auto"/>
        </w:rPr>
      </w:pPr>
    </w:p>
    <w:p>
      <w:pPr>
        <w:ind w:left="900" w:right="4120"/>
        <w:spacing w:after="0" w:line="56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Suvretta Capital Management, LLC</w:t>
      </w:r>
    </w:p>
    <w:p>
      <w:pPr>
        <w:ind w:left="900" w:hanging="89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120"/>
        <w:spacing w:after="0"/>
        <w:rPr>
          <w:sz w:val="20"/>
          <w:szCs w:val="20"/>
          <w:color w:val="auto"/>
        </w:rPr>
      </w:pPr>
      <w:r>
        <w:rPr>
          <w:rFonts w:ascii="Arial" w:cs="Arial" w:eastAsia="Arial" w:hAnsi="Arial"/>
          <w:sz w:val="18"/>
          <w:szCs w:val="18"/>
          <w:color w:val="auto"/>
        </w:rPr>
        <w:t>(a) [_]</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[_]</w:t>
      </w:r>
    </w:p>
    <w:p>
      <w:pPr>
        <w:spacing w:after="0" w:line="279" w:lineRule="exact"/>
        <w:rPr>
          <w:sz w:val="20"/>
          <w:szCs w:val="20"/>
          <w:color w:val="auto"/>
        </w:rPr>
      </w:pPr>
    </w:p>
    <w:p>
      <w:pPr>
        <w:ind w:left="900" w:hanging="89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900" w:right="6040" w:hanging="895"/>
        <w:spacing w:after="0" w:line="590"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0" w:lineRule="exact"/>
        <w:rPr>
          <w:sz w:val="20"/>
          <w:szCs w:val="20"/>
          <w:color w:val="auto"/>
        </w:rPr>
      </w:pPr>
    </w:p>
    <w:p>
      <w:pPr>
        <w:spacing w:after="0" w:line="213" w:lineRule="exact"/>
        <w:rPr>
          <w:sz w:val="20"/>
          <w:szCs w:val="20"/>
          <w:color w:val="auto"/>
        </w:rPr>
      </w:pPr>
    </w:p>
    <w:p>
      <w:pPr>
        <w:ind w:left="900" w:right="7860" w:hanging="895"/>
        <w:spacing w:after="0" w:line="563"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0</w:t>
      </w:r>
    </w:p>
    <w:p>
      <w:pPr>
        <w:ind w:left="900" w:right="7580" w:hanging="895"/>
        <w:spacing w:after="0" w:line="563"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 2,372,267</w:t>
      </w:r>
    </w:p>
    <w:p>
      <w:pPr>
        <w:ind w:left="900" w:right="7460" w:hanging="895"/>
        <w:spacing w:after="0" w:line="563"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900" w:right="7180" w:hanging="895"/>
        <w:spacing w:after="0" w:line="563"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2,372,267</w:t>
      </w:r>
    </w:p>
    <w:p>
      <w:pPr>
        <w:ind w:left="900" w:right="3160" w:hanging="895"/>
        <w:spacing w:after="0" w:line="54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2,372,267</w:t>
      </w:r>
    </w:p>
    <w:p>
      <w:pPr>
        <w:spacing w:after="0" w:line="1" w:lineRule="exact"/>
        <w:rPr>
          <w:sz w:val="20"/>
          <w:szCs w:val="20"/>
          <w:color w:val="auto"/>
        </w:rPr>
      </w:pPr>
    </w:p>
    <w:p>
      <w:pPr>
        <w:spacing w:after="0"/>
        <w:tabs>
          <w:tab w:leader="none" w:pos="880" w:val="left"/>
          <w:tab w:leader="none" w:pos="101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Arial" w:cs="Arial" w:eastAsia="Arial" w:hAnsi="Arial"/>
          <w:sz w:val="17"/>
          <w:szCs w:val="17"/>
          <w:color w:val="auto"/>
        </w:rPr>
        <w:t>[_]</w:t>
      </w:r>
    </w:p>
    <w:p>
      <w:pPr>
        <w:spacing w:after="0" w:line="252" w:lineRule="exact"/>
        <w:rPr>
          <w:sz w:val="20"/>
          <w:szCs w:val="20"/>
          <w:color w:val="auto"/>
        </w:rPr>
      </w:pPr>
    </w:p>
    <w:p>
      <w:pPr>
        <w:ind w:left="900" w:right="4660" w:hanging="895"/>
        <w:spacing w:after="0" w:line="563"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 5.5%</w:t>
      </w:r>
    </w:p>
    <w:p>
      <w:pPr>
        <w:ind w:left="900" w:right="5380" w:hanging="895"/>
        <w:spacing w:after="0" w:line="590"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 IA,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391795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20"/>
          </w:cols>
          <w:pgMar w:left="420" w:top="719" w:right="8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CUSIP No.</w:t>
            </w:r>
          </w:p>
        </w:tc>
        <w:tc>
          <w:tcPr>
            <w:tcW w:w="2260" w:type="dxa"/>
            <w:vAlign w:val="bottom"/>
          </w:tcPr>
          <w:p>
            <w:pPr>
              <w:ind w:left="100"/>
              <w:spacing w:after="0"/>
              <w:rPr>
                <w:sz w:val="20"/>
                <w:szCs w:val="20"/>
                <w:color w:val="auto"/>
              </w:rPr>
            </w:pPr>
            <w:r>
              <w:rPr>
                <w:rFonts w:ascii="Arial" w:cs="Arial" w:eastAsia="Arial" w:hAnsi="Arial"/>
                <w:sz w:val="18"/>
                <w:szCs w:val="18"/>
                <w:color w:val="auto"/>
              </w:rPr>
              <w:t>36870G105</w:t>
            </w:r>
          </w:p>
        </w:tc>
      </w:tr>
      <w:tr>
        <w:trPr>
          <w:trHeight w:val="27"/>
        </w:trPr>
        <w:tc>
          <w:tcPr>
            <w:tcW w:w="114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bl>
    <w:p>
      <w:pPr>
        <w:spacing w:after="0" w:line="215" w:lineRule="exact"/>
        <w:rPr>
          <w:sz w:val="20"/>
          <w:szCs w:val="20"/>
          <w:color w:val="auto"/>
        </w:rPr>
      </w:pPr>
    </w:p>
    <w:p>
      <w:pPr>
        <w:ind w:left="900" w:hanging="89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36" w:lineRule="exact"/>
        <w:rPr>
          <w:rFonts w:ascii="Arial" w:cs="Arial" w:eastAsia="Arial" w:hAnsi="Arial"/>
          <w:sz w:val="18"/>
          <w:szCs w:val="18"/>
          <w:color w:val="auto"/>
        </w:rPr>
      </w:pPr>
    </w:p>
    <w:p>
      <w:pPr>
        <w:ind w:left="900" w:right="3980"/>
        <w:spacing w:after="0" w:line="56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Averill Master Fund, Ltd.</w:t>
      </w:r>
    </w:p>
    <w:p>
      <w:pPr>
        <w:ind w:left="900" w:hanging="89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66" w:lineRule="exact"/>
        <w:rPr>
          <w:sz w:val="20"/>
          <w:szCs w:val="20"/>
          <w:color w:val="auto"/>
        </w:rPr>
      </w:pPr>
    </w:p>
    <w:p>
      <w:pPr>
        <w:ind w:left="10020"/>
        <w:spacing w:after="0"/>
        <w:rPr>
          <w:sz w:val="20"/>
          <w:szCs w:val="20"/>
          <w:color w:val="auto"/>
        </w:rPr>
      </w:pPr>
      <w:r>
        <w:rPr>
          <w:rFonts w:ascii="Arial" w:cs="Arial" w:eastAsia="Arial" w:hAnsi="Arial"/>
          <w:sz w:val="17"/>
          <w:szCs w:val="17"/>
          <w:color w:val="auto"/>
        </w:rPr>
        <w:t>(a) [_]</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[_]</w:t>
      </w:r>
    </w:p>
    <w:p>
      <w:pPr>
        <w:spacing w:after="0" w:line="251" w:lineRule="exact"/>
        <w:rPr>
          <w:sz w:val="20"/>
          <w:szCs w:val="20"/>
          <w:color w:val="auto"/>
        </w:rPr>
      </w:pPr>
    </w:p>
    <w:p>
      <w:pPr>
        <w:ind w:left="900" w:hanging="89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900" w:right="5900" w:hanging="895"/>
        <w:spacing w:after="0" w:line="590"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spacing w:after="0" w:line="200" w:lineRule="exact"/>
        <w:rPr>
          <w:sz w:val="20"/>
          <w:szCs w:val="20"/>
          <w:color w:val="auto"/>
        </w:rPr>
      </w:pPr>
    </w:p>
    <w:p>
      <w:pPr>
        <w:spacing w:after="0" w:line="213" w:lineRule="exact"/>
        <w:rPr>
          <w:sz w:val="20"/>
          <w:szCs w:val="20"/>
          <w:color w:val="auto"/>
        </w:rPr>
      </w:pPr>
    </w:p>
    <w:p>
      <w:pPr>
        <w:ind w:left="900" w:right="7720" w:hanging="895"/>
        <w:spacing w:after="0" w:line="563"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VOTING POWER 0</w:t>
      </w:r>
    </w:p>
    <w:p>
      <w:pPr>
        <w:ind w:left="900" w:right="7440" w:hanging="895"/>
        <w:spacing w:after="0" w:line="563"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VOTING POWER 2,372,267</w:t>
      </w:r>
    </w:p>
    <w:p>
      <w:pPr>
        <w:ind w:left="900" w:right="7320" w:hanging="895"/>
        <w:spacing w:after="0" w:line="563"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900" w:right="7040" w:hanging="895"/>
        <w:spacing w:after="0" w:line="563"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DISPOSITIVE POWER 2,372,267</w:t>
      </w:r>
    </w:p>
    <w:p>
      <w:pPr>
        <w:ind w:left="900" w:right="3020" w:hanging="895"/>
        <w:spacing w:after="0" w:line="54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2,372,267</w:t>
      </w:r>
    </w:p>
    <w:p>
      <w:pPr>
        <w:spacing w:after="0" w:line="1" w:lineRule="exact"/>
        <w:rPr>
          <w:rFonts w:ascii="Arial" w:cs="Arial" w:eastAsia="Arial" w:hAnsi="Arial"/>
          <w:sz w:val="18"/>
          <w:szCs w:val="18"/>
          <w:color w:val="auto"/>
        </w:rPr>
      </w:pPr>
    </w:p>
    <w:p>
      <w:pPr>
        <w:jc w:val="center"/>
        <w:ind w:left="5400" w:right="680" w:hanging="5395"/>
        <w:spacing w:after="0" w:line="277" w:lineRule="auto"/>
        <w:tabs>
          <w:tab w:leader="none" w:pos="902"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[_]</w:t>
      </w:r>
    </w:p>
    <w:p>
      <w:pPr>
        <w:spacing w:after="0" w:line="197" w:lineRule="exact"/>
        <w:rPr>
          <w:rFonts w:ascii="Arial" w:cs="Arial" w:eastAsia="Arial" w:hAnsi="Arial"/>
          <w:sz w:val="18"/>
          <w:szCs w:val="18"/>
          <w:color w:val="auto"/>
        </w:rPr>
      </w:pPr>
    </w:p>
    <w:p>
      <w:pPr>
        <w:ind w:left="900" w:right="4520" w:hanging="895"/>
        <w:spacing w:after="0" w:line="563"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 5.5%</w:t>
      </w:r>
    </w:p>
    <w:p>
      <w:pPr>
        <w:ind w:left="900" w:right="5240" w:hanging="895"/>
        <w:spacing w:after="0" w:line="590"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262890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480"/>
          </w:cols>
          <w:pgMar w:left="420" w:top="922" w:right="9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CUSIP No.</w:t>
            </w:r>
          </w:p>
        </w:tc>
        <w:tc>
          <w:tcPr>
            <w:tcW w:w="1700" w:type="dxa"/>
            <w:vAlign w:val="bottom"/>
          </w:tcPr>
          <w:p>
            <w:pPr>
              <w:ind w:left="100"/>
              <w:spacing w:after="0"/>
              <w:rPr>
                <w:sz w:val="20"/>
                <w:szCs w:val="20"/>
                <w:color w:val="auto"/>
              </w:rPr>
            </w:pPr>
            <w:r>
              <w:rPr>
                <w:rFonts w:ascii="Arial" w:cs="Arial" w:eastAsia="Arial" w:hAnsi="Arial"/>
                <w:sz w:val="18"/>
                <w:szCs w:val="18"/>
                <w:color w:val="auto"/>
              </w:rPr>
              <w:t>36870G105</w:t>
            </w:r>
          </w:p>
        </w:tc>
      </w:tr>
      <w:tr>
        <w:trPr>
          <w:trHeight w:val="27"/>
        </w:trPr>
        <w:tc>
          <w:tcPr>
            <w:tcW w:w="114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bl>
    <w:p>
      <w:pPr>
        <w:spacing w:after="0" w:line="215" w:lineRule="exact"/>
        <w:rPr>
          <w:sz w:val="20"/>
          <w:szCs w:val="20"/>
          <w:color w:val="auto"/>
        </w:rPr>
      </w:pPr>
    </w:p>
    <w:p>
      <w:pPr>
        <w:ind w:left="900" w:hanging="89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36" w:lineRule="exact"/>
        <w:rPr>
          <w:rFonts w:ascii="Arial" w:cs="Arial" w:eastAsia="Arial" w:hAnsi="Arial"/>
          <w:sz w:val="18"/>
          <w:szCs w:val="18"/>
          <w:color w:val="auto"/>
        </w:rPr>
      </w:pPr>
    </w:p>
    <w:p>
      <w:pPr>
        <w:ind w:left="900" w:right="4120"/>
        <w:spacing w:after="0" w:line="56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Aaron Cowen</w:t>
      </w:r>
    </w:p>
    <w:p>
      <w:pPr>
        <w:ind w:left="900" w:hanging="89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120"/>
        <w:spacing w:after="0"/>
        <w:rPr>
          <w:sz w:val="20"/>
          <w:szCs w:val="20"/>
          <w:color w:val="auto"/>
        </w:rPr>
      </w:pPr>
      <w:r>
        <w:rPr>
          <w:rFonts w:ascii="Arial" w:cs="Arial" w:eastAsia="Arial" w:hAnsi="Arial"/>
          <w:sz w:val="18"/>
          <w:szCs w:val="18"/>
          <w:color w:val="auto"/>
        </w:rPr>
        <w:t>(a) [_]</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[_]</w:t>
      </w:r>
    </w:p>
    <w:p>
      <w:pPr>
        <w:spacing w:after="0" w:line="279" w:lineRule="exact"/>
        <w:rPr>
          <w:sz w:val="20"/>
          <w:szCs w:val="20"/>
          <w:color w:val="auto"/>
        </w:rPr>
      </w:pPr>
    </w:p>
    <w:p>
      <w:pPr>
        <w:ind w:left="900" w:hanging="89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900" w:hanging="89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900" w:right="7860" w:hanging="895"/>
        <w:spacing w:after="0" w:line="563"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VOTING POWER 0</w:t>
      </w:r>
    </w:p>
    <w:p>
      <w:pPr>
        <w:ind w:left="900" w:right="7580" w:hanging="895"/>
        <w:spacing w:after="0" w:line="563"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VOTING POWER 2,372,267</w:t>
      </w:r>
    </w:p>
    <w:p>
      <w:pPr>
        <w:ind w:left="900" w:right="7460" w:hanging="895"/>
        <w:spacing w:after="0" w:line="563"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900" w:right="7180" w:hanging="895"/>
        <w:spacing w:after="0" w:line="563"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DISPOSITIVE POWER 2,372,267</w:t>
      </w:r>
    </w:p>
    <w:p>
      <w:pPr>
        <w:ind w:left="900" w:right="3160" w:hanging="895"/>
        <w:spacing w:after="0" w:line="54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2,372,267</w:t>
      </w:r>
    </w:p>
    <w:p>
      <w:pPr>
        <w:spacing w:after="0" w:line="1" w:lineRule="exact"/>
        <w:rPr>
          <w:sz w:val="20"/>
          <w:szCs w:val="20"/>
          <w:color w:val="auto"/>
        </w:rPr>
      </w:pPr>
    </w:p>
    <w:p>
      <w:pPr>
        <w:spacing w:after="0"/>
        <w:tabs>
          <w:tab w:leader="none" w:pos="880" w:val="left"/>
          <w:tab w:leader="none" w:pos="101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Arial" w:cs="Arial" w:eastAsia="Arial" w:hAnsi="Arial"/>
          <w:sz w:val="17"/>
          <w:szCs w:val="17"/>
          <w:color w:val="auto"/>
        </w:rPr>
        <w:t>[_]</w:t>
      </w:r>
    </w:p>
    <w:p>
      <w:pPr>
        <w:spacing w:after="0" w:line="252" w:lineRule="exact"/>
        <w:rPr>
          <w:sz w:val="20"/>
          <w:szCs w:val="20"/>
          <w:color w:val="auto"/>
        </w:rPr>
      </w:pPr>
    </w:p>
    <w:p>
      <w:pPr>
        <w:ind w:left="900" w:right="4660" w:hanging="895"/>
        <w:spacing w:after="0" w:line="563"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 REPRESENTED BY AMOUNT IN ROW (9) 5.5%</w:t>
      </w:r>
    </w:p>
    <w:p>
      <w:pPr>
        <w:ind w:left="900" w:right="5380" w:hanging="895"/>
        <w:spacing w:after="0" w:line="590"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546100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20"/>
          </w:cols>
          <w:pgMar w:left="420" w:top="1097" w:right="859" w:bottom="1440" w:gutter="0" w:footer="0" w:header="0"/>
        </w:sectPr>
      </w:pPr>
    </w:p>
    <w:bookmarkStart w:id="4" w:name="page5"/>
    <w:bookmarkEnd w:id="4"/>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CUSIP No.</w:t>
            </w: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700" w:type="dxa"/>
            <w:vAlign w:val="bottom"/>
            <w:gridSpan w:val="5"/>
          </w:tcPr>
          <w:p>
            <w:pPr>
              <w:ind w:left="40"/>
              <w:spacing w:after="0"/>
              <w:rPr>
                <w:sz w:val="20"/>
                <w:szCs w:val="20"/>
                <w:color w:val="auto"/>
              </w:rPr>
            </w:pPr>
            <w:r>
              <w:rPr>
                <w:rFonts w:ascii="Arial" w:cs="Arial" w:eastAsia="Arial" w:hAnsi="Arial"/>
                <w:sz w:val="18"/>
                <w:szCs w:val="18"/>
                <w:color w:val="auto"/>
              </w:rPr>
              <w:t>36870G105</w:t>
            </w:r>
          </w:p>
        </w:tc>
      </w:tr>
      <w:tr>
        <w:trPr>
          <w:trHeight w:val="27"/>
        </w:trPr>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7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453"/>
        </w:trPr>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(a).</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0" w:type="dxa"/>
            <w:vAlign w:val="bottom"/>
            <w:gridSpan w:val="3"/>
          </w:tcPr>
          <w:p>
            <w:pPr>
              <w:ind w:left="100"/>
              <w:spacing w:after="0"/>
              <w:rPr>
                <w:sz w:val="20"/>
                <w:szCs w:val="20"/>
                <w:color w:val="auto"/>
              </w:rPr>
            </w:pPr>
            <w:r>
              <w:rPr>
                <w:rFonts w:ascii="Arial" w:cs="Arial" w:eastAsia="Arial" w:hAnsi="Arial"/>
                <w:sz w:val="18"/>
                <w:szCs w:val="18"/>
                <w:color w:val="auto"/>
              </w:rPr>
              <w:t>Name of Issuer:</w:t>
            </w:r>
          </w:p>
        </w:tc>
      </w:tr>
      <w:tr>
        <w:trPr>
          <w:trHeight w:val="459"/>
        </w:trPr>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0" w:type="dxa"/>
            <w:vAlign w:val="bottom"/>
            <w:gridSpan w:val="3"/>
          </w:tcPr>
          <w:p>
            <w:pPr>
              <w:ind w:left="100"/>
              <w:spacing w:after="0"/>
              <w:rPr>
                <w:sz w:val="20"/>
                <w:szCs w:val="20"/>
                <w:color w:val="auto"/>
              </w:rPr>
            </w:pPr>
            <w:r>
              <w:rPr>
                <w:rFonts w:ascii="Arial" w:cs="Arial" w:eastAsia="Arial" w:hAnsi="Arial"/>
                <w:sz w:val="18"/>
                <w:szCs w:val="18"/>
                <w:color w:val="auto"/>
              </w:rPr>
              <w:t>Gemini Therapeutics, Inc.</w:t>
            </w:r>
          </w:p>
        </w:tc>
      </w:tr>
      <w:tr>
        <w:trPr>
          <w:trHeight w:val="27"/>
        </w:trPr>
        <w:tc>
          <w:tcPr>
            <w:tcW w:w="9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1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453"/>
        </w:trPr>
        <w:tc>
          <w:tcPr>
            <w:tcW w:w="980" w:type="dxa"/>
            <w:vAlign w:val="bottom"/>
          </w:tcPr>
          <w:p>
            <w:pPr>
              <w:spacing w:after="0"/>
              <w:rPr>
                <w:sz w:val="24"/>
                <w:szCs w:val="24"/>
                <w:color w:val="auto"/>
              </w:rPr>
            </w:pP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(b).</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0" w:type="dxa"/>
            <w:vAlign w:val="bottom"/>
            <w:gridSpan w:val="3"/>
          </w:tcPr>
          <w:p>
            <w:pPr>
              <w:ind w:left="100"/>
              <w:spacing w:after="0"/>
              <w:rPr>
                <w:sz w:val="20"/>
                <w:szCs w:val="20"/>
                <w:color w:val="auto"/>
              </w:rPr>
            </w:pPr>
            <w:r>
              <w:rPr>
                <w:rFonts w:ascii="Arial" w:cs="Arial" w:eastAsia="Arial" w:hAnsi="Arial"/>
                <w:sz w:val="18"/>
                <w:szCs w:val="18"/>
                <w:color w:val="auto"/>
              </w:rPr>
              <w:t>Address of Issuer's Principal Executive Offices:</w:t>
            </w:r>
          </w:p>
        </w:tc>
      </w:tr>
      <w:tr>
        <w:trPr>
          <w:trHeight w:val="512"/>
        </w:trPr>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0" w:type="dxa"/>
            <w:vAlign w:val="bottom"/>
            <w:gridSpan w:val="3"/>
          </w:tcPr>
          <w:p>
            <w:pPr>
              <w:ind w:left="100"/>
              <w:spacing w:after="0"/>
              <w:rPr>
                <w:sz w:val="20"/>
                <w:szCs w:val="20"/>
                <w:color w:val="auto"/>
              </w:rPr>
            </w:pPr>
            <w:r>
              <w:rPr>
                <w:rFonts w:ascii="Arial" w:cs="Arial" w:eastAsia="Arial" w:hAnsi="Arial"/>
                <w:sz w:val="18"/>
                <w:szCs w:val="18"/>
                <w:color w:val="auto"/>
              </w:rPr>
              <w:t>300 One Kendall Square, 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Floor</w:t>
            </w:r>
          </w:p>
        </w:tc>
      </w:tr>
      <w:tr>
        <w:trPr>
          <w:trHeight w:val="230"/>
        </w:trPr>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0" w:type="dxa"/>
            <w:vAlign w:val="bottom"/>
            <w:gridSpan w:val="3"/>
          </w:tcPr>
          <w:p>
            <w:pPr>
              <w:ind w:left="100"/>
              <w:spacing w:after="0"/>
              <w:rPr>
                <w:sz w:val="20"/>
                <w:szCs w:val="20"/>
                <w:color w:val="auto"/>
              </w:rPr>
            </w:pPr>
            <w:r>
              <w:rPr>
                <w:rFonts w:ascii="Arial" w:cs="Arial" w:eastAsia="Arial" w:hAnsi="Arial"/>
                <w:sz w:val="18"/>
                <w:szCs w:val="18"/>
                <w:color w:val="auto"/>
              </w:rPr>
              <w:t>Cambridge, MA 02139</w:t>
            </w:r>
          </w:p>
        </w:tc>
      </w:tr>
      <w:tr>
        <w:trPr>
          <w:trHeight w:val="459"/>
        </w:trPr>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
        </w:trPr>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bl>
    <w:p>
      <w:pPr>
        <w:spacing w:after="0" w:line="200" w:lineRule="exact"/>
        <w:rPr>
          <w:sz w:val="20"/>
          <w:szCs w:val="20"/>
          <w:color w:val="auto"/>
        </w:rPr>
      </w:pPr>
    </w:p>
    <w:p>
      <w:pPr>
        <w:sectPr>
          <w:pgSz w:w="11900" w:h="16922" w:orient="portrait"/>
          <w:cols w:equalWidth="0" w:num="1">
            <w:col w:w="11140"/>
          </w:cols>
          <w:pgMar w:left="420" w:top="962" w:right="339" w:bottom="0" w:gutter="0" w:footer="0" w:header="0"/>
        </w:sectPr>
      </w:pPr>
    </w:p>
    <w:p>
      <w:pPr>
        <w:spacing w:after="0" w:line="29"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(a) –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Name, Principal Business Address, and Citizenship of Persons Filing</w:t>
      </w:r>
      <w:r>
        <w:rPr>
          <w:rFonts w:ascii="Arial" w:cs="Arial" w:eastAsia="Arial" w:hAnsi="Arial"/>
          <w:sz w:val="19"/>
          <w:szCs w:val="19"/>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Suvretta Capital Management, LLC – 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Averill Master Fund, Ltd. – Cayman Islands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Aaron Cowen –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142875</wp:posOffset>
            </wp:positionV>
            <wp:extent cx="59150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Suvretta Capital Management,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540 Madison Avenue, 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of America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Averill Master Fund,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Maples Corporate Services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309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Ugland House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Cayman KY1-1104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Aaron Cowen: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Suvretta Capital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540 Madison Avenue, 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5715</wp:posOffset>
            </wp:positionV>
            <wp:extent cx="59150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0"/>
          <w:szCs w:val="20"/>
          <w:color w:val="auto"/>
        </w:rPr>
      </w:pPr>
    </w:p>
    <w:p>
      <w:pPr>
        <w:sectPr>
          <w:pgSz w:w="11900" w:h="16922" w:orient="portrait"/>
          <w:cols w:equalWidth="0" w:num="2">
            <w:col w:w="1620" w:space="200"/>
            <w:col w:w="9320"/>
          </w:cols>
          <w:pgMar w:left="420" w:top="962" w:right="339" w:bottom="0" w:gutter="0" w:footer="0" w:header="0"/>
          <w:type w:val="continuous"/>
        </w:sectPr>
      </w:pPr>
    </w:p>
    <w:p>
      <w:pPr>
        <w:spacing w:after="0" w:line="7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Common stock, par value $0.0001 per share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1090295</wp:posOffset>
            </wp:positionH>
            <wp:positionV relativeFrom="paragraph">
              <wp:posOffset>31750</wp:posOffset>
            </wp:positionV>
            <wp:extent cx="59150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pacing w:after="0" w:line="273" w:lineRule="exact"/>
        <w:rPr>
          <w:sz w:val="20"/>
          <w:szCs w:val="20"/>
          <w:color w:val="auto"/>
        </w:rPr>
      </w:pPr>
    </w:p>
    <w:p>
      <w:pPr>
        <w:ind w:left="1040"/>
        <w:spacing w:after="0"/>
        <w:tabs>
          <w:tab w:leader="none" w:pos="180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6"/>
          <w:szCs w:val="16"/>
          <w:color w:val="auto"/>
        </w:rPr>
        <w:t>CUSIP Number:</w:t>
      </w:r>
    </w:p>
    <w:p>
      <w:pPr>
        <w:spacing w:after="0" w:line="27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36870G105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1090295</wp:posOffset>
            </wp:positionH>
            <wp:positionV relativeFrom="paragraph">
              <wp:posOffset>31750</wp:posOffset>
            </wp:positionV>
            <wp:extent cx="59150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pacing w:after="0" w:line="273"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ss.240.13d-1(b) or 240.13d-2(b), or (c), check whether the person filing is a</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820" w:hanging="573"/>
        <w:spacing w:after="0"/>
        <w:tabs>
          <w:tab w:leader="none" w:pos="1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[_]   Broker or dealer registered under Section 15 of the Exchange Act (15 U.S.C. 78c).</w:t>
      </w:r>
    </w:p>
    <w:p>
      <w:pPr>
        <w:spacing w:after="0" w:line="279" w:lineRule="exact"/>
        <w:rPr>
          <w:rFonts w:ascii="Arial" w:cs="Arial" w:eastAsia="Arial" w:hAnsi="Arial"/>
          <w:sz w:val="18"/>
          <w:szCs w:val="18"/>
          <w:color w:val="auto"/>
        </w:rPr>
      </w:pPr>
    </w:p>
    <w:p>
      <w:pPr>
        <w:ind w:left="1820" w:hanging="573"/>
        <w:spacing w:after="0"/>
        <w:tabs>
          <w:tab w:leader="none" w:pos="1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[_]   Bank as defined in Section 3(a)(6) of the Exchange Act (15 U.S.C. 78c).</w:t>
      </w:r>
    </w:p>
    <w:p>
      <w:pPr>
        <w:spacing w:after="0" w:line="279" w:lineRule="exact"/>
        <w:rPr>
          <w:rFonts w:ascii="Arial" w:cs="Arial" w:eastAsia="Arial" w:hAnsi="Arial"/>
          <w:sz w:val="18"/>
          <w:szCs w:val="18"/>
          <w:color w:val="auto"/>
        </w:rPr>
      </w:pPr>
    </w:p>
    <w:p>
      <w:pPr>
        <w:ind w:left="1820" w:hanging="573"/>
        <w:spacing w:after="0"/>
        <w:tabs>
          <w:tab w:leader="none" w:pos="1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[_]   Insurance company as defined in Section 3(a)(19) of the Exchange Act (15 U.S.C. 78c).</w:t>
      </w:r>
    </w:p>
    <w:p>
      <w:pPr>
        <w:spacing w:after="0" w:line="279" w:lineRule="exact"/>
        <w:rPr>
          <w:rFonts w:ascii="Arial" w:cs="Arial" w:eastAsia="Arial" w:hAnsi="Arial"/>
          <w:sz w:val="18"/>
          <w:szCs w:val="18"/>
          <w:color w:val="auto"/>
        </w:rPr>
      </w:pPr>
    </w:p>
    <w:p>
      <w:pPr>
        <w:ind w:left="1820" w:hanging="573"/>
        <w:spacing w:after="0"/>
        <w:tabs>
          <w:tab w:leader="none" w:pos="1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[_]   Investment company registered under Section 8 of the Investment Company Act of 1940 (15 U.S.C. 80a-8).</w:t>
      </w:r>
    </w:p>
    <w:p>
      <w:pPr>
        <w:spacing w:after="0" w:line="279" w:lineRule="exact"/>
        <w:rPr>
          <w:rFonts w:ascii="Arial" w:cs="Arial" w:eastAsia="Arial" w:hAnsi="Arial"/>
          <w:sz w:val="18"/>
          <w:szCs w:val="18"/>
          <w:color w:val="auto"/>
        </w:rPr>
      </w:pPr>
    </w:p>
    <w:p>
      <w:pPr>
        <w:ind w:left="1820" w:hanging="573"/>
        <w:spacing w:after="0"/>
        <w:tabs>
          <w:tab w:leader="none" w:pos="1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[_]   An investment adviser in accordance with § 240.13d-1(b)(1)(ii)(E);</w:t>
      </w:r>
    </w:p>
    <w:p>
      <w:pPr>
        <w:spacing w:after="0" w:line="279" w:lineRule="exact"/>
        <w:rPr>
          <w:rFonts w:ascii="Arial" w:cs="Arial" w:eastAsia="Arial" w:hAnsi="Arial"/>
          <w:sz w:val="18"/>
          <w:szCs w:val="18"/>
          <w:color w:val="auto"/>
        </w:rPr>
      </w:pPr>
    </w:p>
    <w:p>
      <w:pPr>
        <w:ind w:left="1820" w:hanging="573"/>
        <w:spacing w:after="0"/>
        <w:tabs>
          <w:tab w:leader="none" w:pos="1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[_]   An employee benefit plan or endowment fund in accordance with § 240.13d-1(b)(1)(ii)(F);</w:t>
      </w:r>
    </w:p>
    <w:p>
      <w:pPr>
        <w:spacing w:after="0" w:line="279" w:lineRule="exact"/>
        <w:rPr>
          <w:rFonts w:ascii="Arial" w:cs="Arial" w:eastAsia="Arial" w:hAnsi="Arial"/>
          <w:sz w:val="18"/>
          <w:szCs w:val="18"/>
          <w:color w:val="auto"/>
        </w:rPr>
      </w:pPr>
    </w:p>
    <w:p>
      <w:pPr>
        <w:ind w:left="1820" w:hanging="573"/>
        <w:spacing w:after="0"/>
        <w:tabs>
          <w:tab w:leader="none" w:pos="1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[_]   A parent holding company or control person in accordance with Rule 13d-1(b)(1)(ii)(G);</w:t>
      </w:r>
    </w:p>
    <w:p>
      <w:pPr>
        <w:spacing w:after="0" w:line="279" w:lineRule="exact"/>
        <w:rPr>
          <w:rFonts w:ascii="Arial" w:cs="Arial" w:eastAsia="Arial" w:hAnsi="Arial"/>
          <w:sz w:val="18"/>
          <w:szCs w:val="18"/>
          <w:color w:val="auto"/>
        </w:rPr>
      </w:pPr>
    </w:p>
    <w:p>
      <w:pPr>
        <w:ind w:left="1820" w:hanging="573"/>
        <w:spacing w:after="0"/>
        <w:tabs>
          <w:tab w:leader="none" w:pos="1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[_]   A savings association as defined in Section 3(b) of the Federal Deposit Insurance Act (12 U.S.C.1813);</w:t>
      </w:r>
    </w:p>
    <w:p>
      <w:pPr>
        <w:spacing w:after="0" w:line="279" w:lineRule="exact"/>
        <w:rPr>
          <w:rFonts w:ascii="Arial" w:cs="Arial" w:eastAsia="Arial" w:hAnsi="Arial"/>
          <w:sz w:val="18"/>
          <w:szCs w:val="18"/>
          <w:color w:val="auto"/>
        </w:rPr>
      </w:pPr>
    </w:p>
    <w:p>
      <w:pPr>
        <w:ind w:left="2260" w:right="360" w:hanging="1013"/>
        <w:spacing w:after="0" w:line="277" w:lineRule="auto"/>
        <w:tabs>
          <w:tab w:leader="none" w:pos="18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[_] A church plan that is excluded from the definition of an investment company under Section 3(c)(14) of the Investment Company Act of 1940 (15 U.S.C. 80a-3);</w:t>
      </w:r>
    </w:p>
    <w:p>
      <w:pPr>
        <w:sectPr>
          <w:pgSz w:w="11900" w:h="16922" w:orient="portrait"/>
          <w:cols w:equalWidth="0" w:num="1">
            <w:col w:w="11140"/>
          </w:cols>
          <w:pgMar w:left="420" w:top="962" w:right="339" w:bottom="0" w:gutter="0" w:footer="0" w:header="0"/>
          <w:type w:val="continuous"/>
        </w:sectPr>
      </w:pPr>
    </w:p>
    <w:bookmarkStart w:id="5" w:name="page6"/>
    <w:bookmarkEnd w:id="5"/>
    <w:p>
      <w:pPr>
        <w:ind w:left="800" w:hanging="573"/>
        <w:spacing w:after="0"/>
        <w:tabs>
          <w:tab w:leader="none" w:pos="8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[_]   Group, in accordance with s.240.13d-1(b)(1)(ii)(J).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330835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6" w:name="page7"/>
    <w:bookmarkEnd w:id="6"/>
    <w:p>
      <w:pPr>
        <w:spacing w:after="0"/>
        <w:tabs>
          <w:tab w:leader="none" w:pos="10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52" w:lineRule="exact"/>
        <w:rPr>
          <w:sz w:val="20"/>
          <w:szCs w:val="20"/>
          <w:color w:val="auto"/>
        </w:rPr>
      </w:pPr>
    </w:p>
    <w:p>
      <w:pPr>
        <w:ind w:left="74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48" w:lineRule="exact"/>
        <w:rPr>
          <w:sz w:val="20"/>
          <w:szCs w:val="20"/>
          <w:color w:val="auto"/>
        </w:rPr>
      </w:pPr>
    </w:p>
    <w:p>
      <w:pPr>
        <w:ind w:left="1440" w:hanging="665"/>
        <w:spacing w:after="0"/>
        <w:tabs>
          <w:tab w:leader="none" w:pos="1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79"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Suvretta Capital Management, LLC – 2,372,267</w:t>
      </w:r>
    </w:p>
    <w:p>
      <w:pPr>
        <w:spacing w:after="0" w:line="49" w:lineRule="exact"/>
        <w:rPr>
          <w:rFonts w:ascii="Arial" w:cs="Arial" w:eastAsia="Arial" w:hAnsi="Arial"/>
          <w:sz w:val="18"/>
          <w:szCs w:val="18"/>
          <w:color w:val="auto"/>
        </w:rPr>
      </w:pPr>
    </w:p>
    <w:p>
      <w:pPr>
        <w:ind w:left="1440" w:right="6660"/>
        <w:spacing w:after="0" w:line="377" w:lineRule="auto"/>
        <w:rPr>
          <w:rFonts w:ascii="Arial" w:cs="Arial" w:eastAsia="Arial" w:hAnsi="Arial"/>
          <w:sz w:val="18"/>
          <w:szCs w:val="18"/>
          <w:color w:val="auto"/>
        </w:rPr>
      </w:pPr>
      <w:r>
        <w:rPr>
          <w:rFonts w:ascii="Arial" w:cs="Arial" w:eastAsia="Arial" w:hAnsi="Arial"/>
          <w:sz w:val="16"/>
          <w:szCs w:val="16"/>
          <w:color w:val="auto"/>
        </w:rPr>
        <w:t>Averill Master Fund, Ltd. – 2,372,267 Aaron Cowen – 2,372,267</w:t>
      </w:r>
    </w:p>
    <w:p>
      <w:pPr>
        <w:spacing w:after="0" w:line="150" w:lineRule="exact"/>
        <w:rPr>
          <w:rFonts w:ascii="Arial" w:cs="Arial" w:eastAsia="Arial" w:hAnsi="Arial"/>
          <w:sz w:val="18"/>
          <w:szCs w:val="18"/>
          <w:color w:val="auto"/>
        </w:rPr>
      </w:pPr>
    </w:p>
    <w:p>
      <w:pPr>
        <w:ind w:left="1440" w:hanging="665"/>
        <w:spacing w:after="0"/>
        <w:tabs>
          <w:tab w:leader="none" w:pos="1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79"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Suvretta Capital Management, LLC – 5.5%</w:t>
      </w:r>
    </w:p>
    <w:p>
      <w:pPr>
        <w:spacing w:after="0" w:line="49" w:lineRule="exact"/>
        <w:rPr>
          <w:rFonts w:ascii="Arial" w:cs="Arial" w:eastAsia="Arial" w:hAnsi="Arial"/>
          <w:sz w:val="18"/>
          <w:szCs w:val="18"/>
          <w:color w:val="auto"/>
        </w:rPr>
      </w:pPr>
    </w:p>
    <w:p>
      <w:pPr>
        <w:ind w:left="1440" w:right="7000"/>
        <w:spacing w:after="0" w:line="308" w:lineRule="auto"/>
        <w:rPr>
          <w:rFonts w:ascii="Arial" w:cs="Arial" w:eastAsia="Arial" w:hAnsi="Arial"/>
          <w:sz w:val="18"/>
          <w:szCs w:val="18"/>
          <w:color w:val="auto"/>
        </w:rPr>
      </w:pPr>
      <w:r>
        <w:rPr>
          <w:rFonts w:ascii="Arial" w:cs="Arial" w:eastAsia="Arial" w:hAnsi="Arial"/>
          <w:sz w:val="18"/>
          <w:szCs w:val="18"/>
          <w:color w:val="auto"/>
        </w:rPr>
        <w:t>Averill Master Fund, Ltd. – 5.5% Aaron Cowen – 5.5%</w:t>
      </w:r>
    </w:p>
    <w:p>
      <w:pPr>
        <w:spacing w:after="0" w:line="373" w:lineRule="exact"/>
        <w:rPr>
          <w:rFonts w:ascii="Arial" w:cs="Arial" w:eastAsia="Arial" w:hAnsi="Arial"/>
          <w:sz w:val="18"/>
          <w:szCs w:val="18"/>
          <w:color w:val="auto"/>
        </w:rPr>
      </w:pPr>
    </w:p>
    <w:p>
      <w:pPr>
        <w:ind w:left="1440" w:hanging="665"/>
        <w:spacing w:after="0"/>
        <w:tabs>
          <w:tab w:leader="none" w:pos="1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79" w:lineRule="exact"/>
        <w:rPr>
          <w:rFonts w:ascii="Arial" w:cs="Arial" w:eastAsia="Arial" w:hAnsi="Arial"/>
          <w:sz w:val="18"/>
          <w:szCs w:val="18"/>
          <w:color w:val="auto"/>
        </w:rPr>
      </w:pPr>
    </w:p>
    <w:p>
      <w:pPr>
        <w:ind w:left="2160" w:hanging="724"/>
        <w:spacing w:after="0"/>
        <w:tabs>
          <w:tab w:leader="none" w:pos="21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79" w:lineRule="exact"/>
        <w:rPr>
          <w:rFonts w:ascii="Arial" w:cs="Arial" w:eastAsia="Arial" w:hAnsi="Arial"/>
          <w:sz w:val="18"/>
          <w:szCs w:val="18"/>
          <w:color w:val="auto"/>
        </w:rPr>
      </w:pPr>
    </w:p>
    <w:p>
      <w:pPr>
        <w:ind w:left="2160"/>
        <w:spacing w:after="0"/>
        <w:rPr>
          <w:rFonts w:ascii="Arial" w:cs="Arial" w:eastAsia="Arial" w:hAnsi="Arial"/>
          <w:sz w:val="18"/>
          <w:szCs w:val="18"/>
          <w:color w:val="auto"/>
        </w:rPr>
      </w:pPr>
      <w:r>
        <w:rPr>
          <w:rFonts w:ascii="Arial" w:cs="Arial" w:eastAsia="Arial" w:hAnsi="Arial"/>
          <w:sz w:val="18"/>
          <w:szCs w:val="18"/>
          <w:color w:val="auto"/>
        </w:rPr>
        <w:t>Suvretta Capital Management, LLC – 0</w:t>
      </w:r>
    </w:p>
    <w:p>
      <w:pPr>
        <w:spacing w:after="0" w:line="49" w:lineRule="exact"/>
        <w:rPr>
          <w:rFonts w:ascii="Arial" w:cs="Arial" w:eastAsia="Arial" w:hAnsi="Arial"/>
          <w:sz w:val="18"/>
          <w:szCs w:val="18"/>
          <w:color w:val="auto"/>
        </w:rPr>
      </w:pPr>
    </w:p>
    <w:p>
      <w:pPr>
        <w:ind w:left="2160" w:right="6560"/>
        <w:spacing w:after="0" w:line="308" w:lineRule="auto"/>
        <w:rPr>
          <w:rFonts w:ascii="Arial" w:cs="Arial" w:eastAsia="Arial" w:hAnsi="Arial"/>
          <w:sz w:val="18"/>
          <w:szCs w:val="18"/>
          <w:color w:val="auto"/>
        </w:rPr>
      </w:pPr>
      <w:r>
        <w:rPr>
          <w:rFonts w:ascii="Arial" w:cs="Arial" w:eastAsia="Arial" w:hAnsi="Arial"/>
          <w:sz w:val="18"/>
          <w:szCs w:val="18"/>
          <w:color w:val="auto"/>
        </w:rPr>
        <w:t>Averill Master Fund, Ltd. – 0 Aaron Cowen – 0</w:t>
      </w:r>
    </w:p>
    <w:p>
      <w:pPr>
        <w:spacing w:after="0" w:line="197" w:lineRule="exact"/>
        <w:rPr>
          <w:rFonts w:ascii="Arial" w:cs="Arial" w:eastAsia="Arial" w:hAnsi="Arial"/>
          <w:sz w:val="18"/>
          <w:szCs w:val="18"/>
          <w:color w:val="auto"/>
        </w:rPr>
      </w:pPr>
    </w:p>
    <w:p>
      <w:pPr>
        <w:ind w:left="2160" w:hanging="724"/>
        <w:spacing w:after="0"/>
        <w:tabs>
          <w:tab w:leader="none" w:pos="21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79" w:lineRule="exact"/>
        <w:rPr>
          <w:rFonts w:ascii="Arial" w:cs="Arial" w:eastAsia="Arial" w:hAnsi="Arial"/>
          <w:sz w:val="18"/>
          <w:szCs w:val="18"/>
          <w:color w:val="auto"/>
        </w:rPr>
      </w:pPr>
    </w:p>
    <w:p>
      <w:pPr>
        <w:ind w:left="2140"/>
        <w:spacing w:after="0"/>
        <w:rPr>
          <w:rFonts w:ascii="Arial" w:cs="Arial" w:eastAsia="Arial" w:hAnsi="Arial"/>
          <w:sz w:val="18"/>
          <w:szCs w:val="18"/>
          <w:color w:val="auto"/>
        </w:rPr>
      </w:pPr>
      <w:r>
        <w:rPr>
          <w:rFonts w:ascii="Arial" w:cs="Arial" w:eastAsia="Arial" w:hAnsi="Arial"/>
          <w:sz w:val="18"/>
          <w:szCs w:val="18"/>
          <w:color w:val="auto"/>
        </w:rPr>
        <w:t>Suvretta Capital Management, LLC – 2,372,267</w:t>
      </w:r>
    </w:p>
    <w:p>
      <w:pPr>
        <w:spacing w:after="0" w:line="49" w:lineRule="exact"/>
        <w:rPr>
          <w:rFonts w:ascii="Arial" w:cs="Arial" w:eastAsia="Arial" w:hAnsi="Arial"/>
          <w:sz w:val="18"/>
          <w:szCs w:val="18"/>
          <w:color w:val="auto"/>
        </w:rPr>
      </w:pPr>
    </w:p>
    <w:p>
      <w:pPr>
        <w:ind w:left="2140" w:right="5960"/>
        <w:spacing w:after="0" w:line="377" w:lineRule="auto"/>
        <w:rPr>
          <w:rFonts w:ascii="Arial" w:cs="Arial" w:eastAsia="Arial" w:hAnsi="Arial"/>
          <w:sz w:val="18"/>
          <w:szCs w:val="18"/>
          <w:color w:val="auto"/>
        </w:rPr>
      </w:pPr>
      <w:r>
        <w:rPr>
          <w:rFonts w:ascii="Arial" w:cs="Arial" w:eastAsia="Arial" w:hAnsi="Arial"/>
          <w:sz w:val="16"/>
          <w:szCs w:val="16"/>
          <w:color w:val="auto"/>
        </w:rPr>
        <w:t>Averill Master Fund, Ltd. – 2,372,267 Aaron Cowen – 2,372,267</w:t>
      </w:r>
    </w:p>
    <w:p>
      <w:pPr>
        <w:spacing w:after="0" w:line="150" w:lineRule="exact"/>
        <w:rPr>
          <w:rFonts w:ascii="Arial" w:cs="Arial" w:eastAsia="Arial" w:hAnsi="Arial"/>
          <w:sz w:val="18"/>
          <w:szCs w:val="18"/>
          <w:color w:val="auto"/>
        </w:rPr>
      </w:pPr>
    </w:p>
    <w:p>
      <w:pPr>
        <w:ind w:left="2160" w:hanging="724"/>
        <w:spacing w:after="0"/>
        <w:tabs>
          <w:tab w:leader="none" w:pos="21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79" w:lineRule="exact"/>
        <w:rPr>
          <w:rFonts w:ascii="Arial" w:cs="Arial" w:eastAsia="Arial" w:hAnsi="Arial"/>
          <w:sz w:val="18"/>
          <w:szCs w:val="18"/>
          <w:color w:val="auto"/>
        </w:rPr>
      </w:pPr>
    </w:p>
    <w:p>
      <w:pPr>
        <w:ind w:left="2160"/>
        <w:spacing w:after="0"/>
        <w:rPr>
          <w:rFonts w:ascii="Arial" w:cs="Arial" w:eastAsia="Arial" w:hAnsi="Arial"/>
          <w:sz w:val="18"/>
          <w:szCs w:val="18"/>
          <w:color w:val="auto"/>
        </w:rPr>
      </w:pPr>
      <w:r>
        <w:rPr>
          <w:rFonts w:ascii="Arial" w:cs="Arial" w:eastAsia="Arial" w:hAnsi="Arial"/>
          <w:sz w:val="18"/>
          <w:szCs w:val="18"/>
          <w:color w:val="auto"/>
        </w:rPr>
        <w:t>Suvretta Capital Management, LLC – 0</w:t>
      </w:r>
    </w:p>
    <w:p>
      <w:pPr>
        <w:spacing w:after="0" w:line="49" w:lineRule="exact"/>
        <w:rPr>
          <w:rFonts w:ascii="Arial" w:cs="Arial" w:eastAsia="Arial" w:hAnsi="Arial"/>
          <w:sz w:val="18"/>
          <w:szCs w:val="18"/>
          <w:color w:val="auto"/>
        </w:rPr>
      </w:pPr>
    </w:p>
    <w:p>
      <w:pPr>
        <w:ind w:left="2160" w:right="6560"/>
        <w:spacing w:after="0" w:line="308" w:lineRule="auto"/>
        <w:rPr>
          <w:rFonts w:ascii="Arial" w:cs="Arial" w:eastAsia="Arial" w:hAnsi="Arial"/>
          <w:sz w:val="18"/>
          <w:szCs w:val="18"/>
          <w:color w:val="auto"/>
        </w:rPr>
      </w:pPr>
      <w:r>
        <w:rPr>
          <w:rFonts w:ascii="Arial" w:cs="Arial" w:eastAsia="Arial" w:hAnsi="Arial"/>
          <w:sz w:val="18"/>
          <w:szCs w:val="18"/>
          <w:color w:val="auto"/>
        </w:rPr>
        <w:t>Averill Master Fund, Ltd. – 0 Aaron Cowen – 0</w:t>
      </w:r>
    </w:p>
    <w:p>
      <w:pPr>
        <w:spacing w:after="0" w:line="197" w:lineRule="exact"/>
        <w:rPr>
          <w:rFonts w:ascii="Arial" w:cs="Arial" w:eastAsia="Arial" w:hAnsi="Arial"/>
          <w:sz w:val="18"/>
          <w:szCs w:val="18"/>
          <w:color w:val="auto"/>
        </w:rPr>
      </w:pPr>
    </w:p>
    <w:p>
      <w:pPr>
        <w:ind w:left="2160" w:hanging="724"/>
        <w:spacing w:after="0"/>
        <w:tabs>
          <w:tab w:leader="none" w:pos="21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79" w:lineRule="exact"/>
        <w:rPr>
          <w:rFonts w:ascii="Arial" w:cs="Arial" w:eastAsia="Arial" w:hAnsi="Arial"/>
          <w:sz w:val="18"/>
          <w:szCs w:val="18"/>
          <w:color w:val="auto"/>
        </w:rPr>
      </w:pPr>
    </w:p>
    <w:p>
      <w:pPr>
        <w:ind w:left="2160"/>
        <w:spacing w:after="0"/>
        <w:rPr>
          <w:rFonts w:ascii="Arial" w:cs="Arial" w:eastAsia="Arial" w:hAnsi="Arial"/>
          <w:sz w:val="18"/>
          <w:szCs w:val="18"/>
          <w:color w:val="auto"/>
        </w:rPr>
      </w:pPr>
      <w:r>
        <w:rPr>
          <w:rFonts w:ascii="Arial" w:cs="Arial" w:eastAsia="Arial" w:hAnsi="Arial"/>
          <w:sz w:val="18"/>
          <w:szCs w:val="18"/>
          <w:color w:val="auto"/>
        </w:rPr>
        <w:t>Suvretta Capital Management, LLC – 2,372,267</w:t>
      </w:r>
    </w:p>
    <w:p>
      <w:pPr>
        <w:spacing w:after="0" w:line="49" w:lineRule="exact"/>
        <w:rPr>
          <w:rFonts w:ascii="Arial" w:cs="Arial" w:eastAsia="Arial" w:hAnsi="Arial"/>
          <w:sz w:val="18"/>
          <w:szCs w:val="18"/>
          <w:color w:val="auto"/>
        </w:rPr>
      </w:pPr>
    </w:p>
    <w:p>
      <w:pPr>
        <w:ind w:left="2160" w:right="5940"/>
        <w:spacing w:after="0" w:line="377" w:lineRule="auto"/>
        <w:rPr>
          <w:rFonts w:ascii="Arial" w:cs="Arial" w:eastAsia="Arial" w:hAnsi="Arial"/>
          <w:sz w:val="18"/>
          <w:szCs w:val="18"/>
          <w:color w:val="auto"/>
        </w:rPr>
      </w:pPr>
      <w:r>
        <w:rPr>
          <w:rFonts w:ascii="Arial" w:cs="Arial" w:eastAsia="Arial" w:hAnsi="Arial"/>
          <w:sz w:val="16"/>
          <w:szCs w:val="16"/>
          <w:color w:val="auto"/>
        </w:rPr>
        <w:t>Averill Master Fund, Ltd. – 2,372,267 Aaron Cowen – 2,372,267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1313180</wp:posOffset>
            </wp:positionH>
            <wp:positionV relativeFrom="paragraph">
              <wp:posOffset>-57150</wp:posOffset>
            </wp:positionV>
            <wp:extent cx="57607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-211455</wp:posOffset>
            </wp:positionV>
            <wp:extent cx="57607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-365760</wp:posOffset>
            </wp:positionV>
            <wp:extent cx="57607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-991870</wp:posOffset>
            </wp:positionV>
            <wp:extent cx="57607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-1146175</wp:posOffset>
            </wp:positionV>
            <wp:extent cx="57607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-1300480</wp:posOffset>
            </wp:positionV>
            <wp:extent cx="57607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-1925955</wp:posOffset>
            </wp:positionV>
            <wp:extent cx="57607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-2080260</wp:posOffset>
            </wp:positionV>
            <wp:extent cx="57607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-2234565</wp:posOffset>
            </wp:positionV>
            <wp:extent cx="57607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-2860675</wp:posOffset>
            </wp:positionV>
            <wp:extent cx="57607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-3014980</wp:posOffset>
            </wp:positionV>
            <wp:extent cx="57607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-3169285</wp:posOffset>
            </wp:positionV>
            <wp:extent cx="57607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-4215130</wp:posOffset>
            </wp:positionV>
            <wp:extent cx="62236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-4369435</wp:posOffset>
            </wp:positionV>
            <wp:extent cx="62236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-4523740</wp:posOffset>
            </wp:positionV>
            <wp:extent cx="62236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-5149215</wp:posOffset>
            </wp:positionV>
            <wp:extent cx="62236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-5303520</wp:posOffset>
            </wp:positionV>
            <wp:extent cx="62236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23635" cy="8890"/>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-5457825</wp:posOffset>
            </wp:positionV>
            <wp:extent cx="62236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23635" cy="8255"/>
                    </a:xfrm>
                    <a:prstGeom prst="rect">
                      <a:avLst/>
                    </a:prstGeom>
                    <a:noFill/>
                  </pic:spPr>
                </pic:pic>
              </a:graphicData>
            </a:graphic>
          </wp:anchor>
        </w:drawing>
      </w:r>
    </w:p>
    <w:p>
      <w:pPr>
        <w:spacing w:after="0" w:line="34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31750</wp:posOffset>
            </wp:positionV>
            <wp:extent cx="64890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657860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40"/>
          </w:cols>
          <w:pgMar w:left="420" w:top="1178" w:right="639" w:bottom="1440" w:gutter="0" w:footer="0" w:header="0"/>
        </w:sectPr>
      </w:pPr>
    </w:p>
    <w:bookmarkStart w:id="7" w:name="page8"/>
    <w:bookmarkEnd w:id="7"/>
    <w:p>
      <w:pPr>
        <w:spacing w:after="0"/>
        <w:tabs>
          <w:tab w:leader="none" w:pos="10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52" w:lineRule="exact"/>
        <w:rPr>
          <w:sz w:val="20"/>
          <w:szCs w:val="20"/>
          <w:color w:val="auto"/>
        </w:rPr>
      </w:pPr>
    </w:p>
    <w:p>
      <w:pPr>
        <w:ind w:right="80" w:firstLine="725"/>
        <w:spacing w:after="0" w:line="279" w:lineRule="auto"/>
        <w:rPr>
          <w:sz w:val="20"/>
          <w:szCs w:val="20"/>
          <w:color w:val="auto"/>
        </w:rPr>
      </w:pPr>
      <w:r>
        <w:rPr>
          <w:rFonts w:ascii="Arial" w:cs="Arial" w:eastAsia="Arial" w:hAnsi="Arial"/>
          <w:sz w:val="17"/>
          <w:szCs w:val="17"/>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9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31750</wp:posOffset>
            </wp:positionV>
            <wp:extent cx="64890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color w:val="auto"/>
        </w:rPr>
        <w:t>Identification and Classification of the Subsidiary Which Acquired the Security Being Reported on by the Parent Holding Company.</w:t>
      </w:r>
    </w:p>
    <w:p>
      <w:pPr>
        <w:spacing w:after="0" w:line="252" w:lineRule="exact"/>
        <w:rPr>
          <w:sz w:val="20"/>
          <w:szCs w:val="20"/>
          <w:color w:val="auto"/>
        </w:rPr>
      </w:pPr>
    </w:p>
    <w:p>
      <w:pPr>
        <w:ind w:firstLine="725"/>
        <w:spacing w:after="0" w:line="263" w:lineRule="auto"/>
        <w:rPr>
          <w:sz w:val="20"/>
          <w:szCs w:val="20"/>
          <w:color w:val="auto"/>
        </w:rPr>
      </w:pPr>
      <w:r>
        <w:rPr>
          <w:rFonts w:ascii="Arial" w:cs="Arial" w:eastAsia="Arial" w:hAnsi="Arial"/>
          <w:sz w:val="18"/>
          <w:szCs w:val="18"/>
          <w:color w:val="auto"/>
        </w:rPr>
        <w:t>If a parent holding company has filed this schedule, pursuant to Rule 13d-1(b)(1)(ii)(G),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1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See Exhibit B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31750</wp:posOffset>
            </wp:positionV>
            <wp:extent cx="64890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52" w:lineRule="exact"/>
        <w:rPr>
          <w:sz w:val="20"/>
          <w:szCs w:val="20"/>
          <w:color w:val="auto"/>
        </w:rPr>
      </w:pPr>
    </w:p>
    <w:p>
      <w:pPr>
        <w:ind w:right="120" w:firstLine="725"/>
        <w:spacing w:after="0" w:line="263"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1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31750</wp:posOffset>
            </wp:positionV>
            <wp:extent cx="64890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52" w:lineRule="exact"/>
        <w:rPr>
          <w:sz w:val="20"/>
          <w:szCs w:val="20"/>
          <w:color w:val="auto"/>
        </w:rPr>
      </w:pPr>
    </w:p>
    <w:p>
      <w:pPr>
        <w:ind w:right="300" w:firstLine="725"/>
        <w:spacing w:after="0" w:line="308" w:lineRule="auto"/>
        <w:rPr>
          <w:sz w:val="20"/>
          <w:szCs w:val="20"/>
          <w:color w:val="auto"/>
        </w:rPr>
      </w:pPr>
      <w:r>
        <w:rPr>
          <w:rFonts w:ascii="Arial" w:cs="Arial" w:eastAsia="Arial" w:hAnsi="Arial"/>
          <w:sz w:val="17"/>
          <w:szCs w:val="17"/>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7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31750</wp:posOffset>
            </wp:positionV>
            <wp:extent cx="64890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252" w:lineRule="exact"/>
        <w:rPr>
          <w:sz w:val="20"/>
          <w:szCs w:val="20"/>
          <w:color w:val="auto"/>
        </w:rPr>
      </w:pPr>
    </w:p>
    <w:p>
      <w:pPr>
        <w:ind w:left="1480" w:hanging="462"/>
        <w:spacing w:after="0"/>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§240.13d-1(c):</w:t>
      </w:r>
    </w:p>
    <w:p>
      <w:pPr>
        <w:spacing w:after="0" w:line="279" w:lineRule="exact"/>
        <w:rPr>
          <w:rFonts w:ascii="Arial" w:cs="Arial" w:eastAsia="Arial" w:hAnsi="Arial"/>
          <w:sz w:val="18"/>
          <w:szCs w:val="18"/>
          <w:color w:val="auto"/>
        </w:rPr>
      </w:pPr>
    </w:p>
    <w:p>
      <w:pPr>
        <w:ind w:left="1480" w:right="20"/>
        <w:spacing w:after="0" w:line="259" w:lineRule="auto"/>
        <w:rPr>
          <w:rFonts w:ascii="Arial" w:cs="Arial" w:eastAsia="Arial" w:hAnsi="Arial"/>
          <w:sz w:val="18"/>
          <w:szCs w:val="18"/>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299085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420" w:top="962" w:right="49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27"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February 11, 2022</w:t>
      </w:r>
    </w:p>
    <w:p>
      <w:pPr>
        <w:spacing w:after="0" w:line="50"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-130175</wp:posOffset>
            </wp:positionV>
            <wp:extent cx="38487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4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Suvretta Capital Management, LLC*</w:t>
      </w:r>
    </w:p>
    <w:p>
      <w:pPr>
        <w:spacing w:after="0" w:line="279"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By: /s/ Aaron Cowen</w:t>
      </w:r>
    </w:p>
    <w:p>
      <w:pPr>
        <w:spacing w:after="0" w:line="50"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-130175</wp:posOffset>
            </wp:positionV>
            <wp:extent cx="38487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line="246"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Authorized Signatory</w:t>
      </w:r>
    </w:p>
    <w:p>
      <w:pPr>
        <w:spacing w:after="0" w:line="50"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-130175</wp:posOffset>
            </wp:positionV>
            <wp:extent cx="38487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05"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Averill Master Fund, Ltd.*</w:t>
      </w:r>
    </w:p>
    <w:p>
      <w:pPr>
        <w:spacing w:after="0" w:line="252"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By: /s/ Aaron Cowen</w:t>
      </w:r>
    </w:p>
    <w:p>
      <w:pPr>
        <w:spacing w:after="0" w:line="50"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-130175</wp:posOffset>
            </wp:positionV>
            <wp:extent cx="38487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46"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Director</w:t>
      </w:r>
    </w:p>
    <w:p>
      <w:pPr>
        <w:spacing w:after="0" w:line="50"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-130175</wp:posOffset>
            </wp:positionV>
            <wp:extent cx="38487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19"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Aaron Cowen*</w:t>
      </w:r>
    </w:p>
    <w:p>
      <w:pPr>
        <w:spacing w:after="0" w:line="225"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/s/ Aaron Cowen</w:t>
      </w:r>
    </w:p>
    <w:p>
      <w:pPr>
        <w:spacing w:after="0" w:line="50"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-130175</wp:posOffset>
            </wp:positionV>
            <wp:extent cx="38487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*Each Reporting Person disclaims beneficial ownership over the securities reported herein except to the extent of its pecuniary interest therein.</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s.240.13d-7 for other parties for whom copies are to be sent.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597535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212"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undersigned agree that this Amendment 2 to Schedule 13G dated February 11, 2022 relating to the Common stock, par value $0.0001 per share of Gemini Therapeutics, Inc. shall be filed on behalf of the undersigned.</w:t>
      </w:r>
    </w:p>
    <w:p>
      <w:pPr>
        <w:spacing w:after="0" w:line="170"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February 11, 2022</w:t>
      </w:r>
    </w:p>
    <w:p>
      <w:pPr>
        <w:spacing w:after="0" w:line="50"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-130175</wp:posOffset>
            </wp:positionV>
            <wp:extent cx="38487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46"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Suvretta Capital Management, LLC</w:t>
      </w:r>
    </w:p>
    <w:p>
      <w:pPr>
        <w:spacing w:after="0" w:line="279"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By: /s/ Aaron Cowen</w:t>
      </w:r>
    </w:p>
    <w:p>
      <w:pPr>
        <w:spacing w:after="0" w:line="50"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-130175</wp:posOffset>
            </wp:positionV>
            <wp:extent cx="38487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line="246"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Authorized Signatory</w:t>
      </w:r>
    </w:p>
    <w:p>
      <w:pPr>
        <w:spacing w:after="0" w:line="50"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-130175</wp:posOffset>
            </wp:positionV>
            <wp:extent cx="38487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05"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Averill Master Fund, Ltd.</w:t>
      </w:r>
    </w:p>
    <w:p>
      <w:pPr>
        <w:spacing w:after="0" w:line="252"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By: /s/ Aaron Cowen</w:t>
      </w:r>
    </w:p>
    <w:p>
      <w:pPr>
        <w:spacing w:after="0" w:line="50"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-130175</wp:posOffset>
            </wp:positionV>
            <wp:extent cx="38487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46"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Director</w:t>
      </w:r>
    </w:p>
    <w:p>
      <w:pPr>
        <w:spacing w:after="0" w:line="50"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-130175</wp:posOffset>
            </wp:positionV>
            <wp:extent cx="38487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19"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Aaron Cowen</w:t>
      </w:r>
    </w:p>
    <w:p>
      <w:pPr>
        <w:spacing w:after="0" w:line="225"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/s/ Aaron Cowen</w:t>
      </w:r>
    </w:p>
    <w:p>
      <w:pPr>
        <w:spacing w:after="0" w:line="50"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-130175</wp:posOffset>
            </wp:positionV>
            <wp:extent cx="38487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487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Aaron Cowen has beneficial ownership by virtue of his role as a control person of Suvretta Capital Management, LLC.</w:t>
      </w:r>
    </w:p>
    <w:sectPr>
      <w:pgSz w:w="11900" w:h="16838" w:orient="portrait"/>
      <w:cols w:equalWidth="0" w:num="1">
        <w:col w:w="11240"/>
      </w:cols>
      <w:pgMar w:left="320" w:top="6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upperLetter"/>
      <w:start w:val="24"/>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3"/>
    </w:lvl>
  </w:abstractNum>
  <w:abstractNum w:abstractNumId="3">
    <w:nsid w:val="4DB127F8"/>
    <w:multiLevelType w:val="hybridMultilevel"/>
    <w:lvl w:ilvl="0">
      <w:lvlJc w:val="left"/>
      <w:lvlText w:val="%1."/>
      <w:numFmt w:val="decimal"/>
      <w:start w:val="5"/>
    </w:lvl>
  </w:abstractNum>
  <w:abstractNum w:abstractNumId="4">
    <w:nsid w:val="216231B"/>
    <w:multiLevelType w:val="hybridMultilevel"/>
    <w:lvl w:ilvl="0">
      <w:lvlJc w:val="left"/>
      <w:lvlText w:val="%1."/>
      <w:numFmt w:val="decimal"/>
      <w:start w:val="1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3"/>
    </w:lvl>
  </w:abstractNum>
  <w:abstractNum w:abstractNumId="7">
    <w:nsid w:val="66EF438D"/>
    <w:multiLevelType w:val="hybridMultilevel"/>
    <w:lvl w:ilvl="0">
      <w:lvlJc w:val="left"/>
      <w:lvlText w:val="%1."/>
      <w:numFmt w:val="decimal"/>
      <w:start w:val="5"/>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3"/>
    </w:lvl>
  </w:abstractNum>
  <w:abstractNum w:abstractNumId="10">
    <w:nsid w:val="109CF92E"/>
    <w:multiLevelType w:val="hybridMultilevel"/>
    <w:lvl w:ilvl="0">
      <w:lvlJc w:val="left"/>
      <w:lvlText w:val="%1."/>
      <w:numFmt w:val="decimal"/>
      <w:start w:val="5"/>
    </w:lvl>
  </w:abstractNum>
  <w:abstractNum w:abstractNumId="11">
    <w:nsid w:val="DED7263"/>
    <w:multiLevelType w:val="hybridMultilevel"/>
    <w:lvl w:ilvl="0">
      <w:lvlJc w:val="left"/>
      <w:lvlText w:val="%1."/>
      <w:numFmt w:val="decimal"/>
      <w:start w:val="11"/>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10"/>
    </w:lvl>
  </w:abstractNum>
  <w:abstractNum w:abstractNumId="14">
    <w:nsid w:val="41A7C4C9"/>
    <w:multiLevelType w:val="hybridMultilevel"/>
    <w:lvl w:ilvl="0">
      <w:lvlJc w:val="left"/>
      <w:lvlText w:val="(%1)"/>
      <w:numFmt w:val="lowerLetter"/>
      <w:start w:val="1"/>
    </w:lvl>
    <w:lvl w:ilvl="1">
      <w:lvlJc w:val="left"/>
      <w:lvlText w:val="(%2)"/>
      <w:numFmt w:val="lowerRoman"/>
      <w:start w:val="1"/>
    </w:lvl>
  </w:abstractNum>
  <w:abstractNum w:abstractNumId="15">
    <w:nsid w:val="6B68079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2022-02-12T02:58:34Z</dcterms:created>
  <dcterms:modified xsi:type="dcterms:W3CDTF">2022-02-12T02:58:34Z</dcterms:modified>
</cp:coreProperties>
</file>