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1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0"/>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960" w:type="dxa"/>
            <w:vAlign w:val="bottom"/>
          </w:tcPr>
          <w:p>
            <w:pPr>
              <w:spacing w:after="0"/>
              <w:rPr>
                <w:sz w:val="21"/>
                <w:szCs w:val="21"/>
                <w:color w:val="auto"/>
              </w:rPr>
            </w:pPr>
          </w:p>
        </w:tc>
        <w:tc>
          <w:tcPr>
            <w:tcW w:w="224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336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6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auto"/>
            </w:tcBorders>
          </w:tcPr>
          <w:p>
            <w:pPr>
              <w:jc w:val="center"/>
              <w:ind w:left="25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0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40" w:firstLine="59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3" w:lineRule="exact"/>
        <w:rPr>
          <w:sz w:val="24"/>
          <w:szCs w:val="24"/>
          <w:color w:val="auto"/>
        </w:rPr>
      </w:pPr>
    </w:p>
    <w:p>
      <w:pPr>
        <w:jc w:val="both"/>
        <w:ind w:right="10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4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30, 2026 there were 38,199,089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257"/>
        </w:trPr>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FORWARD LOOKING STATEMENTS</w:t>
            </w:r>
          </w:p>
        </w:tc>
        <w:tc>
          <w:tcPr>
            <w:tcW w:w="73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2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RISK FACTOR SUMMARY</w:t>
            </w:r>
          </w:p>
        </w:tc>
        <w:tc>
          <w:tcPr>
            <w:tcW w:w="20" w:type="dxa"/>
            <w:vAlign w:val="bottom"/>
            <w:tcBorders>
              <w:bottom w:val="single" w:sz="8" w:color="0000EE"/>
            </w:tcBorders>
          </w:tcPr>
          <w:p>
            <w:pPr>
              <w:spacing w:after="0"/>
              <w:rPr>
                <w:sz w:val="17"/>
                <w:szCs w:val="17"/>
                <w:color w:val="auto"/>
              </w:rPr>
            </w:pPr>
          </w:p>
        </w:tc>
        <w:tc>
          <w:tcPr>
            <w:tcW w:w="8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further develop and, if approved,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bitopertin and any of our other product candidates, and the timing of any such potential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Quarterly Report on Form 10-Q.</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Securities and Exchange Commission, or SEC, before making an investment decision regarding our common stock.</w:t>
      </w:r>
    </w:p>
    <w:p>
      <w:pPr>
        <w:spacing w:after="0" w:line="7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candidates are smaller than we estimate or if any regulatory approval that we obtain is based on a narrower definition of the patient population, our revenue and ability to achieve profitability could be materially adversely affected.</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Commissioner’s National Priority Voucher for bitopertin but the accelerated timeline for review of our NDA submission for bitopertin in EPP and XLP by the FDA did not result in an approval and it is unclear what, if any, benefits this voucher may provide in the future.</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may continue,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88,913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750,213</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340" w:type="dxa"/>
            <w:vAlign w:val="bottom"/>
            <w:shd w:val="clear" w:color="auto" w:fill="CFF0FC"/>
          </w:tcPr>
          <w:p>
            <w:pPr>
              <w:spacing w:after="0"/>
              <w:rPr>
                <w:sz w:val="17"/>
                <w:szCs w:val="17"/>
                <w:color w:val="auto"/>
              </w:rPr>
            </w:pPr>
          </w:p>
        </w:tc>
        <w:tc>
          <w:tcPr>
            <w:tcW w:w="182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1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340" w:type="dxa"/>
            <w:vAlign w:val="bottom"/>
            <w:shd w:val="clear" w:color="auto" w:fill="CFF0FC"/>
          </w:tcPr>
          <w:p>
            <w:pPr>
              <w:spacing w:after="0"/>
              <w:rPr>
                <w:sz w:val="10"/>
                <w:szCs w:val="10"/>
                <w:color w:val="auto"/>
              </w:rPr>
            </w:pPr>
          </w:p>
        </w:tc>
        <w:tc>
          <w:tcPr>
            <w:tcW w:w="182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60" w:type="dxa"/>
            <w:vAlign w:val="bottom"/>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1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March 31, 2026 and</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38,190,464 and 37,890,616 shares issued and outstanding as of March</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2026 and December 31, 2025, respectively</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1,262,686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4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(573,690)</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(510,186)</w:t>
            </w:r>
          </w:p>
        </w:tc>
        <w:tc>
          <w:tcPr>
            <w:tcW w:w="0" w:type="dxa"/>
            <w:vAlign w:val="bottom"/>
          </w:tcPr>
          <w:p>
            <w:pPr>
              <w:spacing w:after="0"/>
              <w:rPr>
                <w:sz w:val="1"/>
                <w:szCs w:val="1"/>
                <w:color w:val="auto"/>
              </w:rPr>
            </w:pPr>
          </w:p>
        </w:tc>
      </w:tr>
      <w:tr>
        <w:trPr>
          <w:trHeight w:val="210"/>
        </w:trPr>
        <w:tc>
          <w:tcPr>
            <w:tcW w:w="71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688,429</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750,213</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-3805555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-3248660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-3175</wp:posOffset>
            </wp:positionV>
            <wp:extent cx="2802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45,904</w:t>
            </w:r>
          </w:p>
        </w:tc>
        <w:tc>
          <w:tcPr>
            <w:tcW w:w="3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10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0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(69,524)</w:t>
            </w: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(39,946)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w:t>
            </w:r>
          </w:p>
        </w:tc>
        <w:tc>
          <w:tcPr>
            <w:tcW w:w="4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7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2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34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Borders>
              <w:top w:val="single" w:sz="8" w:color="CFF0FC"/>
            </w:tcBorders>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(63,453)</w:t>
            </w: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(33,966)</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(63,504)</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(34,085)</w:t>
            </w:r>
          </w:p>
        </w:tc>
      </w:tr>
      <w:tr>
        <w:trPr>
          <w:trHeight w:val="20"/>
        </w:trPr>
        <w:tc>
          <w:tcPr>
            <w:tcW w:w="57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5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38,491,433</w:t>
            </w:r>
          </w:p>
        </w:tc>
        <w:tc>
          <w:tcPr>
            <w:tcW w:w="3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33,324,745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(63,504)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(34,085)</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0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(1,526)</w:t>
            </w: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(1,536)</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2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(65,040)</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(33,839)</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-2887980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-2048510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-2048510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-1473835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-1165225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-1148080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-316865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208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23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11"/>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9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8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3"/>
                <w:szCs w:val="13"/>
                <w:b w:val="1"/>
                <w:bCs w:val="1"/>
                <w:color w:val="auto"/>
                <w:w w:val="96"/>
              </w:rPr>
              <w:t>$0.0001 Par Value</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37,890,616</w:t>
            </w: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1,249,043</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(510,186)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739,826</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67,811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218,322</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13,715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11,946</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11,946</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(63,504)</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(63,504)</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38,190,464</w:t>
            </w:r>
          </w:p>
        </w:tc>
        <w:tc>
          <w:tcPr>
            <w:tcW w:w="90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1,262,686</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(573,690)</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688,429</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00" w:type="dxa"/>
            <w:vAlign w:val="bottom"/>
          </w:tcPr>
          <w:p>
            <w:pPr>
              <w:spacing w:after="0"/>
              <w:rPr>
                <w:sz w:val="24"/>
                <w:szCs w:val="24"/>
                <w:color w:val="auto"/>
              </w:rPr>
            </w:pPr>
          </w:p>
        </w:tc>
        <w:tc>
          <w:tcPr>
            <w:tcW w:w="208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23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11"/>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9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8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3"/>
                <w:szCs w:val="13"/>
                <w:b w:val="1"/>
                <w:bCs w:val="1"/>
                <w:color w:val="auto"/>
                <w:w w:val="96"/>
              </w:rPr>
              <w:t>$0.0001 Par Value</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0"/>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29,865,030</w:t>
            </w: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741,297</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(298,002)</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443,587</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91,524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83,672</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underwritten offering,</w:t>
            </w:r>
          </w:p>
        </w:tc>
        <w:tc>
          <w:tcPr>
            <w:tcW w:w="11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4,533,182</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234,003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234,003</w:t>
            </w:r>
          </w:p>
        </w:tc>
        <w:tc>
          <w:tcPr>
            <w:tcW w:w="0" w:type="dxa"/>
            <w:vAlign w:val="bottom"/>
          </w:tcPr>
          <w:p>
            <w:pPr>
              <w:spacing w:after="0"/>
              <w:rPr>
                <w:sz w:val="1"/>
                <w:szCs w:val="1"/>
                <w:color w:val="auto"/>
              </w:rPr>
            </w:pPr>
          </w:p>
        </w:tc>
      </w:tr>
      <w:tr>
        <w:trPr>
          <w:trHeight w:val="107"/>
        </w:trPr>
        <w:tc>
          <w:tcPr>
            <w:tcW w:w="380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issuance costs of $15,321</w:t>
            </w:r>
          </w:p>
        </w:tc>
        <w:tc>
          <w:tcPr>
            <w:tcW w:w="11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pre-funded warrants in underwritten offering,</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9,386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9,386</w:t>
            </w:r>
          </w:p>
        </w:tc>
        <w:tc>
          <w:tcPr>
            <w:tcW w:w="0" w:type="dxa"/>
            <w:vAlign w:val="bottom"/>
          </w:tcPr>
          <w:p>
            <w:pPr>
              <w:spacing w:after="0"/>
              <w:rPr>
                <w:sz w:val="1"/>
                <w:szCs w:val="1"/>
                <w:color w:val="auto"/>
              </w:rPr>
            </w:pPr>
          </w:p>
        </w:tc>
      </w:tr>
      <w:tr>
        <w:trPr>
          <w:trHeight w:val="107"/>
        </w:trPr>
        <w:tc>
          <w:tcPr>
            <w:tcW w:w="3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net of issuance costs of $615</w:t>
            </w: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0" w:type="dxa"/>
            <w:vAlign w:val="bottom"/>
          </w:tcPr>
          <w:p>
            <w:pPr>
              <w:spacing w:after="0"/>
              <w:rPr>
                <w:sz w:val="1"/>
                <w:szCs w:val="1"/>
                <w:color w:val="auto"/>
              </w:rPr>
            </w:pPr>
          </w:p>
        </w:tc>
      </w:tr>
      <w:tr>
        <w:trPr>
          <w:trHeight w:val="149"/>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8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34,581,222</w:t>
            </w:r>
          </w:p>
        </w:tc>
        <w:tc>
          <w:tcPr>
            <w:tcW w:w="90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991,911</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535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(332,087)</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660,362</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-2108200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-2091055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-2108200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-2091055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-2108200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-2091055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-2108200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-2091055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-2108200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-2091055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2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(63,504)</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11,946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6,363</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2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2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16"/>
        </w:trPr>
        <w:tc>
          <w:tcPr>
            <w:tcW w:w="82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435</w:t>
            </w:r>
          </w:p>
        </w:tc>
      </w:tr>
      <w:tr>
        <w:trPr>
          <w:trHeight w:val="210"/>
        </w:trPr>
        <w:tc>
          <w:tcPr>
            <w:tcW w:w="8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(41,376)</w:t>
            </w:r>
          </w:p>
        </w:tc>
      </w:tr>
      <w:tr>
        <w:trPr>
          <w:trHeight w:val="209"/>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(347,250)</w:t>
            </w: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152,069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75,468</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10"/>
        </w:trPr>
        <w:tc>
          <w:tcPr>
            <w:tcW w:w="8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58,307</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(272,633)</w:t>
            </w: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underwritten offering, net of issuance costs paid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234,003</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pre-funded warrants in underwritten offering, net of issuance costs paid</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9,386</w:t>
            </w:r>
          </w:p>
        </w:tc>
      </w:tr>
      <w:tr>
        <w:trPr>
          <w:trHeight w:val="21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r>
      <w:tr>
        <w:trPr>
          <w:trHeight w:val="210"/>
        </w:trPr>
        <w:tc>
          <w:tcPr>
            <w:tcW w:w="8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1,697</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244,251</w:t>
            </w: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(69,758)</w:t>
            </w:r>
          </w:p>
        </w:tc>
      </w:tr>
      <w:tr>
        <w:trPr>
          <w:trHeight w:val="216"/>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91,387</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192,672</w:t>
            </w:r>
          </w:p>
        </w:tc>
      </w:tr>
      <w:tr>
        <w:trPr>
          <w:trHeight w:val="210"/>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89,155</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122,914</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320"/>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8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r>
      <w:tr>
        <w:trPr>
          <w:trHeight w:val="196"/>
        </w:trPr>
        <w:tc>
          <w:tcPr>
            <w:tcW w:w="8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34"/>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640</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-2900045</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-2051050</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-1210945</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-928370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DISC-0974 for the treatment of anemia of myelofibrosis (“MF”) and anemia of inflammatory bowel disease ("IBD"); and DISC-3405 for the treatment of polycythemia vera (“PV”), sickle cell disease ("SCD"), and other hematologic disorders. In addition, the Company’s preclinical programs include DISC-0998 for the treatment of anemia associated with inflammatory diseases. The Company’s approach to product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and the ability to secure additional capital to fund operations. The Company’s research and development programs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cash equivalents and marketable securities as of March 31, 2026 of $730.2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March 31, 2026, the Company had an accumulated deficit of $573.7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2025 and the notes thereto, which are included in the Company’s Annual Report on Form 10-K. There have been no material changes to the significant accounting policies previously disclosed in the Company’s Annual Report on Form 10-K for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March 31, 2026 and for the three months ended March 31, 2026 and 2025 are unaudited. The financial data and other information contained in the notes hereto as of March 31, 2026 and for the three months ended March 31, 2026 and 2025 are also unaudited. The condensed consolidated balance sheet data as of December 31, 2025 was derived from the Company’s audited consolidated financial statements included in the Company’s Annual Report on Form 10-K.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March 31, 2026 and the results of its operations and cash flows for the three months ended March 31, 2026 and 2025. These unaudited condensed consolidated financial statements should be read in conjunction with the audited consolidated financial statements as of and for the year ended December 31, 2025, and the notes thereto, included in the Company’s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for the three months ended March 31, 2026 and 2025 are not necessarily indicative of results to be expected for the full years, or any other interim periods, or any future year 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reverse merger with Gemini Therapeutics, Inc. ("Gemini") in December 2022;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88,913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91,145</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1"/>
        </w:trPr>
        <w:tc>
          <w:tcPr>
            <w:tcW w:w="7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 consolidated statements of</w:t>
            </w:r>
          </w:p>
        </w:tc>
        <w:tc>
          <w:tcPr>
            <w:tcW w:w="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89,155</w:t>
            </w: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91,387</w:t>
            </w:r>
          </w:p>
        </w:tc>
        <w:tc>
          <w:tcPr>
            <w:tcW w:w="0" w:type="dxa"/>
            <w:vAlign w:val="bottom"/>
          </w:tcPr>
          <w:p>
            <w:pPr>
              <w:spacing w:after="0"/>
              <w:rPr>
                <w:sz w:val="1"/>
                <w:szCs w:val="1"/>
                <w:color w:val="auto"/>
              </w:rPr>
            </w:pPr>
          </w:p>
        </w:tc>
      </w:tr>
      <w:tr>
        <w:trPr>
          <w:trHeight w:val="99"/>
        </w:trPr>
        <w:tc>
          <w:tcPr>
            <w:tcW w:w="7560" w:type="dxa"/>
            <w:vAlign w:val="bottom"/>
            <w:vMerge w:val="restart"/>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460" w:type="dxa"/>
            <w:vAlign w:val="bottom"/>
            <w:gridSpan w:val="2"/>
            <w:vMerge w:val="continue"/>
            <w:shd w:val="clear" w:color="auto" w:fill="CFF0FC"/>
          </w:tcPr>
          <w:p>
            <w:pPr>
              <w:spacing w:after="0"/>
              <w:rPr>
                <w:sz w:val="8"/>
                <w:szCs w:val="8"/>
                <w:color w:val="auto"/>
              </w:rPr>
            </w:pPr>
          </w:p>
        </w:tc>
        <w:tc>
          <w:tcPr>
            <w:tcW w:w="1380" w:type="dxa"/>
            <w:vAlign w:val="bottom"/>
            <w:vMerge w:val="continue"/>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56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38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prepaid expenses and other current assets and other assets on the condensed consolidated balance sheets, consists of letters of credit related to leased and subleased office space in Watertown, Massachusetts.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March 31, 2026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3"/>
        </w:trPr>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443,891</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11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443,585</w:t>
            </w:r>
          </w:p>
        </w:tc>
      </w:tr>
      <w:tr>
        <w:trPr>
          <w:trHeight w:val="216"/>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112,972</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112,891</w:t>
            </w: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84,915</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84,769</w:t>
            </w:r>
          </w:p>
        </w:tc>
      </w:tr>
      <w:tr>
        <w:trPr>
          <w:trHeight w:val="230"/>
        </w:trPr>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641,778</w:t>
            </w:r>
          </w:p>
        </w:tc>
        <w:tc>
          <w:tcPr>
            <w:tcW w:w="11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641,245</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r>
        <w:trPr>
          <w:trHeight w:val="304"/>
        </w:trPr>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Marketable securities as of December 31, 2025 consisted of the following (in thousands):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4"/>
        </w:trPr>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484,670</w:t>
            </w:r>
          </w:p>
        </w:tc>
        <w:tc>
          <w:tcPr>
            <w:tcW w:w="1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859</w:t>
            </w:r>
          </w:p>
        </w:tc>
        <w:tc>
          <w:tcPr>
            <w:tcW w:w="11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485,529</w:t>
            </w:r>
          </w:p>
        </w:tc>
      </w:tr>
      <w:tr>
        <w:trPr>
          <w:trHeight w:val="216"/>
        </w:trPr>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132,913</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132,941</w:t>
            </w:r>
          </w:p>
        </w:tc>
      </w:tr>
      <w:tr>
        <w:trPr>
          <w:trHeight w:val="216"/>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81,431</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81,537</w:t>
            </w:r>
          </w:p>
        </w:tc>
      </w:tr>
      <w:tr>
        <w:trPr>
          <w:trHeight w:val="229"/>
        </w:trPr>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699,014</w:t>
            </w:r>
          </w:p>
        </w:tc>
        <w:tc>
          <w:tcPr>
            <w:tcW w:w="11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1,013</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700,007</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-1302385</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-1285240</wp:posOffset>
            </wp:positionV>
            <wp:extent cx="1117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-1302385</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-1285240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-1302385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-1285240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-25400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 The following table shows the fair value of the Company’s marketable securities, by contractual maturity, as of March 31, 2026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4"/>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463,621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6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177,624</w:t>
            </w:r>
          </w:p>
        </w:tc>
      </w:tr>
      <w:tr>
        <w:trPr>
          <w:trHeight w:val="250"/>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641,245</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fair value of marketable securities with unrealized losses was $434.2 million and $41.3 million as of March 31, 2026 and December 31, 2025, respectively. As of March 31, 2026 and December 31, 2025, sixty investments and five investments were in an unrealized loss position, respectively.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U.S. government agency, and corporate debt securities are subject to minimal credit risk. As a result, the Company did not record any charges for credit-related impairments for its available-for-sale securities for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the Company’s Annual Report on Form 10-K for the year ended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March 31, 2026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81,820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21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81,820</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443,585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112,891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84,769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641,245</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81,820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641,245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-1790700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-1790700</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-942340</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-942340</wp:posOffset>
            </wp:positionV>
            <wp:extent cx="128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2025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01"/>
        </w:trPr>
        <w:tc>
          <w:tcPr>
            <w:tcW w:w="4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485,529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132,941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81,537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700,007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72,932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709,988</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-873760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-873760</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-316230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-316230</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289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28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corporate debt securities with original maturities of three months or less and marketable securities consisting of U.S. treasury, U.S. government agency, and corporate debt securities with original maturities 24 months or less, are determined through third-party pricing services.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three months ended March 31, 2026 and 2025. There were no changes in valuation techniques or transfers between Level 1, Level 2, and Level 3 financial assets during the three months ended March 31, 2026 and 2025. The Company did not have any non-recurring fair value measurements on any assets or liabilities during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4,493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12,642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1,464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2,214</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705</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6,827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15,561</w:t>
            </w:r>
          </w:p>
        </w:tc>
      </w:tr>
      <w:tr>
        <w:trPr>
          <w:trHeight w:val="20"/>
        </w:trPr>
        <w:tc>
          <w:tcPr>
            <w:tcW w:w="7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Licensing Activities and Business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January 2025, the Company made a milestone payment of $3.0 million upon the first administration to a patient in the Phase 2 clinical trial of DISC-0974 which was recorded within research and development in the Company’s condensed consolidated statements of operations and comprehensive loss for the three months ended March 31, 2025. As of March 31, 2026, no additional milestones were deemed probable of achievement.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Company made a milestone payment of $10.0 million upon the initiation of the first Phase 3 clinical trial with a licensed product in a first indication. The next potential milestone payment is $15.0 million due upon regulatory approval in the United States with a licensed product in a first indication. As of March 31, 2026, this milestone was not deemed probable of achievement.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Company made a milestone payment of $5.0 million upon the first administration to a patient in a Phase 1 clinical trial for DISC-3405. In September 2025, the Company made a milestone payment of $10.0 million upon the first administration to a patient in a Phase 2 clinical trial for DISC-3405. In March 2026, the Company completed the first administration to a patient in a Phase 1b clinical trial with a licensed product in a second indication and recorded a milestone payable of $5.0 million within research and development in the Company’s condensed consolidated statements of operations and comprehensive loss for the three months ended March 31, 2026. As of March 31, 2026, no additional milestones were deemed probable of achievement.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March 31, 2026, none of the milestones had been achieved nor were they considered probable of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Topic 815, they were initially measured at fair value as of the acquisition date and are not remeasured each reporting period. The Contingent Consideration will be adjusted when it is determined that achievement of the contingent milestone is probable, which is generally upon achievement of the milestone event.</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at rates in the low single-digits. As of March 31, 2026, none of the milestones had been achieved, nor were they considered probable of achievement.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condensed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debt discount and debt issuance costs of $1.8 million upon closing of the Hercules Loan Agreement. 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March 31, 2026, related to the Company's right to borrow additional amounts in the future.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related to the Term Loan Facility for the three months ended March 31, 2026 and 2025 was $0.8 million and $0.9 million, respectively. As of March 31, 2026 and December 31, 2025, the carrying value of the Term Loan Facility approximates its fair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under the Term Loan Facility as of March 31, 2026 and December 31, 2025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00" w:type="dxa"/>
            <w:vAlign w:val="bottom"/>
          </w:tcPr>
          <w:p>
            <w:pPr>
              <w:spacing w:after="0"/>
              <w:rPr>
                <w:sz w:val="15"/>
                <w:szCs w:val="15"/>
                <w:color w:val="auto"/>
              </w:rPr>
            </w:pPr>
          </w:p>
        </w:tc>
        <w:tc>
          <w:tcPr>
            <w:tcW w:w="14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1440" w:type="dxa"/>
            <w:vAlign w:val="bottom"/>
            <w:shd w:val="clear" w:color="auto" w:fill="CFF0FC"/>
          </w:tcPr>
          <w:p>
            <w:pPr>
              <w:jc w:val="right"/>
              <w:ind w:right="128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30,000</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end of term fee</w:t>
            </w:r>
          </w:p>
        </w:tc>
        <w:tc>
          <w:tcPr>
            <w:tcW w:w="14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510</w:t>
            </w: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40" w:type="dxa"/>
            <w:vAlign w:val="bottom"/>
          </w:tcPr>
          <w:p>
            <w:pPr>
              <w:jc w:val="right"/>
              <w:ind w:right="128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29,365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29,159</w:t>
            </w:r>
          </w:p>
        </w:tc>
      </w:tr>
      <w:tr>
        <w:trPr>
          <w:trHeight w:val="20"/>
        </w:trPr>
        <w:tc>
          <w:tcPr>
            <w:tcW w:w="6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1625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principal payments due under the Term Loan Facility as of March 31, 2026 were as follows (in thousands):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27,789</w:t>
            </w:r>
          </w:p>
        </w:tc>
      </w:tr>
      <w:tr>
        <w:trPr>
          <w:trHeight w:val="249"/>
        </w:trPr>
        <w:tc>
          <w:tcPr>
            <w:tcW w:w="8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$2.0 million, which is due upon the maturity of the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 shares of preferred stock, $0.0001 par value per share. As of March 31, 2026,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100,000,000 shares of common stock, $0.0001 par value per share. As of March 31, 2026, 38,190,464 shares of common stock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in connection with an underwriting agreement with Jefferies LLC, Leerink Partners LLC, Morgan Stanley &amp; Co. LLC, and Cantor Fitzgerald &amp; Co., the Company sold 2,619,049 shares of its common stock, at a public offering price of $84.00 per share. The Company also sold pre-funded warrants to purchase an aggregate of 59,523 shares of common stock at a price of $83.9999 per pre-funded warrant. The Company received aggregate net proceeds of $211.0 million, after deducting offering expenses of $14.0 million. As of March 31, 2026, none of the 59,523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in connection with an underwriting agreement with Jeffries LLC, Leerink Partners LLC, Stifel, Nicolaus &amp; Company, Incorporated and Cantor Fitzgerald &amp; Co., the Company sold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March 31, 2026, none of the 181,818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Pursuant to the agreement, the Company sold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sold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March 31, 2026, none of the 204,081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Offering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("ATM")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sold an aggregate of 162,457 shares of common stock in Cantor ATM offerings under the August 2024 Shelf and pursuant to the Cantor ATM Agreement. Aggregate gross proceeds from the transaction were $10.1 million and the Company received $9.8 million in net proceeds, after deducting placement agent fees and offering expenses. There were no sales under the Cantor ATM Agreement during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but is no longer granting awards under this plan or its 2021 Inducement Plan. The Company also grants awards under its 2021 Employee Stock Purchase Plan (the “2021 ESPP”), which was approved by the Company's stockholders in July 2021 and amended and restated in January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is as follows (in thousands):</w:t>
      </w:r>
    </w:p>
    <w:p>
      <w:pPr>
        <w:spacing w:after="0" w:line="47"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wp:posOffset>
            </wp:positionV>
            <wp:extent cx="29146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3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5,791</w:t>
            </w:r>
          </w:p>
        </w:tc>
        <w:tc>
          <w:tcPr>
            <w:tcW w:w="7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2,959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3,404</w:t>
            </w:r>
          </w:p>
        </w:tc>
      </w:tr>
      <w:tr>
        <w:trPr>
          <w:trHeight w:val="25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80" w:type="dxa"/>
            <w:vAlign w:val="bottom"/>
            <w:tcBorders>
              <w:bottom w:val="single" w:sz="8" w:color="auto"/>
            </w:tcBorders>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11,946</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145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1454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months ended March 31, 2026 and 2025. The Company recorded state income tax expense of $0.1 million for the three months ended March 31, 2026 and 2025, respectively, due to interest income. The Company continues to maintain a full valuation allowance against all of its deferred tax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pre-funded</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warrants issued in connection with the Company’s underwritten offerings. As of March 31, 2026 and March 31, 2025, 445,422 and 385,899 pre-funded warrants were outstanding,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share and per share data):</w:t>
      </w:r>
    </w:p>
    <w:p>
      <w:pPr>
        <w:spacing w:after="0" w:line="1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-3175</wp:posOffset>
            </wp:positionV>
            <wp:extent cx="22459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(63,504)</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38,491,433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33,324,745</w:t>
            </w:r>
          </w:p>
        </w:tc>
      </w:tr>
      <w:tr>
        <w:trPr>
          <w:trHeight w:val="23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As of March 31, 2026 and March 31, 2025, the Company excluded the following potential common shares from the computation of diluted net loss per share because including them would have had an anti-dilutive effect: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3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20" w:type="dxa"/>
            <w:vAlign w:val="bottom"/>
            <w:tcBorders>
              <w:bottom w:val="single" w:sz="8" w:color="auto"/>
            </w:tcBorders>
          </w:tcPr>
          <w:p>
            <w:pPr>
              <w:spacing w:after="0"/>
              <w:rPr>
                <w:sz w:val="15"/>
                <w:szCs w:val="15"/>
                <w:color w:val="auto"/>
              </w:rPr>
            </w:pPr>
          </w:p>
        </w:tc>
      </w:tr>
      <w:tr>
        <w:trPr>
          <w:trHeight w:val="186"/>
        </w:trPr>
        <w:tc>
          <w:tcPr>
            <w:tcW w:w="766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3,769,756</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3,364,505</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1,368,812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889,724</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23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6,925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condensed consolidated statements of operations and comprehensive loss. In addition, the CODM is regularly provided the significant segment expense categories included in the table below (in thousands), which are reviewed against budgeted expectations to assist in resource allocation decision-making.</w:t>
      </w:r>
    </w:p>
    <w:p>
      <w:pPr>
        <w:spacing w:after="0" w:line="65"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-3175</wp:posOffset>
            </wp:positionV>
            <wp:extent cx="3780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2580" w:type="dxa"/>
            <w:vAlign w:val="bottom"/>
            <w:gridSpan w:val="2"/>
            <w:shd w:val="clear" w:color="auto" w:fill="CFF0FC"/>
          </w:tcPr>
          <w:p>
            <w:pPr>
              <w:jc w:val="right"/>
              <w:ind w:right="16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9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DISC-0974 program external expense</w:t>
            </w: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7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external research and development expense</w:t>
            </w: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and other research and development expense</w:t>
            </w:r>
          </w:p>
        </w:tc>
        <w:tc>
          <w:tcPr>
            <w:tcW w:w="7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r>
      <w:tr>
        <w:trPr>
          <w:trHeight w:val="216"/>
        </w:trPr>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expense</w:t>
            </w:r>
          </w:p>
        </w:tc>
        <w:tc>
          <w:tcPr>
            <w:tcW w:w="2580" w:type="dxa"/>
            <w:vAlign w:val="bottom"/>
            <w:gridSpan w:val="2"/>
            <w:shd w:val="clear" w:color="auto" w:fill="CFF0FC"/>
          </w:tcPr>
          <w:p>
            <w:pPr>
              <w:jc w:val="right"/>
              <w:ind w:right="16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9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580" w:type="dxa"/>
            <w:vAlign w:val="bottom"/>
            <w:gridSpan w:val="2"/>
            <w:shd w:val="clear" w:color="auto" w:fill="CFF0FC"/>
          </w:tcPr>
          <w:p>
            <w:pPr>
              <w:jc w:val="right"/>
              <w:ind w:right="16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9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w:t>
            </w:r>
          </w:p>
        </w:tc>
      </w:tr>
      <w:tr>
        <w:trPr>
          <w:trHeight w:val="216"/>
        </w:trPr>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580" w:type="dxa"/>
            <w:vAlign w:val="bottom"/>
            <w:gridSpan w:val="2"/>
            <w:shd w:val="clear" w:color="auto" w:fill="CFF0FC"/>
          </w:tcPr>
          <w:p>
            <w:pPr>
              <w:jc w:val="right"/>
              <w:ind w:right="16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9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(6,363)</w:t>
            </w:r>
          </w:p>
        </w:tc>
      </w:tr>
      <w:tr>
        <w:trPr>
          <w:trHeight w:val="216"/>
        </w:trPr>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580" w:type="dxa"/>
            <w:vAlign w:val="bottom"/>
            <w:gridSpan w:val="2"/>
            <w:shd w:val="clear" w:color="auto" w:fill="CFF0FC"/>
          </w:tcPr>
          <w:p>
            <w:pPr>
              <w:jc w:val="right"/>
              <w:ind w:right="16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6,020</w:t>
            </w:r>
          </w:p>
        </w:tc>
        <w:tc>
          <w:tcPr>
            <w:tcW w:w="9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5,861</w:t>
            </w:r>
          </w:p>
        </w:tc>
      </w:tr>
      <w:tr>
        <w:trPr>
          <w:trHeight w:val="216"/>
        </w:trPr>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(63,504)</w:t>
            </w:r>
          </w:p>
        </w:tc>
        <w:tc>
          <w:tcPr>
            <w:tcW w:w="9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1543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154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income (expense), and income tax expense as reported on the condensed consolidated statements of operations and comprehensive loss.</w:t>
      </w:r>
    </w:p>
    <w:p>
      <w:pPr>
        <w:spacing w:after="0" w:line="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three months ended March 31, 2026 and 2025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March 31, 2026,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jc w:val="cente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In October 2025 and January 2025, certain existing investors participated in the Company's underwritten offerings (see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Bitopertin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demonstrated that longer term treatment of bitopertin was associated with sustained reductions in PPIX, as well as improvements in quality of life and liver biomarkers. In our end-of-Phase 2 meeting in September 2024, the U.S. Food &amp; Drug Administration, or the FDA, agreed with the potential for reduction of PPIX to serve as a surrogate endpoint to support a potential accelerated approval of bitopertin in EPP and XLP. In our Type C meeting in December 2024, we aligned with the FDA on the design of APOLLO, a Phase 3, randomized, double-blind, placebo-controlled, clinical trial of bitopertin in EPP and XLP patients that in the setting of an accelerated approval would serve as a post-marketing confirmatory trial. We initiated the APOLLO trial in May 2025 and in September 2025 we submitted a New Drug Application, or NDA, for accelerated approval of bitopertin in EPP and XLP in the United States based on our existing data. In October 2025, we were awarded a Commissioner’s National Priority Voucher, or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complete response letter, or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have scheduled a Type A meeting with the FDA during the second quarter of 2026 to review our approach for potentially resubmitting our NDA. We completed enrollment in APOLLO (n=183) in the first quarter of 2026 and expect to report topline data in the fourth quarter of 2026, following which we plan to submit a response to the CRL and would then anticipate an FDA decision on our NDA by mid-2027.</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 Homeostasis: DISC-0974 and DISC-3405</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in December 2025, with results demonstrating meaningful overall anemia responses across all patient subgroups, regardless of baseline transfusion status and independent of concomitant Janus Kinase, or JAK, inhibitor therapy use. We expect to share updated data from this trial in June 2026 and topline data in the fourth quarter of 2026. If positive, we expect to hold an end-of-Phase 2 meeting with the FDA for DISC-0974 in anemia of MF by the end of 2026. We also initiated a Phase 2 clinical trial of DISC-0974 in patients with IBD and anemia in the first quarter of 2026, with initial data anticipated in 2027,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clinical trial in December 2024, and presented updated data from both the SAD and MAD portions of this clinical trial in June 2025,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the first half of 2025, with initial data expected in the fourth quarter of 2026. We also initiated a Phase 1b, open-label clinical trial of DISC-3405 in patients with SCD in October 2025, with initial data expected in the fourth quarter of 2026, and plan to explore the role of therapeutic iron restriction in other indications.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$730.2 million.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for additional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contractors and contract research organizations, or CROs;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or costs of the efforts that will be necessary to complete their preclinical and clinical development. Changes in the outcome of any number of variables with respect to these programs could significantly affect the costs and timing associated with their development. We may never succeed in obtaining regulatory approval for any product candidates that have not yet been approved. The successful development of any product candidate is highly uncertain due to the numerous risks and uncertainties inherent in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planning and market research; director and officer insurance costs and other insurance costs; and facility related expenses including maintenance and allocated expenses for rent and other operating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the infrastructure to commercialize any product candidates for which we may obtain marketing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and corporate debt securities, as well as marketable securities, consisting of U.S. treasury securities, U.S. government agency securities and corporate debt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3"/>
        </w:trPr>
        <w:tc>
          <w:tcPr>
            <w:tcW w:w="5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09"/>
        </w:trPr>
        <w:tc>
          <w:tcPr>
            <w:tcW w:w="5320" w:type="dxa"/>
            <w:vAlign w:val="bottom"/>
          </w:tcPr>
          <w:p>
            <w:pPr>
              <w:spacing w:after="0"/>
              <w:rPr>
                <w:sz w:val="18"/>
                <w:szCs w:val="18"/>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45,904</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27,763</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18,141</w:t>
            </w:r>
          </w:p>
        </w:tc>
      </w:tr>
      <w:tr>
        <w:trPr>
          <w:trHeight w:val="216"/>
        </w:trPr>
        <w:tc>
          <w:tcPr>
            <w:tcW w:w="5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23,620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12,183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11,437</w:t>
            </w:r>
          </w:p>
        </w:tc>
      </w:tr>
      <w:tr>
        <w:trPr>
          <w:trHeight w:val="210"/>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69,524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39,946</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29,578</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6,893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6,071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5,980</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(33,966)</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(29,487)</w:t>
            </w:r>
          </w:p>
        </w:tc>
      </w:tr>
      <w:tr>
        <w:trPr>
          <w:trHeight w:val="209"/>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-1447800</wp:posOffset>
            </wp:positionV>
            <wp:extent cx="171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-1447800</wp:posOffset>
            </wp:positionV>
            <wp:extent cx="1714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-607695</wp:posOffset>
            </wp:positionV>
            <wp:extent cx="1714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-607695</wp:posOffset>
            </wp:positionV>
            <wp:extent cx="1714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-316230</wp:posOffset>
            </wp:positionV>
            <wp:extent cx="171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wp:posOffset>
            </wp:positionV>
            <wp:extent cx="1714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171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1714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71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71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3"/>
        </w:trPr>
        <w:tc>
          <w:tcPr>
            <w:tcW w:w="6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10"/>
        </w:trPr>
        <w:tc>
          <w:tcPr>
            <w:tcW w:w="62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w:t>
            </w: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9,340</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8,435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DISC-0974</w:t>
            </w:r>
          </w:p>
        </w:tc>
        <w:tc>
          <w:tcPr>
            <w:tcW w:w="86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w:t>
            </w:r>
          </w:p>
        </w:tc>
        <w:tc>
          <w:tcPr>
            <w:tcW w:w="8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9,187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7,519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86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16,028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8,896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7,132</w:t>
            </w: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45,904</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27,763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18,141</w:t>
            </w:r>
          </w:p>
        </w:tc>
      </w:tr>
      <w:tr>
        <w:trPr>
          <w:trHeight w:val="20"/>
        </w:trPr>
        <w:tc>
          <w:tcPr>
            <w:tcW w:w="6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-170815</wp:posOffset>
            </wp:positionV>
            <wp:extent cx="1543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1460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$45.9 million for the three months ended March 31, 2026, compared to $27.8 million for the three months ended March 31, 2025. The increase of $18.1 million was primarily due to an increase of $7.5 million in DISC-3405 development expenses. This increase was primarily driven by a $5.0 million milestone payment triggered by the first administration to a patient in the Phase 1b clinical trial of DISC-3405 in a second indication. Personnel-related costs increased $7.1 million related to increased research and development headcount, including an increase of $2.8 million in stock-based compensation driven by awards granted under our equity compensation plans and an increase of $0.2 million related to an organizational restructuring. DISC-0974 development expenses increased $2.0 million primarily due to clinical trial advancement and drug manufacturing activities. There was also a $0.9 million increase in bitopertin development expense reflecting ongoing costs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both the APOLLO trial and the HELIOS long-term extension trial. Other research programs and expenses increased $0.6 million related to expanded research initiatives and ongoing program support.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months ended March 31, 2026 and 2025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3"/>
        </w:trPr>
        <w:tc>
          <w:tcPr>
            <w:tcW w:w="6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09"/>
        </w:trPr>
        <w:tc>
          <w:tcPr>
            <w:tcW w:w="6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15,472</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6,820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8,652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8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715</w:t>
            </w: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23,620</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12,183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11,437</w:t>
            </w:r>
          </w:p>
        </w:tc>
      </w:tr>
      <w:tr>
        <w:trPr>
          <w:trHeight w:val="20"/>
        </w:trPr>
        <w:tc>
          <w:tcPr>
            <w:tcW w:w="6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$23.6 million for the three months ended March 31, 2026, compared to $12.2 million for the three months ended March 31, 2025. The increase of $11.4 million was primarily due to an increase of $8.7 million in personnel-related costs due to increased selling, general and administrative headcount, including an increase of $2.8 million in stock-based compensation driven by awards granted under our equity compensation plans and an increase of $1.6 million related to an organizational restructuring. There was also a $2.1 million increase in legal, consulting, and professional fees primarily related to developing our commercialization capabilities.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$6.1 million for the three months ended March 31, 2026, compared to $6.0 million for the three months ended March 31, 2025. Other income (expense), net consists primarily of interest income from our cash, cash equivalents and marketable securities, partially offset by interest expense associated with our term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$0.1 million for the three months ended March 31, 2026 and 2025, respectively. This expense primarily relates to state income tax resulting from an increase in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Quarterly Report on Form 10-Q for additional risks associated with our substantial capital requirements.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March 31, 2026, we have received net proceeds of $144.5 million from sales of our Series Seed, Series A and Series B convertible preferred stock, $89.5 million from the merger with Gemini, $941.8 million from various private and public sales of our equity securities, and $27.6 million from borrowings under the Hercules Loan Agreement. As of March 31, 2026, we had cash, cash equivalents and marketable securities of $730.2 million.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March 31, 2026, had an accumulated deficit of $573.7 million. In addition, we expect to continue to incur significant and increasing expenses and operating losses for the foreseeable future.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1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-3175</wp:posOffset>
            </wp:positionV>
            <wp:extent cx="22459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(62,236)</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58,307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(272,633)</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244,251</w:t>
            </w:r>
          </w:p>
        </w:tc>
      </w:tr>
      <w:tr>
        <w:trPr>
          <w:trHeight w:val="23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(69,758)</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of $62.2 million was primarily due to our net loss of $63.5 million and the change in operating assets and liabilities of $10.0 million. These were partially offset by non-cash expenses of $11.3 million which included $11.9 million in stock-based compensation, reduced by $1.1 million from amortization and accretion of investment securities.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of $41.4 million was primarily due to our net loss of $34.1 million and the change in operating assets and liabilities of $11.5 million. These were partially offset by non-cash expenses of $4.2 million which included $6.4 million in stock-based compensation, reduced by $2.5 million from amortization and accretion of investment securities.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investing activities was primarily due to maturities of marketable securities of $152.1 million, partially offset by purchases of marketable securities of $93.8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primarily due to purchases of marketable securities of $347.3 million, partially offset by maturities of marketable securities of $75.5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of $1.7 million consisted primarily of proceeds from stock option exercises.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of $244.3 million consisted primarily of aggregate net proceeds of $243.4 million from our underwritten offering in January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with operating as a public company. Our future capital requirements will depend on and could increase significantly as a result of many factors,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 and the effects that such obligations are expected to have on our liquidity and cash flows in future periods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4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74" w:lineRule="exact"/>
        <w:rPr>
          <w:sz w:val="20"/>
          <w:szCs w:val="20"/>
          <w:color w:val="auto"/>
        </w:rPr>
      </w:pPr>
    </w:p>
    <w:p>
      <w:pPr>
        <w:jc w:val="both"/>
        <w:ind w:firstLine="8"/>
        <w:spacing w:after="0" w:line="267" w:lineRule="auto"/>
        <w:tabs>
          <w:tab w:leader="none" w:pos="24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contractual rent payments due for our leased and subleased office spaces in Watertown, Massachusetts as of March 31, 2026 and include contractual payments due under our forward-starting lease which is expected to commence in December 2026. The term date for our existing lease is December 31, 2029 and the term date for our existing sublease is November 30,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and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2025 for more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 our Annual Report on Form 10-K for the year ended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we had cash, cash equivalents and marketable securities of $730.2 million and $791.2 million, respectively. As of March 31, 2026 and December 31, 2025, our cash equivalents consisted of corporate debt securities with original maturities of three months or less and our marketable securities consisted of U.S. treasury, U.S. government agency, and corporate debt securities which were classified as available-for-sale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March 31, 2026, the net fair value of our marketable securities would decrease by approximately $4.5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March 31, 2026,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losses were $63.5 million and $34.1 million for the three months ended March 31, 2026 and 2025, respectively. We had an accumulated deficit of $573.7 million as of March 31, 2026. Substantially all of our net losses have resulted from costs incurred in connection with our research and development programs and from selling, general and administrative costs associated with our operations. We expect our research and development expenses to continue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 if and when our product candidates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during 2026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any of our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 outcomes of our interactions with these regulatory authorities, including interactions critical to successfully advancing through the different phases of clinical development, such as end-of-phase 2 meetings with the FDA, may be difficult to predict ahead of time. In particular,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Our ability to successfully advance from preclinical studies through the different phases of clinical development is therefore subject to significant uncertainty.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Historically, the FDA has generally required two well-controlled clinical trials to support registration of a new drug or biologic, although exceptions have been made in cases of a severe disease with few treatment options, and in principle this exception may appear applicable to many of the diseases that we seek to treat, such as EPP, XLP, anemia of MF, DBA and others. More recently, the FDA has indicated that its default position will be that one well-controlled clinical trial, combined with confirmatory evidence, will serve as the basis of marketing authorization of novel products. Nonetheless, the FDA and other regulators may always require additional clinical trials to support regulatory approval.</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for and commercialize our product candidates and achieve profitability.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Although we design our clinical trials with the intent of mitigating potential risks,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our ongoing RALLY-MF Phase 2 clinical trial of DISC-0974, and our ongoing clinical trials of DISC-3405,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or prior clinical trial results may not be indicative or predictive of future clinical trial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For example, in the Complete Response Letter, or CRL, that the FDA issued in February 2026 with respect to our NDA for accelerated approval of bitopertin in EPP and XLP, the FDA agreed that clinical data from our AURORA and BEACON clinical trials provided sufficient evidence that bitopertin significantly lowers whole blood metal-free PPIX, but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clinical benefit from an additional trial, such as our ongoing APOLLO trial, to support a potential traditional approval. The FDA also could change its view or give overriding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RALLY-MF Phase 2 DISC-0974 trial in patients with anemia of MF in December 2025.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w:t>
      </w:r>
    </w:p>
    <w:p>
      <w:pPr>
        <w:spacing w:after="0" w:line="27"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be slower than anticipated or participants may drop out of these clinical trials or fail to return for post-treatment follow-up at a higher rate than anticipated;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previously announced positive data from our Phase 2 BEACON and AURORA clinical trials of bitopertin in patients with EPP, but there can be no assurance that our Phase 3 APOLLO clinical trial of bitopertin in patients with EPP will be successful or that the results of our APOLLO clinical trial will support a traditional approval of bitopertin for EPP. In addition, we previously announced positive initial data from our RALLY-MF Phase 2 clinical trial of DISC-0974 in patients with anemia of MF. However, there can be no assurance that DISC-0974 will achieve the desired effects in this indication. Further, we announced positive results from a Phase 1 clinical trial of DISC-3405 in healthy adult volunteers in December 2024 and June 2025,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and adherence to the clinical trial protocols and the rate of dropout among clinical trial participants. Many product candidates that initially showed promise in early-stage testing have later been found to cause side</w:t>
      </w:r>
    </w:p>
    <w:p>
      <w:pPr>
        <w:jc w:val="both"/>
        <w:spacing w:after="0" w:line="253" w:lineRule="auto"/>
        <w:rPr>
          <w:sz w:val="20"/>
          <w:szCs w:val="20"/>
          <w:color w:val="auto"/>
        </w:rPr>
      </w:pPr>
      <w:r>
        <w:rPr>
          <w:rFonts w:ascii="Times New Roman" w:cs="Times New Roman" w:eastAsia="Times New Roman" w:hAnsi="Times New Roman"/>
          <w:sz w:val="18"/>
          <w:szCs w:val="18"/>
          <w:color w:val="auto"/>
        </w:rPr>
        <w:t>effects that prevented further development.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Further, undesirable side effects in one of our clinical trials for a product candidate in one indication could adversely affect enrollment in clinical trials, regulatory approval and commercialization of such product candidate in other indications.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who completed BEACON were eligible to participate in HELIOS, an open-label, long-term extension study of bitopertin in EPP and XLP patients, that we are also conducting in Australia, as well as the United States. We are also conducting APOLLO, a Phase 3,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for review. Even if the FDA or a comparable foreign regulatory authority accepts an application for review, we can provide no assurance that an accepted application will ultimately result in an approval. Any guidance we receive from the FDA or other comparable regulatory authorities during the development or marketing application review processes is subject to change. As such, the outcomes of our interactions with such regulatory authorities during such review processes, such as pre-NDA or Type A meetings with the FDA, and the ultimate approval decision, are subject to significant uncertainty. Among other things, the FDA or a comparable foreign regulatory authority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we submitted an NDA for accelerated approval of bitopertin in EPP and XLP in the United States in September 2025. In February 2026, the FDA issued a CRL. Although the FDA agreed that clinical data from our AURORA and BEACON clinical trials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a clinical benefit from an additional clinical trial, such as our ongoing APOLLO trial, to support a potential traditional approval.</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the “Business—Competition” section of our Annual Report on Form 10-K for the year ended December 31, 2025 for examples of the competition that our product candidates face.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inflammatory bowel disease, or IBD. We are initially focused on developing DISC-3405 for the treatment of PV and sickle cell disease, or SCD. Our projections of both the number of people who have these diseases, as well as the subset of people with these diseases who have the potential to benefit from treatment with our programs and product candidates, are based on our estimates.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EPP, XLP, anemias of MF or IBD, PV, SCD, or other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indications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certain that the patient populations for each specific disease will be large enough to allow us to successfully obtain approval for our product candidates, or successfully commercialize any of our product candidates, if approved, and achieve profitability.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recalls;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brought against us could cause us to incur substantial liabilities and could limit commercialization of any product candidates that we may develop.</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any product candidates in human clinical trials and will face an even greater risk if we commercially sell such product candidates. If we cannot successfully defend ourselves against any such claims, we may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highly dependent upon consumer perceptions of us and the safety and quality of any product candidate we commercialize. We could be adversely affected if we are subject to negative publicity. We could also be adversely affected if any of our future products or any similar products distributed by other companies prove to be, or are asserted to be, harmful to patients. 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product candidates. Insurance coverage is increasingly expensive. We may not be able to maintain insurance coverage at a reasonable cost or in an amount adequate to satisfy any liability that may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or meet expected deadlines, we may not be able to obtain regulatory approval for or commercialize our product candidates and our business could be substantially harmed.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the Phase 3 APOLLO clinical trial of bitopertin in EPP and XLP, as well as clinical trials for our other product candidates.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 For example, 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Communicating with outside parties can also be challenging, potentially leading to mistakes as well as difficulties in coordinating activities. Outside parties may:</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or if any of our relationships with these third-party principal investigators or CROs terminate,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also rely on academic and private non-academic institutions to conduct and sponsor clinical trials relating to our product candidates, such as the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compared to the first-hand knowledge we might have gained had the investigator-sponsored trials been sponsored and conducted by us, then our ability to design and conduct any future clinical trials ourself may be adversely affected.</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As such,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time, cost or quality, which could delay, prevent or impair our development or commercialization efforts.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require that we conduct bridging studies between our prior supply used in our clinical trials and that of any new manufacturer. We may be unsuccessful in demonstrating the comparability of clinical supplies which could require the conduct of additional clinical trials.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legislation pending in Congress would prohibit U.S. federal funding in connection with biotechnology equipment or services produced or provided by certain named Chinese “biotechnology companies of concern” and loans and grants to, and federal contracts with any entity that uses biotechnology equipment or services from one of these entities. The legislation would also give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to manufacture certain materials used in clinical trials of our product candidates or to provide services in connection with certain clinical trials or certain discovery activities. Our engagement with these foreign and foreign-owned vendors may be subject to additional U.S. legislation,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such product candidates, and to ultimately supply any resulting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proposed federal legislation that would prohibit U.S. federal funding in connection with biotechnology equipment or services produced or provided by certain named Chinese “biotechnology companies of concern” or a similar law were to be enacted. Any negative impact of such matters on our third-party suppliers and manufacturers may also have an adverse impact on our results of operations or financial condition.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and commercialization efforts, which could harm our business, results of operations, financial condition and prospects.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any of our product candidates is unable to increase the scale of its production of such product candidates or increase the product yield of its manufacturing, then our costs to manufacture such product or product candidate may increase and any commercialization may be delayed.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components and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such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commercialize bitopertin, including certain back-up compounds and derivatives, for all prophylactic and therapeutic uses. The Roche license covers know-how, and certain specified Roche patent rights, including a composition of matter patent for bitopertin that expires in 2026.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competing. Much of our patent portfolio is at an early stage. We will need to decide whether and in which jurisdictions to pursue protection for the various inventions in our portfolio prior to applicable deadlines.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licenses or sublicenses to intellectual property rights in all markets on equally or sufficiently favorable terms with third parties.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2025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5540" w:right="3700" w:hanging="5158"/>
        <w:spacing w:after="0" w:line="282" w:lineRule="auto"/>
        <w:tabs>
          <w:tab w:leader="none" w:pos="7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current or future product candidates, the defendant could counterclaim that such patent,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or judicial requirements, including lack of patentable subject matter, lack of written description, lack of novelty, obviousness, non-enablement, or double patenting. Grounds for an unenforceability assertion could be an allegation that someone connected with prosecution of the patent withheld relevant information from the USPTO that was material to patentability, or made a misleading statement, with an intent to deceive the USPTO, in the process of obtaining the patent during patent prosecution. Third parties may also raise similar claims before administrative bodies in the U.S. or abroad, even outside the context of litigation. Such mechanisms include re-examination, inter partes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w:t>
      </w: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previously requested and received priority review for our NDA for bitopertin for EPP and XLP, and may request priority review of applications for our other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Vouchers for rare pediatric disease drugs are awarded for qualifying applications when the drug receives approval. However,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In September 2025, we submitted an NDA for accelerated approval of bitopertin in EPP and XLP in the United States and we requested a rare pediatric disease review voucher. In February 2026, the FDA issued a CRL indicating that, while accelerated approval was not warranted, results from an additional clinical trial, such as our ongoing APOLLO clinical trial, could serve as evidence to support a potential traditional approval. We plan to submit a response to the CRL following receipt of topline data from APOLLO. However, even if the FDA ultimately approves our NDA for bitopertin, the FDA may determine that the NDA does not meet the eligibility criteria for a priority review voucher.</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current law, after September 30, 2029, the FDA may not award any rare pediatric disease priority review vouchers. However, it is possible that the FDA's authority to do so may be extended by Congress in the future.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sought approval from the FDA for bitopertin for EPP and XLP, and we may seek approval for any of our other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sought accelerated approval of bitopertin for EPP and XLP, and we may seek accelerated approval for any of our other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54" w:lineRule="auto"/>
        <w:rPr>
          <w:sz w:val="20"/>
          <w:szCs w:val="20"/>
          <w:color w:val="auto"/>
        </w:rPr>
      </w:pPr>
      <w:r>
        <w:rPr>
          <w:rFonts w:ascii="Times New Roman" w:cs="Times New Roman" w:eastAsia="Times New Roman" w:hAnsi="Times New Roman"/>
          <w:sz w:val="18"/>
          <w:szCs w:val="18"/>
          <w:color w:val="auto"/>
        </w:rPr>
        <w:t>submission of a marketing application or as a result of the FDA's review of the marketing application, the FDA may determine that our product candidate is not eligible for accelerated approval or that accelerated approval is not warranted. For example, in February 2026, the FDA issued a CRL in response to our NDA for accelerated approval of bitopertin for EPP and XLP.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and therefore decided that accelerated approval was not warranted. Moreover, FDA may revise how it implements accelerated approval, which could negatively affect the development of our current or future product candidates.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traditional FDA approval, if received at all. For example, as we were not able to obtain accelerated approval for bitopertin in EPP or XLP, we will need to successfully complete at least one additional clinical trial, such as our ongoing Phase 3 APOLLO trial, before responding to the FDA's CRL in support of a potential traditional approval.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 Commissioner’s National Priority Voucher for bitopertin but the accelerated timeline for review of our NDA submission for bitopertin in EPP and XLP by the FDA did not result in an approval and it is unclear what, if any, benefits this voucher may provide in the future.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FDA announced the creation of a new program, the Commissioner’s National Priority Voucher, or CNPV,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affordability. The FDA has stated that voucher recipients will receive a decision with respect to a drug application on an accelerated basis, as well as enhanced communication with review staff throughout the development process prior to final submission of the application and during the review period.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expects the CNPV program to accelerate the standard application review timeline after NDA acceptance from 10 months to 1-2 months by convening a multidisciplinary team of physicians and scientists for a team-based review, interacting frequently with the sponsor to clarify questions, and completing review of the application concurrently. Following completion of these steps, the multidisciplinary team will convene for a one-day “tumor board style” decision meeting.</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16, 2025, the FDA announced that bitopertin for porphyria was one of the first nine recipients of a CNPV. As a result, the NDA for bitopertin for EPP and XLP was eligible for the benefits of this program. However, receipt of the CNPV does not guarantee that the NDA will be approved on an expedited basis or at all, and in February 2026 the FDA issued a CRL with respect to our NDA indicating that we would need to provide evidence of a clinical benefit from an additional clinical trial, such as our ongoing APOLLO trial, to support a potential approval. We plan to respond to the CRL once such clinical data is available but it is unclear whether the benefits of the CNPV will continue to apply at that time or at any subsequent phase of the NDA review process. Even if the CNPV does continue to apply in the future, the FDA has stated that the review time for an application of a CNPV recipient may be extended, including because the FDA requests additional or clarifying information to review the application, there are manufacturing issues, or for other reasons deemed appropriate by the FDA. The CNPV program is in pilot stage, so its implementation, operation, and ultimate impact are subject to uncertainty. In addition, even if the CNPV program does ultimately result in a faster approval process, there is no guarantee that we will be able to begin commercialization of our product at the time of such approval or that we will be otherwise able to maintain such approval.</w:t>
      </w:r>
    </w:p>
    <w:p>
      <w:pPr>
        <w:spacing w:after="0" w:line="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8"/>
          <w:szCs w:val="18"/>
          <w:color w:val="auto"/>
        </w:rPr>
        <w:t>regulatory positions and interpretations, delay or prevent approval and commercialization of our product candidates or lead to significant post-approval limitations or restrictions. As we continue to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NIH’s ability to conduct and partner with industry on important research, and CMS’s ability to operate efficiently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in October 2025, and certain regulatory agencies, such as the FDA and the SEC, have had to furlough critical FDA, SEC and other government employees and stop critical activities. If a prolonged government shutdown or a widespread freeze on federal funding occurs in the future,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has previously sought to reduce the NIH budget and bar disbursements for funding of medical research, and may seek to do so in the future, which could decrease the ability of facilities that rely on NIH funding to enroll and conduct clinical trials or increase the costs to us of conducting clinical trials.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conducted significant layoffs and it is currently unclear whether and how such staff reductions may impact our business.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is substantial uncertainty as how the current administration's modifications to the requirements and policies of the FDA and other relevant regulatory agencies may affect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measures may have a material adverse effect on our business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“Business—Government Regulation—Current and Future U.S. Healthcare Reform Legislation” in our Annual Report on Form 10-K for the year ended December 31, 2025.</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significant number of legislative initiatives to contain healthcare costs, including at the state level where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For example, CMS may develop new payment and delivery models, including most-favored nation proposals, bundled payment models, or other drug pricing reforms, any of which could have a material adverse effect on our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the demand for our current or future product candidates, if we obtain regulatory approval; our ability to set a price that we believe is fair for our products; our ability to obtain coverage and reimbursement approval for a product; our ability to generate revenue and achieve or maintain profitability; the level of taxes that we are required to pay; and the availability of capital.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which may adversely affect our future profitability.</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w:t>
      </w:r>
    </w:p>
    <w:p>
      <w:pPr>
        <w:spacing w:after="0" w:line="4" w:lineRule="exact"/>
        <w:rPr>
          <w:sz w:val="20"/>
          <w:szCs w:val="20"/>
          <w:color w:val="auto"/>
        </w:rPr>
      </w:pPr>
    </w:p>
    <w:p>
      <w:pPr>
        <w:ind w:left="5540" w:right="2340" w:hanging="4777"/>
        <w:spacing w:after="0" w:line="260" w:lineRule="auto"/>
        <w:rPr>
          <w:sz w:val="20"/>
          <w:szCs w:val="20"/>
          <w:color w:val="auto"/>
        </w:rPr>
      </w:pPr>
      <w:r>
        <w:rPr>
          <w:rFonts w:ascii="Times New Roman" w:cs="Times New Roman" w:eastAsia="Times New Roman" w:hAnsi="Times New Roman"/>
          <w:sz w:val="18"/>
          <w:szCs w:val="18"/>
          <w:color w:val="auto"/>
        </w:rPr>
        <w:t>number of statutory exceptions and regulatory safe harbors protecting some common activities from prosecution;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ind w:left="760" w:hanging="378"/>
        <w:spacing w:after="0" w:line="25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otherwise negatively affect these patient support programs, which could result in fewer patients using affected products, and therefore could have a material adverse effect on our sales, business, and financial condition.</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which significantly modified the CCPA by expanding consumer rights with respect to certain sensitive information, and creating a new state agency that is vested with authority to implement and enforce the CCPA.</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comprehensive consumer privacy laws, certain states have enacted privacy laws with more limited focus.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introduced the Data Protection and Digital Information Bill, which failed in the UK legislative process.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approach to processing European personal data and expose us to two parallel regimes where the UK GDPR and EU GDPR both apply with differing interpretation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The European Commission has also proposed reforms under the “Digital Omnibus” package which, if adopted, may further modify GDPR-related requirements, including by clarifying the scope of “personal data” and the treatment of coded or de-identified data, potentially requiring further adjustments to our European privacy compliance framework. 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organizations providing services in the EEA, including to certain providers engaged in research and development of medicinal products. To the extent applicable, the new regime imposes direct obligations on management regarding compliance with NIS 2, requiring covered organizations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became effective in August 2025. As currently enacted, the AI Act, which may be amended as part of the EU’s Digital Omnibus,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We also conducted an organizational restructuring in February 2026, which could impede future recruiting and hiring efforts. If we are unable to continue to attract and retain high quality personnel, our ability to pursue our growth strategy will be limited.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we had 154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conducted an organizational restructuring in February 2026. We may not realize, in full or in part, the anticipated benefits, savings and improvements in our cost structure from this restructuring effort due to unforeseen difficulties, delays or unexpected costs. If we are unable to realize the expected operational efficiencies and cost savings from this restructuring, our operating results and financial condition would be adversely affected. Furthermore, the effects of this restructuring may be disruptive to our operations. For example, headcount reductions could yield unanticipated consequences, such as increased difficulties in implementing our business strategy, including retention of remaining employees.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the “One Big Beautiful Bill Act,” or OBBBA, was signed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Topic 740, the effects of the new tax law will be recognized in the period of enactment. The Company has evaluated the impact of the OBBBA, and although we do not expect the legislation to have a material financial statement effect, it cannot be predicted whether, when, in what form or with what effective dates other tax laws, regulations and rulings may be enacted, promulgated or issued, which could result in an increase in our or our stockholders’ tax liability or require changes in the manner in which we operate in order to minimize or mitigate any adverse effects of changes in tax law. Further, existing tax laws, statutes, rules, regulations, rulings or ordinances could be interpreted, changed, modified or applied adversely to us. Prospective investors should consult their tax advisors regarding the potential consequences of changes in tax law on our business and on the ownership and disposition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$342.9 million and $331.8 million, respectively. Substantially all of the federal net operating loss carryforwards are not subject to expiration and the state net operating loss carryforwards begin to expire in 2037. As of December 31, 2025, we also had federal and state research and development tax credit carryforwards of $32.1 million and $4.3 million, respectively, which begin to expire in 2037.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(by value)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public health crisis, pandemic, epidemic, or outbreak of an infectious or highly contagious disease may materially and adversely affect our business and financial results and could cause a disruption to the development of our product candidates.” In addition, the impact of geopolitical tension, such as a deterioration in the bilateral relationship between the United States and China or an escalation in conflict between Russia and Ukraine, the United States and Iran, and in the Middle East,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other circumstances beyond our control could cause business disruptions that could seriously harm our future revenue and financial condition and increase our costs and expenses. Our operations, and those of our vendors and suppliers, could be subject to power shortages, telecommunications failures, water shortages, civil unrest, labor disputes, violence, earthquakes, floods, hurricanes, typhoons, fires, extreme weather conditions, and other natural or man-made disasters or business interruptions. The occurrence of any of these business disruptions could seriously harm our operations and financial condition and increase our costs and expenses.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or other circumstances beyond our control could adversely impact our business.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18"/>
          <w:szCs w:val="18"/>
          <w:color w:val="auto"/>
        </w:rPr>
        <w:t>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Some of the factors that may cause the market price of our common stock to fluctuate include:</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and manufacturing processes, our ability to receive regulatory approval for product candidates, and the terms of such approvals;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 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hematology-focused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previously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under Item 9A of our Annual Report on Form 10-K for the fiscal year ended December 31, 2024, we previously identified a material weakness in internal controls related to a lack of design and maintenance of effective Information Technology General Controls, or ITGCs, over certain key financial IT systems. As a result, the related business process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controls (specifically, the IT application controls and IT-dependent manual controls) that are dependent on the ineffective ITGCs, or that use information produced from the systems impacted by the ineffective ITGCs, were also ineffective. Although the material weakness did not result in any material misstatements in our consolidated financial statements for the periods presented and there were no changes to previously released financial results, our management concluded that these control deficiencies constituted a material weakness and that our internal control over financial reporting was not effective as of December 31,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material weakness, we (i) developed and implemented additional training and awareness programs addressing ITGCs and policies, including educating control owners concerning the principles and requirements of each control, with a focus on user access; (ii) increased the extent of oversight and verification checks included in the operation of user access and program change management controls and processes; (iii) deployed additional tools to support administration of user access and program change management; and (iv) enhanced quarterly management reporting on the remediation measures to the Audit Committee of the Board of Directors. As of December 31, 2025, the material weakness had been remediated.</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we have remediated this material weakness, investor perceptions of our company may suffer as a result of this previous material weakness or any future material weakness in our internal controls and cause a decline in the price of our common stock.</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by existing stockholders could cause our stock price to decline.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the trading price of our common stock could decline. As of March 31, 2026, we had 38,190,464 shares of common stock outstanding. All outstanding shares of common stock, other than shares held by our affiliates are freely tradable, without restriction, in the public market. In addition, shares of common stock that are subject to outstanding options of ours are or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significantly influence all matters submitted to our stockholders for approval.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our executive officers, directors and principal stockholders, in the aggregate, beneficially owned approximately 31% of our outstanding shares of common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March 31, 2026: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Title</w:t>
            </w:r>
          </w:p>
        </w:tc>
        <w:tc>
          <w:tcPr>
            <w:tcW w:w="316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68"/>
        </w:trPr>
        <w:tc>
          <w:tcPr>
            <w:tcW w:w="3060" w:type="dxa"/>
            <w:vAlign w:val="bottom"/>
            <w:vMerge w:val="continue"/>
          </w:tcPr>
          <w:p>
            <w:pPr>
              <w:spacing w:after="0"/>
              <w:rPr>
                <w:sz w:val="5"/>
                <w:szCs w:val="5"/>
                <w:color w:val="auto"/>
              </w:rPr>
            </w:pPr>
          </w:p>
        </w:tc>
        <w:tc>
          <w:tcPr>
            <w:tcW w:w="3160" w:type="dxa"/>
            <w:vAlign w:val="bottom"/>
            <w:gridSpan w:val="2"/>
            <w:vMerge w:val="continue"/>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c>
          <w:tcPr>
            <w:tcW w:w="316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Up to</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(March 12, 2026)</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4,</w:t>
            </w:r>
          </w:p>
        </w:tc>
        <w:tc>
          <w:tcPr>
            <w:tcW w:w="11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100,000</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Yu, M.B.A.</w:t>
            </w:r>
          </w:p>
        </w:tc>
        <w:tc>
          <w:tcPr>
            <w:tcW w:w="31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tcPr>
          <w:p>
            <w:pPr>
              <w:spacing w:after="0"/>
              <w:rPr>
                <w:sz w:val="17"/>
                <w:szCs w:val="17"/>
                <w:color w:val="auto"/>
              </w:rPr>
            </w:pPr>
          </w:p>
        </w:tc>
        <w:tc>
          <w:tcPr>
            <w:tcW w:w="1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Up to 63,536</w:t>
            </w:r>
          </w:p>
        </w:tc>
        <w:tc>
          <w:tcPr>
            <w:tcW w:w="1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17, 2026)</w:t>
            </w: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Rahul Khara, Pharm.D., J.D.</w:t>
            </w:r>
          </w:p>
        </w:tc>
        <w:tc>
          <w:tcPr>
            <w:tcW w:w="316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Up to 20,000</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spacing w:after="0"/>
              <w:rPr>
                <w:sz w:val="20"/>
                <w:szCs w:val="20"/>
                <w:color w:val="auto"/>
              </w:rPr>
            </w:pP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060" w:type="dxa"/>
            <w:vAlign w:val="bottom"/>
          </w:tcPr>
          <w:p>
            <w:pPr>
              <w:spacing w:after="0"/>
              <w:rPr>
                <w:sz w:val="24"/>
                <w:szCs w:val="24"/>
                <w:color w:val="auto"/>
              </w:rPr>
            </w:pPr>
          </w:p>
        </w:tc>
        <w:tc>
          <w:tcPr>
            <w:tcW w:w="3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54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22"/>
                <w:szCs w:val="22"/>
                <w:color w:val="auto"/>
              </w:rPr>
            </w:pPr>
          </w:p>
        </w:tc>
        <w:tc>
          <w:tcPr>
            <w:tcW w:w="100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0" w:type="dxa"/>
            <w:vAlign w:val="bottom"/>
            <w:gridSpan w:val="9"/>
          </w:tcPr>
          <w:p>
            <w:pPr>
              <w:ind w:left="20"/>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Merger Sub, Inc. and Disc Medicine, Inc. (incorporated by reference to Annex A to the Registrant’s Proxy Statement/Prospectus on Form</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S-4 filed on September 2,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Certificate of Incorporation of Disc Medicine, Inc., dated February 5, 2021 (incorporated by reference to Exhibit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on February 11,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000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3.1 to the Registrant’s Current Report on Form 8-K filed on December 29,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0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(incorporated by reference to Exhibit 3.2 to the Registrant’s Current Report on Form 8-K filed on December 29,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0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By-laws  of  Disc  Medicine,  Inc.  (incorporated  by  reference  to  Annex  C  to  the  Registrant's  Proxy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Statement/Prospectus on Form S-4/A filed on January 19, 2021 (Registration No. 333-249785)).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350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56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46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540" w:type="dxa"/>
            <w:vAlign w:val="bottom"/>
            <w:gridSpan w:val="7"/>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jc w:val="both"/>
        <w:ind w:firstLine="8"/>
        <w:spacing w:after="0" w:line="266" w:lineRule="auto"/>
        <w:tabs>
          <w:tab w:leader="none" w:pos="2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firstLine="8"/>
        <w:spacing w:after="0" w:line="282" w:lineRule="auto"/>
        <w:tabs>
          <w:tab w:leader="none" w:pos="1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r>
      <w:tr>
        <w:trPr>
          <w:trHeight w:val="191"/>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6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r>
      <w:tr>
        <w:trPr>
          <w:trHeight w:val="211"/>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r>
    </w:tbl>
    <w:p>
      <w:pPr>
        <w:jc w:val="cente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3" w:name="page84"/>
    <w:bookmarkEnd w:id="8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4" w:name="page85"/>
    <w:bookmarkEnd w:id="8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March 31, 2026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07" Type="http://schemas.openxmlformats.org/officeDocument/2006/relationships/hyperlink" Target="https://www.sec.gov/Archives/edgar/data/1816736/000114036122032239/ny20005172x1_s4.htm#tANNEXA" TargetMode="External"/><Relationship Id="rId208" Type="http://schemas.openxmlformats.org/officeDocument/2006/relationships/hyperlink" Target="https://www.sec.gov/Archives/edgar/data/1816736/000121390021008478/ea135023ex3-1_gemini.htm" TargetMode="External"/><Relationship Id="rId209" Type="http://schemas.openxmlformats.org/officeDocument/2006/relationships/hyperlink" Target="https://www.sec.gov/Archives/edgar/data/1816736/000114036122047453/brhc10045896_ex3-1.htm" TargetMode="External"/><Relationship Id="rId210" Type="http://schemas.openxmlformats.org/officeDocument/2006/relationships/hyperlink" Target="https://www.sec.gov/Archives/edgar/data/1816736/000114036122047453/brhc10045896_ex3-2.htm" TargetMode="External"/><Relationship Id="rId211" Type="http://schemas.openxmlformats.org/officeDocument/2006/relationships/hyperlink" Target="https://www.sec.gov/Archives/edgar/data/1816736/000121390021002636/fs42021a5_fsdevelopment.htm#T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2026-05-05T07:38:04Z</dcterms:created>
  <dcterms:modified xsi:type="dcterms:W3CDTF">2026-05-05T07:38:04Z</dcterms:modified>
</cp:coreProperties>
</file>