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November 17, 2023</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2014"/>
              <w:spacing w:after="0"/>
              <w:rPr>
                <w:sz w:val="20"/>
                <w:szCs w:val="20"/>
                <w:color w:val="auto"/>
              </w:rPr>
            </w:pPr>
            <w:r>
              <w:rPr>
                <w:rFonts w:ascii="Arial" w:cs="Arial" w:eastAsia="Arial" w:hAnsi="Arial"/>
                <w:sz w:val="14"/>
                <w:szCs w:val="14"/>
                <w:b w:val="1"/>
                <w:bCs w:val="1"/>
                <w:color w:val="auto"/>
                <w:w w:val="94"/>
              </w:rPr>
              <w:t>Delaware</w:t>
            </w:r>
          </w:p>
        </w:tc>
        <w:tc>
          <w:tcPr>
            <w:tcW w:w="3300" w:type="dxa"/>
            <w:vAlign w:val="bottom"/>
          </w:tcPr>
          <w:p>
            <w:pPr>
              <w:jc w:val="center"/>
              <w:ind w:left="1994"/>
              <w:spacing w:after="0"/>
              <w:rPr>
                <w:sz w:val="20"/>
                <w:szCs w:val="20"/>
                <w:color w:val="auto"/>
              </w:rPr>
            </w:pPr>
            <w:r>
              <w:rPr>
                <w:rFonts w:ascii="Arial" w:cs="Arial" w:eastAsia="Arial" w:hAnsi="Arial"/>
                <w:sz w:val="14"/>
                <w:szCs w:val="14"/>
                <w:b w:val="1"/>
                <w:bCs w:val="1"/>
                <w:color w:val="auto"/>
                <w:w w:val="90"/>
              </w:rPr>
              <w:t>82-3220679</w:t>
            </w:r>
          </w:p>
        </w:tc>
      </w:tr>
      <w:tr>
        <w:trPr>
          <w:trHeight w:val="135"/>
        </w:trPr>
        <w:tc>
          <w:tcPr>
            <w:tcW w:w="3700" w:type="dxa"/>
            <w:vAlign w:val="bottom"/>
          </w:tcPr>
          <w:p>
            <w:pPr>
              <w:jc w:val="center"/>
              <w:ind w:right="199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300" w:type="dxa"/>
            <w:vAlign w:val="bottom"/>
          </w:tcPr>
          <w:p>
            <w:pPr>
              <w:jc w:val="center"/>
              <w:ind w:left="199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700" w:type="dxa"/>
            <w:vAlign w:val="bottom"/>
          </w:tcPr>
          <w:p>
            <w:pPr>
              <w:jc w:val="center"/>
              <w:ind w:right="1994"/>
              <w:spacing w:after="0"/>
              <w:rPr>
                <w:sz w:val="20"/>
                <w:szCs w:val="20"/>
                <w:color w:val="auto"/>
              </w:rPr>
            </w:pPr>
            <w:r>
              <w:rPr>
                <w:rFonts w:ascii="Arial" w:cs="Arial" w:eastAsia="Arial" w:hAnsi="Arial"/>
                <w:sz w:val="13"/>
                <w:szCs w:val="13"/>
                <w:b w:val="1"/>
                <w:bCs w:val="1"/>
                <w:color w:val="auto"/>
                <w:w w:val="88"/>
              </w:rPr>
              <w:t>incorporation or organization)</w:t>
            </w:r>
          </w:p>
        </w:tc>
        <w:tc>
          <w:tcPr>
            <w:tcW w:w="3300" w:type="dxa"/>
            <w:vAlign w:val="bottom"/>
          </w:tcPr>
          <w:p>
            <w:pPr>
              <w:jc w:val="center"/>
              <w:ind w:left="199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321 Arsenal Street, Suite 101</w:t>
      </w:r>
    </w:p>
    <w:p>
      <w:pPr>
        <w:jc w:val="center"/>
        <w:ind w:right="-119"/>
        <w:spacing w:after="0" w:line="233" w:lineRule="auto"/>
        <w:rPr>
          <w:sz w:val="20"/>
          <w:szCs w:val="20"/>
          <w:color w:val="auto"/>
        </w:rPr>
      </w:pPr>
      <w:r>
        <w:rPr>
          <w:rFonts w:ascii="Arial" w:cs="Arial" w:eastAsia="Arial" w:hAnsi="Arial"/>
          <w:sz w:val="15"/>
          <w:szCs w:val="15"/>
          <w:b w:val="1"/>
          <w:bCs w:val="1"/>
          <w:color w:val="auto"/>
        </w:rPr>
        <w:t>Watertown, MA 02472</w:t>
      </w:r>
    </w:p>
    <w:p>
      <w:pPr>
        <w:jc w:val="center"/>
        <w:ind w:right="-119"/>
        <w:spacing w:after="0" w:line="221" w:lineRule="auto"/>
        <w:rPr>
          <w:sz w:val="20"/>
          <w:szCs w:val="20"/>
          <w:color w:val="auto"/>
        </w:rPr>
      </w:pPr>
      <w:r>
        <w:rPr>
          <w:rFonts w:ascii="Arial" w:cs="Arial" w:eastAsia="Arial" w:hAnsi="Arial"/>
          <w:sz w:val="15"/>
          <w:szCs w:val="15"/>
          <w:b w:val="1"/>
          <w:bCs w:val="1"/>
          <w:color w:val="auto"/>
        </w:rPr>
        <w:t>(617) 674-9274</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John Quisel, J.D., Ph.D.</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Disc Medicine, Inc.</w:t>
      </w:r>
    </w:p>
    <w:p>
      <w:pPr>
        <w:jc w:val="center"/>
        <w:ind w:right="-119"/>
        <w:spacing w:after="0" w:line="222" w:lineRule="auto"/>
        <w:rPr>
          <w:sz w:val="20"/>
          <w:szCs w:val="20"/>
          <w:color w:val="auto"/>
        </w:rPr>
      </w:pPr>
      <w:r>
        <w:rPr>
          <w:rFonts w:ascii="Arial" w:cs="Arial" w:eastAsia="Arial" w:hAnsi="Arial"/>
          <w:sz w:val="14"/>
          <w:szCs w:val="14"/>
          <w:b w:val="1"/>
          <w:bCs w:val="1"/>
          <w:color w:val="auto"/>
        </w:rPr>
        <w:t>321 Arsenal Street, Suite 101</w:t>
      </w:r>
    </w:p>
    <w:p>
      <w:pPr>
        <w:jc w:val="center"/>
        <w:ind w:right="-119"/>
        <w:spacing w:after="0" w:line="221" w:lineRule="auto"/>
        <w:rPr>
          <w:sz w:val="20"/>
          <w:szCs w:val="20"/>
          <w:color w:val="auto"/>
        </w:rPr>
      </w:pPr>
      <w:r>
        <w:rPr>
          <w:rFonts w:ascii="Arial" w:cs="Arial" w:eastAsia="Arial" w:hAnsi="Arial"/>
          <w:sz w:val="14"/>
          <w:szCs w:val="14"/>
          <w:b w:val="1"/>
          <w:bCs w:val="1"/>
          <w:color w:val="auto"/>
        </w:rPr>
        <w:t>Watertown, MA 02472</w:t>
      </w:r>
    </w:p>
    <w:p>
      <w:pPr>
        <w:jc w:val="center"/>
        <w:ind w:right="-119"/>
        <w:spacing w:after="0" w:line="225" w:lineRule="auto"/>
        <w:rPr>
          <w:sz w:val="20"/>
          <w:szCs w:val="20"/>
          <w:color w:val="auto"/>
        </w:rPr>
      </w:pPr>
      <w:r>
        <w:rPr>
          <w:rFonts w:ascii="Arial" w:cs="Arial" w:eastAsia="Arial" w:hAnsi="Arial"/>
          <w:sz w:val="14"/>
          <w:szCs w:val="14"/>
          <w:b w:val="1"/>
          <w:bCs w:val="1"/>
          <w:color w:val="auto"/>
        </w:rPr>
        <w:t>(617) 674-9274</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4"/>
          <w:szCs w:val="24"/>
          <w:color w:val="auto"/>
        </w:rPr>
      </w:pPr>
    </w:p>
    <w:tbl>
      <w:tblPr>
        <w:tblLayout w:type="fixed"/>
        <w:tblInd w:w="210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482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420" w:type="dxa"/>
            <w:vAlign w:val="bottom"/>
          </w:tcPr>
          <w:p>
            <w:pPr>
              <w:jc w:val="center"/>
              <w:ind w:right="748"/>
              <w:spacing w:after="0"/>
              <w:rPr>
                <w:sz w:val="20"/>
                <w:szCs w:val="20"/>
                <w:color w:val="auto"/>
              </w:rPr>
            </w:pPr>
            <w:r>
              <w:rPr>
                <w:rFonts w:ascii="Arial" w:cs="Arial" w:eastAsia="Arial" w:hAnsi="Arial"/>
                <w:sz w:val="14"/>
                <w:szCs w:val="14"/>
                <w:b w:val="1"/>
                <w:bCs w:val="1"/>
                <w:color w:val="auto"/>
                <w:w w:val="95"/>
              </w:rPr>
              <w:t>William D. Collins, Esq.</w:t>
            </w:r>
          </w:p>
        </w:tc>
        <w:tc>
          <w:tcPr>
            <w:tcW w:w="4820" w:type="dxa"/>
            <w:vAlign w:val="bottom"/>
          </w:tcPr>
          <w:p>
            <w:pPr>
              <w:jc w:val="center"/>
              <w:ind w:left="2988"/>
              <w:spacing w:after="0"/>
              <w:rPr>
                <w:sz w:val="20"/>
                <w:szCs w:val="20"/>
                <w:color w:val="auto"/>
              </w:rPr>
            </w:pPr>
            <w:r>
              <w:rPr>
                <w:rFonts w:ascii="Arial" w:cs="Arial" w:eastAsia="Arial" w:hAnsi="Arial"/>
                <w:sz w:val="14"/>
                <w:szCs w:val="14"/>
                <w:b w:val="1"/>
                <w:bCs w:val="1"/>
                <w:color w:val="auto"/>
                <w:w w:val="96"/>
              </w:rPr>
              <w:t>Rahul Khara</w:t>
            </w:r>
          </w:p>
        </w:tc>
      </w:tr>
      <w:tr>
        <w:trPr>
          <w:trHeight w:val="148"/>
        </w:trPr>
        <w:tc>
          <w:tcPr>
            <w:tcW w:w="242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1"/>
              </w:rPr>
              <w:t>Stephanie Richards, Esq.</w:t>
            </w:r>
          </w:p>
        </w:tc>
        <w:tc>
          <w:tcPr>
            <w:tcW w:w="482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3"/>
              </w:rPr>
              <w:t>General Counsel</w:t>
            </w:r>
          </w:p>
        </w:tc>
      </w:tr>
      <w:tr>
        <w:trPr>
          <w:trHeight w:val="148"/>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Alicia M. Tschirhart, Esq.</w:t>
            </w:r>
          </w:p>
        </w:tc>
        <w:tc>
          <w:tcPr>
            <w:tcW w:w="482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2"/>
              </w:rPr>
              <w:t>Disc Medicine, Inc.</w:t>
            </w:r>
          </w:p>
        </w:tc>
      </w:tr>
      <w:tr>
        <w:trPr>
          <w:trHeight w:val="149"/>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Goodwin Procter LLP</w:t>
            </w:r>
          </w:p>
        </w:tc>
        <w:tc>
          <w:tcPr>
            <w:tcW w:w="482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1"/>
              </w:rPr>
              <w:t>321 Arsenal Street, Suite 101</w:t>
            </w:r>
          </w:p>
        </w:tc>
      </w:tr>
      <w:tr>
        <w:trPr>
          <w:trHeight w:val="148"/>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482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7"/>
              </w:rPr>
              <w:t>Watertown, MA 02472</w:t>
            </w:r>
          </w:p>
        </w:tc>
      </w:tr>
      <w:tr>
        <w:trPr>
          <w:trHeight w:val="149"/>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Boston, MA 02210</w:t>
            </w:r>
          </w:p>
        </w:tc>
        <w:tc>
          <w:tcPr>
            <w:tcW w:w="482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(617) 674-9274</w:t>
            </w:r>
          </w:p>
        </w:tc>
      </w:tr>
      <w:tr>
        <w:trPr>
          <w:trHeight w:val="186"/>
        </w:trPr>
        <w:tc>
          <w:tcPr>
            <w:tcW w:w="2420" w:type="dxa"/>
            <w:vAlign w:val="bottom"/>
          </w:tcPr>
          <w:p>
            <w:pPr>
              <w:jc w:val="center"/>
              <w:ind w:right="768"/>
              <w:spacing w:after="0"/>
              <w:rPr>
                <w:sz w:val="20"/>
                <w:szCs w:val="20"/>
                <w:color w:val="auto"/>
              </w:rPr>
            </w:pPr>
            <w:r>
              <w:rPr>
                <w:rFonts w:ascii="Arial" w:cs="Arial" w:eastAsia="Arial" w:hAnsi="Arial"/>
                <w:sz w:val="14"/>
                <w:szCs w:val="14"/>
                <w:b w:val="1"/>
                <w:bCs w:val="1"/>
                <w:color w:val="auto"/>
                <w:w w:val="93"/>
              </w:rPr>
              <w:t>(617) 570-1000</w:t>
            </w:r>
          </w:p>
        </w:tc>
        <w:tc>
          <w:tcPr>
            <w:tcW w:w="4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5" w:lineRule="exact"/>
        <w:rPr>
          <w:sz w:val="24"/>
          <w:szCs w:val="24"/>
          <w:color w:val="auto"/>
        </w:rPr>
      </w:pPr>
    </w:p>
    <w:p>
      <w:pPr>
        <w:ind w:left="120" w:right="60"/>
        <w:spacing w:after="0" w:line="214" w:lineRule="exact"/>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or at one time as determined by the Registrant after the effective date of this registration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0" w:lineRule="exact"/>
        <w:rPr>
          <w:sz w:val="24"/>
          <w:szCs w:val="24"/>
          <w:color w:val="auto"/>
        </w:rPr>
      </w:pPr>
    </w:p>
    <w:p>
      <w:pPr>
        <w:ind w:left="120" w:right="280"/>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32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3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spacing w:after="0" w:line="184"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60"/>
        <w:spacing w:after="0" w:line="184"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2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42"/>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 w:lineRule="exact"/>
        <w:rPr>
          <w:sz w:val="24"/>
          <w:szCs w:val="24"/>
          <w:color w:val="auto"/>
        </w:rPr>
      </w:pPr>
    </w:p>
    <w:p>
      <w:pPr>
        <w:ind w:left="120" w:right="34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9" w:lineRule="exact"/>
        <w:rPr>
          <w:sz w:val="24"/>
          <w:szCs w:val="24"/>
          <w:color w:val="auto"/>
        </w:rPr>
      </w:pPr>
    </w:p>
    <w:p>
      <w:pPr>
        <w:ind w:left="120" w:right="60"/>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NOVEMBER 17,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171450</wp:posOffset>
            </wp:positionV>
            <wp:extent cx="371157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115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$400,000,000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From time to time, we may offer and sell up to $400,000,000 in aggregate principal amount of our Common Stock, Preferred Stock, Debt Securities, Warrants or Units, in each case in one or more issuances and at prices and on terms that we will determine at the time of the offering.</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“IRON.” On November 16, 2023, the closing price of our common stock, as reported on The Nasdaq Global Market, was $48.36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260"/>
        <w:spacing w:after="0" w:line="251" w:lineRule="auto"/>
        <w:rPr>
          <w:sz w:val="20"/>
          <w:szCs w:val="20"/>
          <w:color w:val="auto"/>
        </w:rPr>
      </w:pPr>
      <w:r>
        <w:rPr>
          <w:rFonts w:ascii="Arial" w:cs="Arial" w:eastAsia="Arial" w:hAnsi="Arial"/>
          <w:sz w:val="21"/>
          <w:szCs w:val="21"/>
          <w:b w:val="1"/>
          <w:bCs w:val="1"/>
          <w:color w:val="auto"/>
        </w:rPr>
        <w:t>Investing in our securities involves risks. You should review carefully the risks and uncertainties described under the heading “</w:t>
      </w:r>
      <w:r>
        <w:rPr>
          <w:rFonts w:ascii="Arial" w:cs="Arial" w:eastAsia="Arial" w:hAnsi="Arial"/>
          <w:sz w:val="21"/>
          <w:szCs w:val="21"/>
          <w:b w:val="1"/>
          <w:bCs w:val="1"/>
          <w:i w:val="1"/>
          <w:iCs w:val="1"/>
          <w:u w:val="single" w:color="auto"/>
          <w:color w:val="0000EE"/>
        </w:rPr>
        <w:t>Risk Factors</w:t>
      </w:r>
      <w:r>
        <w:rPr>
          <w:rFonts w:ascii="Arial" w:cs="Arial" w:eastAsia="Arial" w:hAnsi="Arial"/>
          <w:sz w:val="21"/>
          <w:szCs w:val="21"/>
          <w:b w:val="1"/>
          <w:bCs w:val="1"/>
          <w:color w:val="auto"/>
        </w:rPr>
        <w:t>” on page 11 of this prospectus and under any similar heading in the documents that are incorporated by reference into this prospectus, as well as “</w:t>
      </w:r>
      <w:r>
        <w:rPr>
          <w:rFonts w:ascii="Arial" w:cs="Arial" w:eastAsia="Arial" w:hAnsi="Arial"/>
          <w:sz w:val="21"/>
          <w:szCs w:val="21"/>
          <w:b w:val="1"/>
          <w:bCs w:val="1"/>
          <w:i w:val="1"/>
          <w:iCs w:val="1"/>
          <w:color w:val="auto"/>
        </w:rPr>
        <w:t>Special Note Regarding Forward-Looking Statements</w:t>
      </w:r>
      <w:r>
        <w:rPr>
          <w:rFonts w:ascii="Arial" w:cs="Arial" w:eastAsia="Arial" w:hAnsi="Arial"/>
          <w:sz w:val="21"/>
          <w:szCs w:val="21"/>
          <w:b w:val="1"/>
          <w:bCs w:val="1"/>
          <w:color w:val="auto"/>
        </w:rPr>
        <w:t>” on page 4 of this prospectus. You should read the entire prospectus and any applicable prospectus supplement carefully before you make your investment decision.</w:t>
      </w:r>
    </w:p>
    <w:p>
      <w:pPr>
        <w:spacing w:after="0" w:line="18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w:t>
      </w:r>
      <w:r>
        <w:rPr>
          <w:rFonts w:ascii="Arial" w:cs="Arial" w:eastAsia="Arial" w:hAnsi="Arial"/>
          <w:sz w:val="18"/>
          <w:szCs w:val="18"/>
          <w:color w:val="auto"/>
        </w:rPr>
        <w:t>” in this prospectus. We will also describe in an applicable prospectus supplement the way(s) in which we expect to use the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 from any sale.</w:t>
      </w:r>
    </w:p>
    <w:p>
      <w:pPr>
        <w:spacing w:after="0" w:line="184"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000" w:type="dxa"/>
            <w:vAlign w:val="bottom"/>
            <w:gridSpan w:val="18"/>
          </w:tcPr>
          <w:p>
            <w:pPr>
              <w:spacing w:after="0" w:line="190" w:lineRule="exact"/>
              <w:rPr>
                <w:sz w:val="20"/>
                <w:szCs w:val="20"/>
                <w:color w:val="auto"/>
              </w:rPr>
            </w:pPr>
            <w:r>
              <w:rPr>
                <w:rFonts w:ascii="Arial" w:cs="Arial" w:eastAsia="Arial" w:hAnsi="Arial"/>
                <w:sz w:val="18"/>
                <w:szCs w:val="18"/>
                <w:color w:val="0000EE"/>
              </w:rPr>
              <w:t>ABOUT THIS PROSPECTUS</w:t>
            </w:r>
          </w:p>
        </w:tc>
        <w:tc>
          <w:tcPr>
            <w:tcW w:w="29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RISK FACTORS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8000" w:type="dxa"/>
            <w:vAlign w:val="bottom"/>
            <w:gridSpan w:val="18"/>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61"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prospectus is part of a registration statement on Form S-3 that we have filed with the Securities and Exchange Commission, or the SEC, using a “shelf” registration process.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this process, we may sell the securities described in this prospectus in one or more offerings for an aggregate offering amount of up to</w:t>
      </w:r>
    </w:p>
    <w:p>
      <w:pPr>
        <w:spacing w:after="0" w:line="35"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$400,000,000.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6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 in both this prospectus and the applicable prospectus supplement,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66"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also make these documents available on our website at </w:t>
      </w:r>
      <w:r>
        <w:rPr>
          <w:rFonts w:ascii="Arial" w:cs="Arial" w:eastAsia="Arial" w:hAnsi="Arial"/>
          <w:sz w:val="18"/>
          <w:szCs w:val="18"/>
          <w:i w:val="1"/>
          <w:iCs w:val="1"/>
          <w:color w:val="auto"/>
        </w:rPr>
        <w:t>www.discmedicine.com</w:t>
      </w:r>
      <w:r>
        <w:rPr>
          <w:rFonts w:ascii="Arial" w:cs="Arial" w:eastAsia="Arial" w:hAnsi="Arial"/>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100" w:lineRule="exact"/>
        <w:rPr>
          <w:sz w:val="20"/>
          <w:szCs w:val="20"/>
          <w:color w:val="auto"/>
        </w:rPr>
      </w:pPr>
    </w:p>
    <w:p>
      <w:pPr>
        <w:ind w:left="1080" w:right="3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Reports on Form 10-K for the fiscal years ended </w:t>
      </w:r>
      <w:hyperlink r:id="rId27">
        <w:r>
          <w:rPr>
            <w:rFonts w:ascii="Arial" w:cs="Arial" w:eastAsia="Arial" w:hAnsi="Arial"/>
            <w:sz w:val="18"/>
            <w:szCs w:val="18"/>
            <w:u w:val="single" w:color="auto"/>
            <w:color w:val="0000EE"/>
          </w:rPr>
          <w:t>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December 31, 2022</w:t>
        </w:r>
      </w:hyperlink>
      <w:r>
        <w:rPr>
          <w:rFonts w:ascii="Arial" w:cs="Arial" w:eastAsia="Arial" w:hAnsi="Arial"/>
          <w:sz w:val="18"/>
          <w:szCs w:val="18"/>
          <w:color w:val="auto"/>
        </w:rPr>
        <w:t>, filed with the SEC on March 10, 2022 and March 31, 2023, respectively;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quarters ended September 30, 2022, March 31, 2023, June 30, 2023 and September 30, 2023, filed with the SEC on </w:t>
      </w:r>
      <w:hyperlink r:id="rId29">
        <w:r>
          <w:rPr>
            <w:rFonts w:ascii="Arial" w:cs="Arial" w:eastAsia="Arial" w:hAnsi="Arial"/>
            <w:sz w:val="18"/>
            <w:szCs w:val="18"/>
            <w:u w:val="single" w:color="auto"/>
            <w:color w:val="0000EE"/>
          </w:rPr>
          <w:t>November 10, 2022</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May 15, 2023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August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November 9, 2023</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SEC on </w:t>
      </w:r>
      <w:hyperlink r:id="rId33">
        <w:r>
          <w:rPr>
            <w:rFonts w:ascii="Arial" w:cs="Arial" w:eastAsia="Arial" w:hAnsi="Arial"/>
            <w:sz w:val="18"/>
            <w:szCs w:val="18"/>
            <w:u w:val="single" w:color="auto"/>
            <w:color w:val="0000EE"/>
          </w:rPr>
          <w:t>December 29, 2022</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January 23,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information furnished pursuant to Item 7.01), </w:t>
      </w:r>
      <w:hyperlink r:id="rId35">
        <w:r>
          <w:rPr>
            <w:rFonts w:ascii="Arial" w:cs="Arial" w:eastAsia="Arial" w:hAnsi="Arial"/>
            <w:sz w:val="18"/>
            <w:szCs w:val="18"/>
            <w:u w:val="single" w:color="auto"/>
            <w:color w:val="0000EE"/>
          </w:rPr>
          <w:t>January 25, 2023</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February 14,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information furnished pursuant to Item 7.01), </w:t>
      </w:r>
      <w:hyperlink r:id="rId37">
        <w:r>
          <w:rPr>
            <w:rFonts w:ascii="Arial" w:cs="Arial" w:eastAsia="Arial" w:hAnsi="Arial"/>
            <w:sz w:val="18"/>
            <w:szCs w:val="18"/>
            <w:u w:val="single" w:color="auto"/>
            <w:color w:val="0000EE"/>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w:t>
      </w:r>
      <w:hyperlink r:id="rId38">
        <w:r>
          <w:rPr>
            <w:rFonts w:ascii="Arial" w:cs="Arial" w:eastAsia="Arial" w:hAnsi="Arial"/>
            <w:sz w:val="18"/>
            <w:szCs w:val="18"/>
            <w:color w:val="auto"/>
          </w:rPr>
          <w:t xml:space="preserve">information furnished pursuant to Item 2.02), </w:t>
        </w:r>
        <w:r>
          <w:rPr>
            <w:rFonts w:ascii="Arial" w:cs="Arial" w:eastAsia="Arial" w:hAnsi="Arial"/>
            <w:sz w:val="18"/>
            <w:szCs w:val="18"/>
            <w:u w:val="single" w:color="auto"/>
            <w:color w:val="0000EE"/>
          </w:rPr>
          <w:t>April 19,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9, 2023</w:t>
        </w:r>
        <w:r>
          <w:rPr>
            <w:rFonts w:ascii="Arial" w:cs="Arial" w:eastAsia="Arial" w:hAnsi="Arial"/>
            <w:sz w:val="18"/>
            <w:szCs w:val="18"/>
            <w:color w:val="auto"/>
          </w:rPr>
          <w:t xml:space="preserve"> (excluding information furnished pursuant to Item 7.01), </w:t>
        </w:r>
        <w:r>
          <w:rPr>
            <w:rFonts w:ascii="Arial" w:cs="Arial" w:eastAsia="Arial" w:hAnsi="Arial"/>
            <w:sz w:val="18"/>
            <w:szCs w:val="18"/>
            <w:u w:val="single" w:color="auto"/>
            <w:color w:val="0000EE"/>
          </w:rPr>
          <w:t>June</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9, 2023</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June 12, 2023</w:t>
        </w:r>
      </w:hyperlink>
      <w:hyperlink r:id="rId3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0">
        <w:r>
          <w:rPr>
            <w:rFonts w:ascii="Arial" w:cs="Arial" w:eastAsia="Arial" w:hAnsi="Arial"/>
            <w:sz w:val="18"/>
            <w:szCs w:val="18"/>
            <w:u w:val="single" w:color="auto"/>
            <w:color w:val="0000EE"/>
          </w:rPr>
          <w:t>June 16, 2023</w:t>
        </w:r>
      </w:hyperlink>
      <w:hyperlink r:id="rId3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1">
        <w:r>
          <w:rPr>
            <w:rFonts w:ascii="Arial" w:cs="Arial" w:eastAsia="Arial" w:hAnsi="Arial"/>
            <w:sz w:val="18"/>
            <w:szCs w:val="18"/>
            <w:u w:val="single" w:color="auto"/>
            <w:color w:val="0000EE"/>
          </w:rPr>
          <w:t>September 29, 2023</w:t>
        </w:r>
      </w:hyperlink>
      <w:hyperlink r:id="rId3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2">
        <w:r>
          <w:rPr>
            <w:rFonts w:ascii="Arial" w:cs="Arial" w:eastAsia="Arial" w:hAnsi="Arial"/>
            <w:sz w:val="18"/>
            <w:szCs w:val="18"/>
            <w:u w:val="single" w:color="auto"/>
            <w:color w:val="0000EE"/>
          </w:rPr>
          <w:t>October 10, 2023</w:t>
        </w:r>
      </w:hyperlink>
      <w:hyperlink r:id="rId3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3">
        <w:r>
          <w:rPr>
            <w:rFonts w:ascii="Arial" w:cs="Arial" w:eastAsia="Arial" w:hAnsi="Arial"/>
            <w:sz w:val="18"/>
            <w:szCs w:val="18"/>
            <w:u w:val="single" w:color="auto"/>
            <w:color w:val="0000EE"/>
          </w:rPr>
          <w:t xml:space="preserve">October 23, 2023 </w:t>
        </w:r>
      </w:hyperlink>
      <w:hyperlink r:id="rId3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 xml:space="preserve">November 2, 2023 </w:t>
        </w:r>
      </w:hyperlink>
      <w:hyperlink r:id="rId38">
        <w:r>
          <w:rPr>
            <w:rFonts w:ascii="Arial" w:cs="Arial" w:eastAsia="Arial" w:hAnsi="Arial"/>
            <w:sz w:val="18"/>
            <w:szCs w:val="18"/>
            <w:color w:val="000000"/>
          </w:rPr>
          <w:t>(excluding</w:t>
        </w:r>
      </w:hyperlink>
      <w:r>
        <w:rPr>
          <w:rFonts w:ascii="Arial" w:cs="Arial" w:eastAsia="Arial" w:hAnsi="Arial"/>
          <w:sz w:val="18"/>
          <w:szCs w:val="18"/>
          <w:color w:val="0000EE"/>
        </w:rPr>
        <w:t xml:space="preserve"> </w:t>
      </w:r>
      <w:r>
        <w:rPr>
          <w:rFonts w:ascii="Arial" w:cs="Arial" w:eastAsia="Arial" w:hAnsi="Arial"/>
          <w:sz w:val="18"/>
          <w:szCs w:val="18"/>
          <w:color w:val="000000"/>
        </w:rPr>
        <w:t>information furnished pursuant to Item 7.01); and</w:t>
      </w:r>
    </w:p>
    <w:p>
      <w:pPr>
        <w:spacing w:after="0" w:line="93" w:lineRule="exact"/>
        <w:rPr>
          <w:rFonts w:ascii="Arial" w:cs="Arial" w:eastAsia="Arial" w:hAnsi="Arial"/>
          <w:sz w:val="18"/>
          <w:szCs w:val="18"/>
          <w:color w:val="0000EE"/>
        </w:rPr>
      </w:pPr>
    </w:p>
    <w:p>
      <w:pPr>
        <w:ind w:left="1080" w:right="40" w:hanging="424"/>
        <w:spacing w:after="0" w:line="275"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Form 8-A filed with the SEC on </w:t>
      </w:r>
      <w:hyperlink r:id="rId45">
        <w:r>
          <w:rPr>
            <w:rFonts w:ascii="Arial" w:cs="Arial" w:eastAsia="Arial" w:hAnsi="Arial"/>
            <w:sz w:val="17"/>
            <w:szCs w:val="17"/>
            <w:u w:val="single" w:color="auto"/>
            <w:color w:val="0000EE"/>
          </w:rPr>
          <w:t>August 10, 2020</w:t>
        </w:r>
      </w:hyperlink>
      <w:r>
        <w:rPr>
          <w:rFonts w:ascii="Arial" w:cs="Arial" w:eastAsia="Arial" w:hAnsi="Arial"/>
          <w:sz w:val="17"/>
          <w:szCs w:val="17"/>
          <w:color w:val="auto"/>
        </w:rPr>
        <w:t xml:space="preserve">, and as set forth by the description of the Registrant’s common stock set forth in </w:t>
      </w:r>
      <w:hyperlink r:id="rId46">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w:t>
      </w:r>
      <w:hyperlink r:id="rId27">
        <w:r>
          <w:rPr>
            <w:rFonts w:ascii="Arial" w:cs="Arial" w:eastAsia="Arial" w:hAnsi="Arial"/>
            <w:sz w:val="17"/>
            <w:szCs w:val="17"/>
            <w:u w:val="single" w:color="auto"/>
            <w:color w:val="0000EE"/>
          </w:rPr>
          <w:t>March 10, 2022</w:t>
        </w:r>
      </w:hyperlink>
      <w:r>
        <w:rPr>
          <w:rFonts w:ascii="Arial" w:cs="Arial" w:eastAsia="Arial" w:hAnsi="Arial"/>
          <w:sz w:val="17"/>
          <w:szCs w:val="17"/>
          <w:color w:val="auto"/>
        </w:rPr>
        <w:t xml:space="preserve">, and as further supplemented by the description of the Registrant’s common stock set forth in the Registrant’s Registration Statement on Form S-4/A, filed with the SEC on </w:t>
      </w:r>
      <w:hyperlink r:id="rId47">
        <w:r>
          <w:rPr>
            <w:rFonts w:ascii="Arial" w:cs="Arial" w:eastAsia="Arial" w:hAnsi="Arial"/>
            <w:sz w:val="17"/>
            <w:szCs w:val="17"/>
            <w:u w:val="single" w:color="auto"/>
            <w:color w:val="0000EE"/>
          </w:rPr>
          <w:t>December 1, 2022</w:t>
        </w:r>
      </w:hyperlink>
      <w:r>
        <w:rPr>
          <w:rFonts w:ascii="Arial" w:cs="Arial" w:eastAsia="Arial" w:hAnsi="Arial"/>
          <w:sz w:val="17"/>
          <w:szCs w:val="17"/>
          <w:color w:val="auto"/>
        </w:rPr>
        <w:t>, including any amendments or reports filed for the purpose of updating such description.</w:t>
      </w:r>
    </w:p>
    <w:p>
      <w:pPr>
        <w:spacing w:after="0" w:line="176" w:lineRule="exact"/>
        <w:rPr>
          <w:rFonts w:ascii="Arial" w:cs="Arial" w:eastAsia="Arial" w:hAnsi="Arial"/>
          <w:sz w:val="17"/>
          <w:szCs w:val="17"/>
          <w:color w:val="auto"/>
        </w:rPr>
      </w:pPr>
    </w:p>
    <w:p>
      <w:pPr>
        <w:ind w:left="120" w:right="40"/>
        <w:spacing w:after="0" w:line="254" w:lineRule="auto"/>
        <w:rPr>
          <w:sz w:val="20"/>
          <w:szCs w:val="20"/>
          <w:color w:val="auto"/>
        </w:rPr>
      </w:pPr>
      <w:r>
        <w:rPr>
          <w:rFonts w:ascii="Arial" w:cs="Arial" w:eastAsia="Arial" w:hAnsi="Arial"/>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95" w:lineRule="exact"/>
        <w:rPr>
          <w:rFonts w:ascii="Arial" w:cs="Arial" w:eastAsia="Arial" w:hAnsi="Arial"/>
          <w:sz w:val="17"/>
          <w:szCs w:val="17"/>
          <w:color w:val="auto"/>
        </w:rPr>
      </w:pPr>
    </w:p>
    <w:p>
      <w:pPr>
        <w:ind w:left="120"/>
        <w:spacing w:after="0" w:line="255"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92" w:lineRule="exact"/>
        <w:rPr>
          <w:rFonts w:ascii="Arial" w:cs="Arial" w:eastAsia="Arial" w:hAnsi="Arial"/>
          <w:sz w:val="17"/>
          <w:szCs w:val="17"/>
          <w:color w:val="auto"/>
        </w:rPr>
      </w:pPr>
    </w:p>
    <w:p>
      <w:pPr>
        <w:ind w:left="120" w:right="28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10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674-9274</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520"/>
          </w:cols>
          <w:pgMar w:left="320" w:top="459" w:right="10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and include, among other things:</w:t>
      </w:r>
    </w:p>
    <w:p>
      <w:pPr>
        <w:spacing w:after="0" w:line="87" w:lineRule="exact"/>
        <w:rPr>
          <w:sz w:val="20"/>
          <w:szCs w:val="20"/>
          <w:color w:val="auto"/>
        </w:rPr>
      </w:pPr>
    </w:p>
    <w:p>
      <w:pPr>
        <w:ind w:left="1080" w:right="140" w:hanging="424"/>
        <w:spacing w:after="0" w:line="31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080" w:right="20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 and Estimates</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 xml:space="preserve">including logos, artwork and other visual displays, generally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known as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66" w:lineRule="exact"/>
        <w:rPr>
          <w:sz w:val="20"/>
          <w:szCs w:val="20"/>
          <w:color w:val="auto"/>
        </w:rPr>
      </w:pPr>
    </w:p>
    <w:p>
      <w:pPr>
        <w:ind w:left="120" w:right="40"/>
        <w:spacing w:after="0" w:line="258" w:lineRule="auto"/>
        <w:rPr>
          <w:sz w:val="20"/>
          <w:szCs w:val="20"/>
          <w:color w:val="auto"/>
        </w:rPr>
      </w:pPr>
      <w:r>
        <w:rPr>
          <w:rFonts w:ascii="Arial" w:cs="Arial" w:eastAsia="Arial" w:hAnsi="Arial"/>
          <w:sz w:val="17"/>
          <w:szCs w:val="17"/>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BEACON data from all patients will be presented in December 2023 at the 65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American Society of Hematology Annual Meeting and Exposition, or ASH 2023, and we expect to present topline AURORA data in early 2024. We plan to request an end of Phase 2 meeting with the FDA in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9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MF and anemia, or MF Trial, and initiated a separate Phase 1b/2 clinical trial in February 2023 in patients with non-dialysis dependent CKD and anemia, or CKD Trial. We plan to present initial data from the MF Trial at ASH 2023, and initial data from the 28 mg dose cohort of the patients of the CKD Trial in a management call in December 2023.</w:t>
      </w:r>
    </w:p>
    <w:p>
      <w:pPr>
        <w:spacing w:after="0" w:line="1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addition, we are developing a preclinical anti-hemojuvelin, or HJV, monoclonal antibody, DISC-0998, which also targets hepcidin suppression and was in-licensed from AbbVie Deutschland GmbH &amp; Co. KG. DISC-0998</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is designed to increase serum iron levels and has an extended serum half-life as compared to DISC-0974. We believe this profile may be desirable in certain subsets of patients with anemia associated with inflammatory diseases.</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we initiated a Phase 1 clinical trial in healthy adult volunteers in October 2023. We were granted fast track designation by the FDA for DISC-3405 for the treatment of PV in September 2023. We expect to develop DISC-3405 for the treatment of PV and other hematologic disorders.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with Gemini</w:t>
      </w:r>
    </w:p>
    <w:p>
      <w:pPr>
        <w:spacing w:after="0" w:line="12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Pursuant to the terms of the Merger Agreement, at the effective time of the merger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 the Company calculated based on the amount equal to such proceeds divided by the volume weighted average stock price of the Company for the five trading days prior to the issuance of the payment to the holders of the CVRs. In the event that Gemini’s pre-merger assets are disposed in the one-year period after the closing of the merger, and the Company receives net proceeds from such disposition over time following the initial disposition of such assets, any such proceeds would be similarly distributed to the holders of the CVRs for a period continuing through the tenth anniversary of the closing date of the merger.</w:t>
      </w:r>
    </w:p>
    <w:p>
      <w:pPr>
        <w:spacing w:after="0" w:line="186"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To satisfy its obligations with respect to the CVRs and the Gemini IP, the Company hired an outside firm to attempt to sell the Gemini IP, which firm previously was unsuccessful in finding a buyer for the Gemini IP. However, in June 2023, the Company received an offer for the Gemini IP and recorded a $1.5 million liability representing the estimated fair value of the Company’s obligation to the holders of the CVRs based on the offer.</w:t>
      </w:r>
    </w:p>
    <w:p>
      <w:pPr>
        <w:spacing w:after="0" w:line="14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the date of this prospectus, a sale has not been consummated, no such proceeds have been received by the Company and no distributions have been made to the holders of the CVRs. In the event no net proceeds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received from a disposition of the Gemini pre-merger assets in the one-year period following closing of the merger, the Company’s obligations under the CVR Agreement will expire and the CVRs will be valueless.</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Other than pursuant to the CVR Agreement, the Company has no additional obligations or plans with respect to Gemini’s pre-merger assets. The Company has generated no revenue from Gemini’s pre-merger assets and has incurred approximately $1.0 million in aggregate costs (including maintenance of license agreements, storage, legal and other fees) as of September 30, 2023, to maintain Gemini’s pre-merger assets solely in order to fulfill the Company’s obligations under the CVR Agreement.</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To illustrate the number of shares of the Company’s common stock that might be distributed under the CVR Agreement, assuming that a CVR payment were to be made on November 17, 2023, assuming (i) proceeds to the Company of $1.5 million, representing the estimated fair value of the Company’s obligation to holders of the CVRs as of September 30, 2023, and (ii) based on the volume weighted average stock price of the Company for the five trading days prior to November 17, 2023 of $50.37, an aggregate of 29,780 shares of the Company’s common stock would have been issued to holders of CVRs in such case.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additional information about our Company, please refer to other documents we have filed with the SEC and that are incorporated by reference into this prospectus, as listed under the heading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211" w:lineRule="exact"/>
        <w:rPr>
          <w:sz w:val="20"/>
          <w:szCs w:val="20"/>
          <w:color w:val="auto"/>
        </w:rPr>
      </w:pPr>
    </w:p>
    <w:p>
      <w:pPr>
        <w:ind w:left="1080" w:right="4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52"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 and</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8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(i) our most recent Annual Report on Form 10-K, which is on file with the SEC and is incorporated herein by reference, (ii) our most recent Quarterly Reports on Form 10-Q, which are on file with the SEC and are incorporated herein by reference, and (iii) other documents we file with the SEC that are deemed incorporated by reference into this prospectus.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Current Report on Form 8-K filed on December 29, 2022, and incorporated herein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REPORTED (in thousands, except per share amounts):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15,115,129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15,565,380</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(15,231)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32,027,161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43,002,144</w:t>
            </w:r>
          </w:p>
        </w:tc>
        <w:tc>
          <w:tcPr>
            <w:tcW w:w="0" w:type="dxa"/>
            <w:vAlign w:val="bottom"/>
          </w:tcPr>
          <w:p>
            <w:pPr>
              <w:spacing w:after="0"/>
              <w:rPr>
                <w:sz w:val="1"/>
                <w:szCs w:val="1"/>
                <w:color w:val="auto"/>
              </w:rPr>
            </w:pPr>
          </w:p>
        </w:tc>
      </w:tr>
      <w:tr>
        <w:trPr>
          <w:trHeight w:val="327"/>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8"/>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w w:val="8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43,041,856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Arial" w:cs="Arial" w:eastAsia="Arial" w:hAnsi="Arial"/>
                <w:sz w:val="18"/>
                <w:szCs w:val="18"/>
                <w:color w:val="auto"/>
                <w:w w:val="8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50"/>
        </w:trPr>
        <w:tc>
          <w:tcPr>
            <w:tcW w:w="5160" w:type="dxa"/>
            <w:vAlign w:val="bottom"/>
          </w:tcPr>
          <w:p>
            <w:pPr>
              <w:ind w:left="410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(22,321)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37,564,936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43,055,112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(3,277)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43,091,822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600" w:type="dxa"/>
            <w:vAlign w:val="bottom"/>
          </w:tcPr>
          <w:p>
            <w:pPr>
              <w:jc w:val="center"/>
              <w:ind w:left="759"/>
              <w:spacing w:after="0" w:line="128"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(25,598)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639"/>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39,427,476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Arial" w:cs="Arial" w:eastAsia="Arial" w:hAnsi="Arial"/>
                <w:sz w:val="18"/>
                <w:szCs w:val="18"/>
                <w:color w:val="auto"/>
                <w:w w:val="8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9" w:right="1440" w:bottom="1440" w:gutter="0" w:footer="0" w:header="0"/>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ADJUSTED FOR 1-FOR-10 REVERSE STOCK SPLIT (unaudited, in thousands, except per share amounts):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Years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(71,869)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(17.81)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89"/>
              </w:rPr>
              <w:t>4,036,230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1,511,512</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Common shares outstanding at year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4,320,815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1,556,538</w:t>
            </w:r>
          </w:p>
        </w:tc>
        <w:tc>
          <w:tcPr>
            <w:tcW w:w="0" w:type="dxa"/>
            <w:vAlign w:val="bottom"/>
          </w:tcPr>
          <w:p>
            <w:pPr>
              <w:spacing w:after="0"/>
              <w:rPr>
                <w:sz w:val="1"/>
                <w:szCs w:val="1"/>
                <w:color w:val="auto"/>
              </w:rPr>
            </w:pPr>
          </w:p>
        </w:tc>
      </w:tr>
      <w:tr>
        <w:trPr>
          <w:trHeight w:val="327"/>
        </w:trPr>
        <w:tc>
          <w:tcPr>
            <w:tcW w:w="5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(3.52)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89"/>
              </w:rPr>
              <w:t>4,321,280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3,202,716</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4,322,715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4,300,214</w:t>
            </w:r>
          </w:p>
        </w:tc>
        <w:tc>
          <w:tcPr>
            <w:tcW w:w="0" w:type="dxa"/>
            <w:vAlign w:val="bottom"/>
          </w:tcPr>
          <w:p>
            <w:pPr>
              <w:spacing w:after="0"/>
              <w:rPr>
                <w:sz w:val="1"/>
                <w:szCs w:val="1"/>
                <w:color w:val="auto"/>
              </w:rPr>
            </w:pPr>
          </w:p>
        </w:tc>
      </w:tr>
      <w:tr>
        <w:trPr>
          <w:trHeight w:val="350"/>
        </w:trPr>
        <w:tc>
          <w:tcPr>
            <w:tcW w:w="5260" w:type="dxa"/>
            <w:vAlign w:val="bottom"/>
          </w:tcPr>
          <w:p>
            <w:pPr>
              <w:ind w:left="410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Arial" w:cs="Arial" w:eastAsia="Arial" w:hAnsi="Arial"/>
          <w:sz w:val="18"/>
          <w:szCs w:val="18"/>
          <w:color w:val="auto"/>
        </w:rPr>
        <w:t>Weighted average common shares outstanding, basic and diluted Common shares outstanding at period end</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80" w:type="dxa"/>
            <w:vAlign w:val="bottom"/>
          </w:tcPr>
          <w:p>
            <w:pPr>
              <w:jc w:val="center"/>
              <w:ind w:left="659"/>
              <w:spacing w:after="0" w:line="128"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(7,090)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(16,447)</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4,323,052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4,304,185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4,305,511</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80" w:type="dxa"/>
            <w:vAlign w:val="bottom"/>
          </w:tcPr>
          <w:p>
            <w:pPr>
              <w:jc w:val="center"/>
              <w:ind w:left="659"/>
              <w:spacing w:after="0" w:line="128"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(22,321)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4,322,171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3,756,493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4,305,511</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80" w:type="dxa"/>
            <w:vAlign w:val="bottom"/>
          </w:tcPr>
          <w:p>
            <w:pPr>
              <w:jc w:val="center"/>
              <w:ind w:left="659"/>
              <w:spacing w:after="0" w:line="128"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(3,277)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4,326,461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4,309,182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4,311,274</w:t>
            </w: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80" w:type="dxa"/>
            <w:vAlign w:val="bottom"/>
          </w:tcPr>
          <w:p>
            <w:pPr>
              <w:jc w:val="center"/>
              <w:ind w:left="659"/>
              <w:spacing w:after="0" w:line="128"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(25,598)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599"/>
              <w:spacing w:after="0"/>
              <w:rPr>
                <w:sz w:val="20"/>
                <w:szCs w:val="20"/>
                <w:color w:val="auto"/>
              </w:rPr>
            </w:pPr>
            <w:r>
              <w:rPr>
                <w:rFonts w:ascii="Arial" w:cs="Arial" w:eastAsia="Arial" w:hAnsi="Arial"/>
                <w:sz w:val="18"/>
                <w:szCs w:val="18"/>
                <w:color w:val="auto"/>
              </w:rPr>
              <w:t>(5.92)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4,323,617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3,942,747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Arial" w:cs="Arial" w:eastAsia="Arial" w:hAnsi="Arial"/>
                <w:sz w:val="18"/>
                <w:szCs w:val="18"/>
                <w:color w:val="auto"/>
                <w:w w:val="8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4,311,274</w:t>
            </w:r>
          </w:p>
        </w:tc>
        <w:tc>
          <w:tcPr>
            <w:tcW w:w="0" w:type="dxa"/>
            <w:vAlign w:val="bottom"/>
          </w:tcPr>
          <w:p>
            <w:pPr>
              <w:spacing w:after="0"/>
              <w:rPr>
                <w:sz w:val="1"/>
                <w:szCs w:val="1"/>
                <w:color w:val="auto"/>
              </w:rPr>
            </w:pPr>
          </w:p>
        </w:tc>
      </w:tr>
    </w:tbl>
    <w:p>
      <w:pPr>
        <w:sectPr>
          <w:pgSz w:w="11900" w:h="16838" w:orient="portrait"/>
          <w:cols w:equalWidth="0" w:num="2">
            <w:col w:w="6600" w:space="720"/>
            <w:col w:w="2819"/>
          </w:cols>
          <w:pgMar w:left="320" w:top="459"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320" w:top="459" w:right="8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DESCRIPTION OF SECURITIES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2"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or other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rates and times of payment of interest, dividends or other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30"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securities exchange or market listing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25" w:lineRule="exact"/>
        <w:rPr>
          <w:sz w:val="20"/>
          <w:szCs w:val="20"/>
          <w:color w:val="auto"/>
        </w:rPr>
      </w:pPr>
    </w:p>
    <w:p>
      <w:pPr>
        <w:jc w:val="both"/>
        <w:ind w:left="120" w:right="460"/>
        <w:spacing w:after="0" w:line="286" w:lineRule="auto"/>
        <w:rPr>
          <w:sz w:val="20"/>
          <w:szCs w:val="20"/>
          <w:color w:val="auto"/>
        </w:rPr>
      </w:pPr>
      <w:r>
        <w:rPr>
          <w:rFonts w:ascii="Arial" w:cs="Arial" w:eastAsia="Arial" w:hAnsi="Arial"/>
          <w:sz w:val="17"/>
          <w:szCs w:val="17"/>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6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under “</w:t>
      </w:r>
      <w:r>
        <w:rPr>
          <w:rFonts w:ascii="Arial" w:cs="Arial" w:eastAsia="Arial" w:hAnsi="Arial"/>
          <w:sz w:val="18"/>
          <w:szCs w:val="18"/>
          <w:i w:val="1"/>
          <w:iCs w:val="1"/>
          <w:color w:val="auto"/>
        </w:rPr>
        <w:t>Plan of Distribution</w:t>
      </w:r>
      <w:r>
        <w:rPr>
          <w:rFonts w:ascii="Arial" w:cs="Arial" w:eastAsia="Arial" w:hAnsi="Arial"/>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par value $0.0001 per share, and 10,000,000 shares of preferred stock, par value $0.0001 per share, all of which preferred stock is undesignated. As of September 30, 2023, we had estimated 24,139,078 shares of our common stock outstanding and no shares of preferred stock outstanding. Unless our board of directors determines otherwise, we will issue all shares of our capital stock in uncertificated 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7"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17"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Our common stock is listed on The Nasdaq Global Market under the symbol “IRON.” On November 16, 2023, the closing price for our common stock, as reported on The Nasdaq Global Market, was $48.36 per share. As of September 30, 2023, we had estimated approximately 36 stockholders of record.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transfer agent and registrar for our common stock is Broadridge Corporate Issuer Solutions, LLC. The transfer agent and registrar’s address is 51 Mercedes Way, Edgewood, NY 11717.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Series of Preferred Stock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be subject to any preemptive or similar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holders of approximately 7.5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Registration Rights Agreement</w:t>
      </w:r>
    </w:p>
    <w:p>
      <w:pPr>
        <w:spacing w:after="0" w:line="117" w:lineRule="exact"/>
        <w:rPr>
          <w:sz w:val="20"/>
          <w:szCs w:val="20"/>
          <w:color w:val="auto"/>
        </w:rPr>
      </w:pPr>
    </w:p>
    <w:p>
      <w:pPr>
        <w:jc w:val="both"/>
        <w:ind w:left="120" w:right="620"/>
        <w:spacing w:after="0" w:line="286" w:lineRule="auto"/>
        <w:rPr>
          <w:sz w:val="20"/>
          <w:szCs w:val="20"/>
          <w:color w:val="auto"/>
        </w:rPr>
      </w:pPr>
      <w:r>
        <w:rPr>
          <w:rFonts w:ascii="Arial" w:cs="Arial" w:eastAsia="Arial" w:hAnsi="Arial"/>
          <w:sz w:val="17"/>
          <w:szCs w:val="17"/>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2022 Registration Rights Agreement provides for the following registration rights:</w:t>
      </w:r>
    </w:p>
    <w:p>
      <w:pPr>
        <w:spacing w:after="0" w:line="131" w:lineRule="exact"/>
        <w:rPr>
          <w:sz w:val="20"/>
          <w:szCs w:val="20"/>
          <w:color w:val="auto"/>
        </w:rPr>
      </w:pPr>
    </w:p>
    <w:p>
      <w:pPr>
        <w:ind w:left="108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Shelf registration rights</w:t>
      </w:r>
      <w:r>
        <w:rPr>
          <w:rFonts w:ascii="Arial" w:cs="Arial" w:eastAsia="Arial" w:hAnsi="Arial"/>
          <w:sz w:val="16"/>
          <w:szCs w:val="16"/>
          <w:color w:val="auto"/>
        </w:rPr>
        <w:t>. No later than 45 calendar days following the completion of the merger as contemplated by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we were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54"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2022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Registration Rights Agreement</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2021 Registration Rights Agreement provides for the following registration rights:</w:t>
      </w:r>
    </w:p>
    <w:p>
      <w:pPr>
        <w:spacing w:after="0" w:line="131" w:lineRule="exact"/>
        <w:rPr>
          <w:sz w:val="20"/>
          <w:szCs w:val="20"/>
          <w:color w:val="auto"/>
        </w:rPr>
      </w:pPr>
    </w:p>
    <w:p>
      <w:pPr>
        <w:ind w:left="108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We are required, upon the written request of either (i) FSDC Investors holding a majority of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93"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Shelf registration rights</w:t>
      </w:r>
      <w:r>
        <w:rPr>
          <w:rFonts w:ascii="Arial" w:cs="Arial" w:eastAsia="Arial" w:hAnsi="Arial"/>
          <w:sz w:val="17"/>
          <w:szCs w:val="17"/>
          <w:color w:val="auto"/>
        </w:rPr>
        <w:t>. A shelf registration statement pursuant to Rule 415 of Securities Act, was filed on February 17, 2021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76" w:lineRule="exact"/>
        <w:rPr>
          <w:rFonts w:ascii="Arial" w:cs="Arial" w:eastAsia="Arial" w:hAnsi="Arial"/>
          <w:sz w:val="17"/>
          <w:szCs w:val="17"/>
          <w:color w:val="auto"/>
        </w:rPr>
      </w:pPr>
    </w:p>
    <w:p>
      <w:pPr>
        <w:ind w:left="1080" w:right="240" w:hanging="424"/>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We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97"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we propose to file a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92" w:lineRule="exact"/>
        <w:rPr>
          <w:rFonts w:ascii="Arial" w:cs="Arial" w:eastAsia="Arial" w:hAnsi="Arial"/>
          <w:sz w:val="18"/>
          <w:szCs w:val="18"/>
          <w:color w:val="auto"/>
        </w:rPr>
      </w:pPr>
    </w:p>
    <w:p>
      <w:pPr>
        <w:ind w:left="1080" w:right="240" w:hanging="424"/>
        <w:spacing w:after="0" w:line="275"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Expenses and indemnification</w:t>
      </w:r>
      <w:r>
        <w:rPr>
          <w:rFonts w:ascii="Arial" w:cs="Arial" w:eastAsia="Arial" w:hAnsi="Arial"/>
          <w:sz w:val="17"/>
          <w:szCs w:val="17"/>
          <w:color w:val="auto"/>
        </w:rPr>
        <w:t>. All fees, costs and expenses of underwritten registrations will be borne by us and underwriting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1" w:lineRule="exact"/>
        <w:rPr>
          <w:rFonts w:ascii="Arial" w:cs="Arial" w:eastAsia="Arial" w:hAnsi="Arial"/>
          <w:sz w:val="17"/>
          <w:szCs w:val="17"/>
          <w:color w:val="auto"/>
        </w:rPr>
      </w:pPr>
    </w:p>
    <w:p>
      <w:pPr>
        <w:ind w:left="1080" w:right="20" w:hanging="424"/>
        <w:spacing w:after="0" w:line="272"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Registrable securities</w:t>
      </w:r>
      <w:r>
        <w:rPr>
          <w:rFonts w:ascii="Arial" w:cs="Arial" w:eastAsia="Arial" w:hAnsi="Arial"/>
          <w:sz w:val="17"/>
          <w:szCs w:val="17"/>
          <w:color w:val="auto"/>
        </w:rPr>
        <w:t>. Securities of ours shall cease to be registrable securities upon the earlier of (i) tenth anniversary of February 5,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such Investor is permitted to sell the Registrable Securities under Rule 144 (or any similar provision) under the Securities Act without limitation on the amount of securities sold or the manner of sale.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Delaware Law</w:t>
      </w:r>
    </w:p>
    <w:p>
      <w:pPr>
        <w:spacing w:after="0" w:line="13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governed by Section 203 of the Delaware General Corporation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does not allow stockholders to act by written consent without a meeting.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66"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8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 or bylaws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6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9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describe in the applicable prospectus supplement or free writing prospectus the terms of the series of debt securities being offered, including:</w:t>
      </w:r>
    </w:p>
    <w:p>
      <w:pPr>
        <w:spacing w:after="0" w:line="154"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depository will be;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or sell stock of our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certain material or special United States federal income tax considerations applicable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75"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will describe in each applicable prospectus supplement or free writing prospectus any additional events of default relating to the relevant series of debt securities.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unpaid principal, premium, if any, and accrued interest, if any, of each issue of debt securities then outstanding shall be due and payable without any notice or other action on the part of the trustee or any holder.</w:t>
      </w:r>
    </w:p>
    <w:p>
      <w:pPr>
        <w:spacing w:after="0" w:line="170"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8"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if:</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9"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w:t>
      </w:r>
      <w:r>
        <w:rPr>
          <w:rFonts w:ascii="Arial" w:cs="Arial" w:eastAsia="Arial" w:hAnsi="Arial"/>
          <w:sz w:val="18"/>
          <w:szCs w:val="18"/>
          <w:i w:val="1"/>
          <w:iCs w:val="1"/>
          <w:color w:val="auto"/>
        </w:rPr>
        <w:t>Description of Debt Securities-Consolidation, Merger or Sale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w:t>
      </w:r>
    </w:p>
    <w:p>
      <w:pPr>
        <w:spacing w:after="0" w:line="34" w:lineRule="exact"/>
        <w:rPr>
          <w:rFonts w:ascii="Arial" w:cs="Arial" w:eastAsia="Arial" w:hAnsi="Arial"/>
          <w:sz w:val="17"/>
          <w:szCs w:val="17"/>
          <w:color w:val="auto"/>
        </w:rPr>
      </w:pPr>
    </w:p>
    <w:p>
      <w:pPr>
        <w:ind w:left="1080" w:right="20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Debt Securities-General</w:t>
      </w:r>
      <w:r>
        <w:rPr>
          <w:rFonts w:ascii="Arial" w:cs="Arial" w:eastAsia="Arial" w:hAnsi="Arial"/>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such purpose;</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93"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extending the stated maturity of the series of debt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or repurchase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7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6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63" w:lineRule="exact"/>
        <w:rPr>
          <w:sz w:val="20"/>
          <w:szCs w:val="20"/>
          <w:color w:val="auto"/>
        </w:rPr>
      </w:pPr>
    </w:p>
    <w:p>
      <w:pPr>
        <w:jc w:val="both"/>
        <w:ind w:left="1080" w:right="2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6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t>
      </w:r>
      <w:r>
        <w:rPr>
          <w:rFonts w:ascii="Arial" w:cs="Arial" w:eastAsia="Arial" w:hAnsi="Arial"/>
          <w:sz w:val="17"/>
          <w:szCs w:val="17"/>
          <w:i w:val="1"/>
          <w:iCs w:val="1"/>
          <w:color w:val="auto"/>
        </w:rPr>
        <w:t>Description of Debt Securities”</w:t>
      </w:r>
      <w:r>
        <w:rPr>
          <w:rFonts w:ascii="Arial" w:cs="Arial" w:eastAsia="Arial" w:hAnsi="Arial"/>
          <w:sz w:val="17"/>
          <w:szCs w:val="17"/>
          <w:color w:val="auto"/>
        </w:rPr>
        <w:t xml:space="preserve">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Warrants</w:t>
      </w:r>
      <w:r>
        <w:rPr>
          <w:rFonts w:ascii="Arial" w:cs="Arial" w:eastAsia="Arial" w:hAnsi="Arial"/>
          <w:sz w:val="16"/>
          <w:szCs w:val="16"/>
          <w:color w:val="auto"/>
        </w:rPr>
        <w:t>” will apply to the securities included in each unit, to the extent relevant and as may be updated in any prospectus supplements.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080" w:right="1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1080" w:right="26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 supplement.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one or more transactions at a fixed price or prices, which may be changed from time to time;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 market maker or into an existing trading market on an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those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96"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648970</wp:posOffset>
            </wp:positionV>
            <wp:extent cx="3711575" cy="557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3711575" cy="557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40"/>
        <w:spacing w:after="0"/>
        <w:rPr>
          <w:sz w:val="20"/>
          <w:szCs w:val="20"/>
          <w:color w:val="auto"/>
        </w:rPr>
      </w:pPr>
      <w:r>
        <w:rPr>
          <w:rFonts w:ascii="Arial" w:cs="Arial" w:eastAsia="Arial" w:hAnsi="Arial"/>
          <w:sz w:val="26"/>
          <w:szCs w:val="26"/>
          <w:b w:val="1"/>
          <w:bCs w:val="1"/>
          <w:color w:val="auto"/>
        </w:rPr>
        <w:t>$400,000,000</w:t>
      </w:r>
    </w:p>
    <w:p>
      <w:pPr>
        <w:spacing w:after="0" w:line="200" w:lineRule="exact"/>
        <w:rPr>
          <w:sz w:val="20"/>
          <w:szCs w:val="20"/>
          <w:color w:val="auto"/>
        </w:rPr>
      </w:pPr>
    </w:p>
    <w:p>
      <w:pPr>
        <w:spacing w:after="0" w:line="280"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Common Stock</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Preferred Stock</w:t>
      </w: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Debt Securities</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1683385</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$59,040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FINRA filing fee</w:t>
            </w:r>
          </w:p>
        </w:tc>
        <w:tc>
          <w:tcPr>
            <w:tcW w:w="2780" w:type="dxa"/>
            <w:vAlign w:val="bottom"/>
          </w:tcPr>
          <w:p>
            <w:pPr>
              <w:jc w:val="right"/>
              <w:ind w:right="50"/>
              <w:spacing w:after="0"/>
              <w:rPr>
                <w:sz w:val="20"/>
                <w:szCs w:val="20"/>
                <w:color w:val="auto"/>
              </w:rPr>
            </w:pPr>
            <w:r>
              <w:rPr>
                <w:rFonts w:ascii="Arial" w:cs="Arial" w:eastAsia="Arial" w:hAnsi="Arial"/>
                <w:sz w:val="18"/>
                <w:szCs w:val="18"/>
                <w:color w:val="auto"/>
              </w:rPr>
              <w:t>60,500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Trustee fees (including counsel fees)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Miscellaneous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indemnify our directors and officers to the fullest extent permitted by the Delaware General Corporation Law, subject to limited exceptions;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indemnify our employees and agents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shall advance expenses to our directors and officers and may advance expenses of our employees and agents in connection with a legal proceeding to the fullest extent permitted by the Delaware General Corporation Law, subject to limited exceptions;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entered into, and intend to continue to enter into, separate indemnification agreements with our directors and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165"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9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000" w:type="dxa"/>
            <w:vAlign w:val="bottom"/>
          </w:tcPr>
          <w:p>
            <w:pPr>
              <w:ind w:left="80"/>
              <w:spacing w:after="0"/>
              <w:rPr>
                <w:sz w:val="20"/>
                <w:szCs w:val="20"/>
                <w:color w:val="auto"/>
              </w:rPr>
            </w:pPr>
            <w:r>
              <w:rPr>
                <w:rFonts w:ascii="Arial" w:cs="Arial" w:eastAsia="Arial" w:hAnsi="Arial"/>
                <w:sz w:val="18"/>
                <w:szCs w:val="18"/>
                <w:color w:val="auto"/>
              </w:rPr>
              <w:t>1.1*</w:t>
            </w:r>
          </w:p>
        </w:tc>
        <w:tc>
          <w:tcPr>
            <w:tcW w:w="9040" w:type="dxa"/>
            <w:vAlign w:val="bottom"/>
            <w:gridSpan w:val="5"/>
          </w:tcPr>
          <w:p>
            <w:pPr>
              <w:spacing w:after="0"/>
              <w:rPr>
                <w:sz w:val="20"/>
                <w:szCs w:val="20"/>
                <w:color w:val="auto"/>
              </w:rPr>
            </w:pPr>
            <w:r>
              <w:rPr>
                <w:rFonts w:ascii="Arial" w:cs="Arial" w:eastAsia="Arial" w:hAnsi="Arial"/>
                <w:sz w:val="18"/>
                <w:szCs w:val="18"/>
                <w:color w:val="auto"/>
              </w:rPr>
              <w:t>Form(s) of underwriting agreement(s).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80"/>
              <w:spacing w:after="0"/>
              <w:rPr>
                <w:sz w:val="20"/>
                <w:szCs w:val="20"/>
                <w:color w:val="auto"/>
              </w:rPr>
            </w:pPr>
            <w:r>
              <w:rPr>
                <w:rFonts w:ascii="Arial" w:cs="Arial" w:eastAsia="Arial" w:hAnsi="Arial"/>
                <w:sz w:val="18"/>
                <w:szCs w:val="18"/>
                <w:color w:val="auto"/>
              </w:rPr>
              <w:t>2.1</w:t>
            </w:r>
          </w:p>
        </w:tc>
        <w:tc>
          <w:tcPr>
            <w:tcW w:w="9600" w:type="dxa"/>
            <w:vAlign w:val="bottom"/>
            <w:tcBorders>
              <w:bottom w:val="single" w:sz="8" w:color="0000EE"/>
            </w:tcBorders>
            <w:gridSpan w:val="7"/>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Agreement and Plan of Merger and Reorganization, dated as of August 9, 2022, by and among Gemini Therapeutics, Inc., Gemstone</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Form S-4 filed on September 2, 2022).</w:t>
              </w:r>
            </w:hyperlink>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Amended and Restated Certificate of Incorporation of Disc Medicine, Inc. (incorporated by reference to Annex B to Gemini Therapeutics,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gridSpan w:val="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Inc.’s Proxy Statement/Prospectus on Form S-4/A (Registration No. 333-249785)).</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3.2</w:t>
            </w:r>
          </w:p>
        </w:tc>
        <w:tc>
          <w:tcPr>
            <w:tcW w:w="9040" w:type="dxa"/>
            <w:vAlign w:val="bottom"/>
            <w:gridSpan w:val="5"/>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Certificate of Amendment to the Amended and Restated Certificate of Incorporation of Disc Medicine, Inc., dated December</w:t>
              </w:r>
            </w:hyperlink>
          </w:p>
        </w:tc>
        <w:tc>
          <w:tcPr>
            <w:tcW w:w="920" w:type="dxa"/>
            <w:vAlign w:val="bottom"/>
            <w:gridSpan w:val="5"/>
          </w:tcPr>
          <w:p>
            <w:pPr>
              <w:jc w:val="right"/>
              <w:ind w:right="240"/>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28, 2022</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top w:val="single" w:sz="8" w:color="0000EE"/>
            </w:tcBorders>
            <w:gridSpan w:val="5"/>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(incorporated by reference to Exhibit 3.1 to the Registrant’s Current Report on Form 8-K filed on December 29, 2022).</w:t>
              </w:r>
            </w:hyperlink>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3.3</w:t>
            </w:r>
          </w:p>
        </w:tc>
        <w:tc>
          <w:tcPr>
            <w:tcW w:w="9040" w:type="dxa"/>
            <w:vAlign w:val="bottom"/>
            <w:gridSpan w:val="5"/>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Certificate of Amendment to the Amended and Restated Certificate of Incorporation of Disc Medicine, Inc., dated December</w:t>
              </w:r>
            </w:hyperlink>
          </w:p>
        </w:tc>
        <w:tc>
          <w:tcPr>
            <w:tcW w:w="920" w:type="dxa"/>
            <w:vAlign w:val="bottom"/>
            <w:gridSpan w:val="5"/>
          </w:tcPr>
          <w:p>
            <w:pPr>
              <w:jc w:val="right"/>
              <w:ind w:right="240"/>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29, 2022</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top w:val="single" w:sz="8" w:color="0000EE"/>
            </w:tcBorders>
            <w:gridSpan w:val="5"/>
          </w:tcPr>
          <w:p>
            <w:pPr>
              <w:spacing w:after="0" w:line="19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(incorporated by reference to Exhibit 3.2 to the Registrant’s Current Report on Form 8-K filed on December 29, 2022).</w:t>
              </w:r>
            </w:hyperlink>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3.4</w:t>
            </w:r>
          </w:p>
        </w:tc>
        <w:tc>
          <w:tcPr>
            <w:tcW w:w="9960" w:type="dxa"/>
            <w:vAlign w:val="bottom"/>
            <w:gridSpan w:val="10"/>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Statement/Prospectus on Form S-4/A (Registration No. 333-249785)).</w:t>
              </w:r>
            </w:hyperlink>
          </w:p>
        </w:tc>
        <w:tc>
          <w:tcPr>
            <w:tcW w:w="3980" w:type="dxa"/>
            <w:vAlign w:val="bottom"/>
            <w:tcBorders>
              <w:top w:val="single" w:sz="8" w:color="0000EE"/>
            </w:tcBorders>
            <w:gridSpan w:val="3"/>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4.1</w:t>
            </w:r>
          </w:p>
        </w:tc>
        <w:tc>
          <w:tcPr>
            <w:tcW w:w="9960" w:type="dxa"/>
            <w:vAlign w:val="bottom"/>
            <w:gridSpan w:val="13"/>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Form of Specimen Common Stock Certificate (incorporated by reference to Exhibit 4.1 to the Registrant’s Registration Statement on</w:t>
              </w:r>
            </w:hyperlink>
          </w:p>
        </w:tc>
      </w:tr>
      <w:tr>
        <w:trPr>
          <w:trHeight w:val="196"/>
        </w:trPr>
        <w:tc>
          <w:tcPr>
            <w:tcW w:w="10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S-4/A filed on January 19, 2021).</w:t>
              </w:r>
            </w:hyperlink>
          </w:p>
        </w:tc>
        <w:tc>
          <w:tcPr>
            <w:tcW w:w="6700" w:type="dxa"/>
            <w:vAlign w:val="bottom"/>
            <w:tcBorders>
              <w:top w:val="single" w:sz="8" w:color="0000EE"/>
            </w:tcBorders>
            <w:gridSpan w:val="8"/>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304"/>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9720" w:type="dxa"/>
            <w:vAlign w:val="bottom"/>
            <w:tcBorders>
              <w:bottom w:val="single" w:sz="8" w:color="0000EE"/>
            </w:tcBorders>
            <w:gridSpan w:val="1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Registration Rights Agreement, among Disc Medicine, Inc. and certain of its stockholders, dated December 28, 2022 (incorporated by</w:t>
              </w:r>
            </w:hyperlink>
          </w:p>
        </w:tc>
        <w:tc>
          <w:tcPr>
            <w:tcW w:w="2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reference to Exhibit 10.1 to the Registrant’s Current Report on Form 8-K filed on December 29, 2022).</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304"/>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4.3</w:t>
            </w:r>
          </w:p>
        </w:tc>
        <w:tc>
          <w:tcPr>
            <w:tcW w:w="9960" w:type="dxa"/>
            <w:vAlign w:val="bottom"/>
            <w:tcBorders>
              <w:bottom w:val="single" w:sz="8" w:color="0000EE"/>
            </w:tcBorders>
            <w:gridSpan w:val="1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Registration Rights Agreement, dated February 5, 2021, by and among the Registrant and the stockholder parties thereto (incorporated by</w:t>
              </w:r>
            </w:hyperlink>
          </w:p>
        </w:tc>
      </w:tr>
      <w:tr>
        <w:trPr>
          <w:trHeight w:val="196"/>
        </w:trPr>
        <w:tc>
          <w:tcPr>
            <w:tcW w:w="10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reference to Exhibit 10.1 to the Registrant’s Form 8-A12B/A filed on February 5, 2021).</w:t>
              </w:r>
            </w:hyperlink>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63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Form of indenture for senior debt securities and the related form of senior debt security.</w:t>
            </w:r>
          </w:p>
        </w:tc>
        <w:tc>
          <w:tcPr>
            <w:tcW w:w="40" w:type="dxa"/>
            <w:vAlign w:val="bottom"/>
            <w:tcBorders>
              <w:top w:val="single" w:sz="8" w:color="0000EE"/>
            </w:tcBorders>
          </w:tcPr>
          <w:p>
            <w:pPr>
              <w:spacing w:after="0"/>
              <w:rPr>
                <w:sz w:val="24"/>
                <w:szCs w:val="24"/>
                <w:color w:val="auto"/>
              </w:rPr>
            </w:pPr>
          </w:p>
        </w:tc>
        <w:tc>
          <w:tcPr>
            <w:tcW w:w="3600" w:type="dxa"/>
            <w:vAlign w:val="bottom"/>
            <w:gridSpan w:val="5"/>
          </w:tcPr>
          <w:p>
            <w:pPr>
              <w:spacing w:after="0"/>
              <w:rPr>
                <w:sz w:val="24"/>
                <w:szCs w:val="24"/>
                <w:color w:val="auto"/>
              </w:rPr>
            </w:pPr>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73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Form of indenture for subordinated debt securities and the related form of subordinated debt security.</w:t>
            </w:r>
          </w:p>
        </w:tc>
        <w:tc>
          <w:tcPr>
            <w:tcW w:w="2660" w:type="dxa"/>
            <w:vAlign w:val="bottom"/>
            <w:gridSpan w:val="4"/>
          </w:tcPr>
          <w:p>
            <w:pPr>
              <w:spacing w:after="0"/>
              <w:rPr>
                <w:sz w:val="24"/>
                <w:szCs w:val="24"/>
                <w:color w:val="auto"/>
              </w:rPr>
            </w:pPr>
          </w:p>
        </w:tc>
      </w:tr>
      <w:tr>
        <w:trPr>
          <w:trHeight w:val="345"/>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of Certificate of Designations.</w:t>
            </w:r>
          </w:p>
        </w:tc>
      </w:tr>
      <w:tr>
        <w:trPr>
          <w:trHeight w:val="324"/>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4.8*</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of Unit Certificate.</w:t>
            </w:r>
          </w:p>
        </w:tc>
      </w:tr>
      <w:tr>
        <w:trPr>
          <w:trHeight w:val="324"/>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4.9*</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of Preferred Stock Certificate.</w:t>
            </w:r>
          </w:p>
        </w:tc>
      </w:tr>
      <w:tr>
        <w:trPr>
          <w:trHeight w:val="283"/>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5.1**</w:t>
            </w:r>
          </w:p>
        </w:tc>
        <w:tc>
          <w:tcPr>
            <w:tcW w:w="2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Goodwin Procter LLP.</w:t>
            </w:r>
          </w:p>
        </w:tc>
        <w:tc>
          <w:tcPr>
            <w:tcW w:w="7500" w:type="dxa"/>
            <w:vAlign w:val="bottom"/>
            <w:gridSpan w:val="11"/>
          </w:tcPr>
          <w:p>
            <w:pPr>
              <w:spacing w:after="0"/>
              <w:rPr>
                <w:sz w:val="24"/>
                <w:szCs w:val="24"/>
                <w:color w:val="auto"/>
              </w:rPr>
            </w:pPr>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w w:val="97"/>
              </w:rPr>
              <w:t>23.1**</w:t>
            </w:r>
          </w:p>
        </w:tc>
        <w:tc>
          <w:tcPr>
            <w:tcW w:w="9960" w:type="dxa"/>
            <w:vAlign w:val="bottom"/>
            <w:gridSpan w:val="13"/>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w w:val="97"/>
              </w:rPr>
              <w:t>23.2**</w:t>
            </w:r>
          </w:p>
        </w:tc>
        <w:tc>
          <w:tcPr>
            <w:tcW w:w="9960" w:type="dxa"/>
            <w:vAlign w:val="bottom"/>
            <w:gridSpan w:val="13"/>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w w:val="97"/>
              </w:rPr>
              <w:t>23.3**</w:t>
            </w:r>
          </w:p>
        </w:tc>
        <w:tc>
          <w:tcPr>
            <w:tcW w:w="5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Consent of Goodwin Procter LLP (included in Exhibit 5.1 hereto).</w:t>
            </w:r>
          </w:p>
        </w:tc>
        <w:tc>
          <w:tcPr>
            <w:tcW w:w="4040" w:type="dxa"/>
            <w:vAlign w:val="bottom"/>
            <w:gridSpan w:val="7"/>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r>
      <w:tr>
        <w:trPr>
          <w:trHeight w:val="304"/>
        </w:trPr>
        <w:tc>
          <w:tcPr>
            <w:tcW w:w="1020" w:type="dxa"/>
            <w:vAlign w:val="bottom"/>
          </w:tcPr>
          <w:p>
            <w:pPr>
              <w:jc w:val="right"/>
              <w:ind w:right="430"/>
              <w:spacing w:after="0"/>
              <w:rPr>
                <w:sz w:val="20"/>
                <w:szCs w:val="20"/>
                <w:color w:val="auto"/>
              </w:rPr>
            </w:pPr>
            <w:r>
              <w:rPr>
                <w:rFonts w:ascii="Arial" w:cs="Arial" w:eastAsia="Arial" w:hAnsi="Arial"/>
                <w:sz w:val="18"/>
                <w:szCs w:val="18"/>
                <w:color w:val="auto"/>
                <w:w w:val="97"/>
              </w:rPr>
              <w:t>24.1**</w:t>
            </w:r>
          </w:p>
        </w:tc>
        <w:tc>
          <w:tcPr>
            <w:tcW w:w="9960" w:type="dxa"/>
            <w:vAlign w:val="bottom"/>
            <w:gridSpan w:val="13"/>
          </w:tcPr>
          <w:p>
            <w:pPr>
              <w:spacing w:after="0"/>
              <w:rPr>
                <w:sz w:val="20"/>
                <w:szCs w:val="20"/>
                <w:color w:val="auto"/>
              </w:rPr>
            </w:pPr>
            <w:r>
              <w:rPr>
                <w:rFonts w:ascii="Arial" w:cs="Arial" w:eastAsia="Arial" w:hAnsi="Arial"/>
                <w:sz w:val="18"/>
                <w:szCs w:val="18"/>
                <w:color w:val="0000EE"/>
              </w:rPr>
              <w:t>Power of Attorney (included in the signature pages to this registration statement).</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40" w:type="dxa"/>
            <w:vAlign w:val="bottom"/>
            <w:gridSpan w:val="4"/>
            <w:shd w:val="clear" w:color="auto" w:fill="0000EE"/>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8"/>
                <w:szCs w:val="18"/>
                <w:color w:val="auto"/>
              </w:rPr>
              <w:t>25.1†</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25.2†</w:t>
            </w:r>
          </w:p>
        </w:tc>
        <w:tc>
          <w:tcPr>
            <w:tcW w:w="9960" w:type="dxa"/>
            <w:vAlign w:val="bottom"/>
            <w:gridSpan w:val="13"/>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r>
        <w:trPr>
          <w:trHeight w:val="283"/>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9960" w:type="dxa"/>
            <w:vAlign w:val="bottom"/>
            <w:gridSpan w:val="13"/>
          </w:tcPr>
          <w:p>
            <w:pPr>
              <w:spacing w:after="0"/>
              <w:rPr>
                <w:sz w:val="20"/>
                <w:szCs w:val="20"/>
                <w:color w:val="auto"/>
              </w:rPr>
            </w:pPr>
            <w:r>
              <w:rPr>
                <w:rFonts w:ascii="Arial" w:cs="Arial" w:eastAsia="Arial" w:hAnsi="Arial"/>
                <w:sz w:val="18"/>
                <w:szCs w:val="18"/>
                <w:color w:val="0000EE"/>
              </w:rPr>
              <w:t>Filing Fee Table.</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0" w:right="120" w:hanging="4"/>
        <w:spacing w:after="0" w:line="258" w:lineRule="auto"/>
        <w:tabs>
          <w:tab w:leader="none" w:pos="5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as exhibit(s) to a Current Report of the Registrant on Form 8-K and incorporated herein by reference, as applicable. ** Filed herewith.</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pursuant to Section 305(b)(2) of the U.S. Trust Indenture Act of 1939, as applicable.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 Undertakings</w:t>
      </w:r>
    </w:p>
    <w:p>
      <w:pPr>
        <w:spacing w:after="0" w:line="13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hanging="439"/>
        <w:spacing w:after="0" w:line="255" w:lineRule="auto"/>
        <w:tabs>
          <w:tab w:leader="none" w:pos="15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changes in volume and price represent no more than a 20 percent change in the maximum aggregate offering price set forth in the “Calculation of Registration Fee” table in the effective registration statement; and</w:t>
      </w:r>
    </w:p>
    <w:p>
      <w:pPr>
        <w:spacing w:after="0" w:line="76" w:lineRule="exact"/>
        <w:rPr>
          <w:sz w:val="20"/>
          <w:szCs w:val="20"/>
          <w:color w:val="auto"/>
        </w:rPr>
      </w:pPr>
    </w:p>
    <w:p>
      <w:pPr>
        <w:ind w:left="1540" w:right="120" w:hanging="439"/>
        <w:spacing w:after="0" w:line="277"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92" w:lineRule="exact"/>
        <w:rPr>
          <w:sz w:val="20"/>
          <w:szCs w:val="20"/>
          <w:color w:val="auto"/>
        </w:rPr>
      </w:pPr>
    </w:p>
    <w:p>
      <w:pPr>
        <w:ind w:left="1080" w:right="6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62" w:lineRule="exact"/>
        <w:rPr>
          <w:rFonts w:ascii="Arial" w:cs="Arial" w:eastAsia="Arial" w:hAnsi="Arial"/>
          <w:sz w:val="18"/>
          <w:szCs w:val="18"/>
          <w:color w:val="auto"/>
        </w:rPr>
      </w:pPr>
    </w:p>
    <w:p>
      <w:pPr>
        <w:ind w:left="1100" w:right="30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sellers to the purchaser and will be considered to offer or sell such securities to such purchaser:</w:t>
      </w:r>
    </w:p>
    <w:p>
      <w:pPr>
        <w:spacing w:after="0" w:line="92" w:lineRule="exact"/>
        <w:rPr>
          <w:rFonts w:ascii="Arial" w:cs="Arial" w:eastAsia="Arial" w:hAnsi="Arial"/>
          <w:sz w:val="18"/>
          <w:szCs w:val="18"/>
          <w:color w:val="auto"/>
        </w:rPr>
      </w:pPr>
    </w:p>
    <w:p>
      <w:pPr>
        <w:ind w:left="1540" w:right="80" w:hanging="439"/>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20" w:hanging="439"/>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80" w:hanging="439"/>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76"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 section (a) of section 310 of the Trust Indenture Act, or the Act, in accordance with the rules and regulations prescribed by the Commission under section 305(b)(2) of the Act.</w:t>
      </w:r>
    </w:p>
    <w:p>
      <w:pPr>
        <w:spacing w:after="0" w:line="8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Watertown, State of Massachusetts, on November 17,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Quisel, J.D.,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Quisel</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 (Principal Executive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John Quisel, J.D., Ph.D.</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Joanne Bryce</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 (Principal Financial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9"/>
              </w:rPr>
              <w:t>Joanne Bryce, CPA</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Accounting 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Mona Ashiya</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Mona Ashiya,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Bitterman</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Kevin Bitterman, Ph.D.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Chin</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7"/>
              </w:rPr>
              <w:t>Mark Chin, MS, MBA</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Georges Gemayel</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7"/>
              </w:rPr>
              <w:t>Georges Gemayel</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37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2"/>
              </w:rPr>
              <w:t>/s/ Donald Nicholson</w:t>
            </w:r>
          </w:p>
        </w:tc>
        <w:tc>
          <w:tcPr>
            <w:tcW w:w="378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180"/>
              <w:spacing w:after="0"/>
              <w:rPr>
                <w:sz w:val="20"/>
                <w:szCs w:val="20"/>
                <w:color w:val="auto"/>
              </w:rPr>
            </w:pPr>
            <w:r>
              <w:rPr>
                <w:rFonts w:ascii="Arial" w:cs="Arial" w:eastAsia="Arial" w:hAnsi="Arial"/>
                <w:sz w:val="18"/>
                <w:szCs w:val="18"/>
                <w:color w:val="auto"/>
                <w:w w:val="89"/>
              </w:rPr>
              <w:t>November 17,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80" w:type="dxa"/>
            <w:vAlign w:val="bottom"/>
          </w:tcPr>
          <w:p>
            <w:pPr>
              <w:jc w:val="center"/>
              <w:ind w:right="1130"/>
              <w:spacing w:after="0"/>
              <w:rPr>
                <w:sz w:val="20"/>
                <w:szCs w:val="20"/>
                <w:color w:val="auto"/>
              </w:rPr>
            </w:pPr>
            <w:r>
              <w:rPr>
                <w:rFonts w:ascii="Arial" w:cs="Arial" w:eastAsia="Arial" w:hAnsi="Arial"/>
                <w:sz w:val="18"/>
                <w:szCs w:val="18"/>
                <w:color w:val="auto"/>
                <w:w w:val="92"/>
              </w:rPr>
              <w:t>Donald Nicholson, Ph.D.</w:t>
            </w:r>
          </w:p>
        </w:tc>
        <w:tc>
          <w:tcPr>
            <w:tcW w:w="37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color w:val="auto"/>
                <w:w w:val="94"/>
              </w:rPr>
              <w:t>/s/ Liam Ratcliffe</w:t>
            </w:r>
          </w:p>
        </w:tc>
        <w:tc>
          <w:tcPr>
            <w:tcW w:w="378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180"/>
              <w:spacing w:after="0"/>
              <w:rPr>
                <w:sz w:val="20"/>
                <w:szCs w:val="20"/>
                <w:color w:val="auto"/>
              </w:rPr>
            </w:pPr>
            <w:r>
              <w:rPr>
                <w:rFonts w:ascii="Arial" w:cs="Arial" w:eastAsia="Arial" w:hAnsi="Arial"/>
                <w:sz w:val="18"/>
                <w:szCs w:val="18"/>
                <w:color w:val="auto"/>
                <w:w w:val="89"/>
              </w:rPr>
              <w:t>November 17, 2023</w:t>
            </w:r>
          </w:p>
        </w:tc>
      </w:tr>
      <w:tr>
        <w:trPr>
          <w:trHeight w:val="224"/>
        </w:trPr>
        <w:tc>
          <w:tcPr>
            <w:tcW w:w="120" w:type="dxa"/>
            <w:vAlign w:val="bottom"/>
          </w:tcPr>
          <w:p>
            <w:pPr>
              <w:spacing w:after="0"/>
              <w:rPr>
                <w:sz w:val="19"/>
                <w:szCs w:val="19"/>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5"/>
              </w:rPr>
              <w:t>Liam Ratcliffe, M.D., Ph.D.</w:t>
            </w:r>
          </w:p>
        </w:tc>
        <w:tc>
          <w:tcPr>
            <w:tcW w:w="37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6"/>
              </w:rPr>
              <w:t>/s/ William White</w:t>
            </w:r>
          </w:p>
        </w:tc>
        <w:tc>
          <w:tcPr>
            <w:tcW w:w="3780" w:type="dxa"/>
            <w:vAlign w:val="bottom"/>
          </w:tcPr>
          <w:p>
            <w:pPr>
              <w:ind w:left="200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180"/>
              <w:spacing w:after="0"/>
              <w:rPr>
                <w:sz w:val="20"/>
                <w:szCs w:val="20"/>
                <w:color w:val="auto"/>
              </w:rPr>
            </w:pPr>
            <w:r>
              <w:rPr>
                <w:rFonts w:ascii="Arial" w:cs="Arial" w:eastAsia="Arial" w:hAnsi="Arial"/>
                <w:sz w:val="18"/>
                <w:szCs w:val="18"/>
                <w:color w:val="auto"/>
                <w:w w:val="89"/>
              </w:rPr>
              <w:t>November 17, 2023</w:t>
            </w:r>
          </w:p>
        </w:tc>
      </w:tr>
      <w:tr>
        <w:trPr>
          <w:trHeight w:val="224"/>
        </w:trPr>
        <w:tc>
          <w:tcPr>
            <w:tcW w:w="120" w:type="dxa"/>
            <w:vAlign w:val="bottom"/>
          </w:tcPr>
          <w:p>
            <w:pPr>
              <w:spacing w:after="0"/>
              <w:rPr>
                <w:sz w:val="19"/>
                <w:szCs w:val="19"/>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3"/>
              </w:rPr>
              <w:t>William White, MPP, J.D.</w:t>
            </w:r>
          </w:p>
        </w:tc>
        <w:tc>
          <w:tcPr>
            <w:tcW w:w="378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1">
            <w:col w:w="10840"/>
          </w:cols>
          <w:pgMar w:left="320" w:top="446" w:right="7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 [ ]</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51" w:name="page52"/>
    <w:bookmarkEnd w:id="5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Arial" w:cs="Arial" w:eastAsia="Arial" w:hAnsi="Arial"/>
          <w:sz w:val="26"/>
          <w:szCs w:val="26"/>
          <w:b w:val="1"/>
          <w:bCs w:val="1"/>
          <w:color w:val="auto"/>
          <w:vertAlign w:val="superscript"/>
        </w:rPr>
        <w:t>1</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54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2.06</w:t>
            </w:r>
          </w:p>
        </w:tc>
        <w:tc>
          <w:tcPr>
            <w:tcW w:w="824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2.08</w:t>
            </w:r>
          </w:p>
        </w:tc>
        <w:tc>
          <w:tcPr>
            <w:tcW w:w="824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8240" w:type="dxa"/>
            <w:vAlign w:val="bottom"/>
          </w:tcPr>
          <w:p>
            <w:pPr>
              <w:ind w:left="60"/>
              <w:spacing w:after="0"/>
              <w:rPr>
                <w:sz w:val="20"/>
                <w:szCs w:val="20"/>
                <w:color w:val="auto"/>
              </w:rPr>
            </w:pPr>
            <w:r>
              <w:rPr>
                <w:rFonts w:ascii="Arial" w:cs="Arial" w:eastAsia="Arial" w:hAnsi="Arial"/>
                <w:sz w:val="18"/>
                <w:szCs w:val="18"/>
                <w:color w:val="auto"/>
              </w:rPr>
              <w:t>Authenticating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2.11</w:t>
            </w:r>
          </w:p>
        </w:tc>
        <w:tc>
          <w:tcPr>
            <w:tcW w:w="8240" w:type="dxa"/>
            <w:vAlign w:val="bottom"/>
          </w:tcPr>
          <w:p>
            <w:pPr>
              <w:ind w:left="60"/>
              <w:spacing w:after="0"/>
              <w:rPr>
                <w:sz w:val="20"/>
                <w:szCs w:val="20"/>
                <w:color w:val="auto"/>
              </w:rPr>
            </w:pPr>
            <w:r>
              <w:rPr>
                <w:rFonts w:ascii="Arial" w:cs="Arial" w:eastAsia="Arial" w:hAnsi="Arial"/>
                <w:sz w:val="18"/>
                <w:szCs w:val="18"/>
                <w:color w:val="auto"/>
              </w:rPr>
              <w:t>Global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8240" w:type="dxa"/>
            <w:vAlign w:val="bottom"/>
          </w:tcPr>
          <w:p>
            <w:pPr>
              <w:ind w:left="60"/>
              <w:spacing w:after="0"/>
              <w:rPr>
                <w:sz w:val="20"/>
                <w:szCs w:val="20"/>
                <w:color w:val="auto"/>
              </w:rPr>
            </w:pPr>
            <w:r>
              <w:rPr>
                <w:rFonts w:ascii="Arial" w:cs="Arial" w:eastAsia="Arial" w:hAnsi="Arial"/>
                <w:sz w:val="18"/>
                <w:szCs w:val="18"/>
                <w:color w:val="auto"/>
              </w:rPr>
              <w:t>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3.04</w:t>
            </w:r>
          </w:p>
        </w:tc>
        <w:tc>
          <w:tcPr>
            <w:tcW w:w="8240" w:type="dxa"/>
            <w:vAlign w:val="bottom"/>
          </w:tcPr>
          <w:p>
            <w:pPr>
              <w:ind w:left="60"/>
              <w:spacing w:after="0"/>
              <w:rPr>
                <w:sz w:val="20"/>
                <w:szCs w:val="20"/>
                <w:color w:val="auto"/>
              </w:rPr>
            </w:pPr>
            <w:r>
              <w:rPr>
                <w:rFonts w:ascii="Arial" w:cs="Arial" w:eastAsia="Arial" w:hAnsi="Arial"/>
                <w:sz w:val="18"/>
                <w:szCs w:val="18"/>
                <w:color w:val="auto"/>
              </w:rPr>
              <w:t>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4.03</w:t>
            </w:r>
          </w:p>
        </w:tc>
        <w:tc>
          <w:tcPr>
            <w:tcW w:w="8240" w:type="dxa"/>
            <w:vAlign w:val="bottom"/>
          </w:tcPr>
          <w:p>
            <w:pPr>
              <w:ind w:left="60"/>
              <w:spacing w:after="0"/>
              <w:rPr>
                <w:sz w:val="20"/>
                <w:szCs w:val="20"/>
                <w:color w:val="auto"/>
              </w:rPr>
            </w:pPr>
            <w:r>
              <w:rPr>
                <w:rFonts w:ascii="Arial" w:cs="Arial" w:eastAsia="Arial" w:hAnsi="Arial"/>
                <w:sz w:val="18"/>
                <w:szCs w:val="18"/>
                <w:color w:val="auto"/>
              </w:rPr>
              <w:t>Paying Agents</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6.03 Application of Moneys Collected</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6.04 Limitation on Suits</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6.06 Control by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6.07 Undertaking to Pay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54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7.01 Certain Duties and Responsibilities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7.02 Certain Rights of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Section 7.04 May Hold Securities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7.05</w:t>
            </w:r>
          </w:p>
        </w:tc>
        <w:tc>
          <w:tcPr>
            <w:tcW w:w="8240" w:type="dxa"/>
            <w:vAlign w:val="bottom"/>
          </w:tcPr>
          <w:p>
            <w:pPr>
              <w:ind w:left="60"/>
              <w:spacing w:after="0"/>
              <w:rPr>
                <w:sz w:val="20"/>
                <w:szCs w:val="20"/>
                <w:color w:val="auto"/>
              </w:rPr>
            </w:pPr>
            <w:r>
              <w:rPr>
                <w:rFonts w:ascii="Arial" w:cs="Arial" w:eastAsia="Arial" w:hAnsi="Arial"/>
                <w:sz w:val="18"/>
                <w:szCs w:val="18"/>
                <w:color w:val="auto"/>
              </w:rPr>
              <w:t>Moneys Held in Trust</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80" w:hanging="424"/>
        <w:spacing w:after="0" w:line="207" w:lineRule="auto"/>
        <w:tabs>
          <w:tab w:leader="none" w:pos="424"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4"/>
          </w:cols>
          <w:pgMar w:left="436" w:top="270" w:right="49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700" w:type="dxa"/>
            <w:vAlign w:val="bottom"/>
          </w:tcPr>
          <w:p>
            <w:pPr>
              <w:ind w:left="40"/>
              <w:spacing w:after="0"/>
              <w:rPr>
                <w:sz w:val="20"/>
                <w:szCs w:val="20"/>
                <w:color w:val="auto"/>
              </w:rPr>
            </w:pPr>
            <w:r>
              <w:rPr>
                <w:rFonts w:ascii="Arial" w:cs="Arial" w:eastAsia="Arial" w:hAnsi="Arial"/>
                <w:sz w:val="18"/>
                <w:szCs w:val="18"/>
                <w:color w:val="auto"/>
              </w:rPr>
              <w:t>Compensation and Reimbursement</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700" w:type="dxa"/>
            <w:vAlign w:val="bottom"/>
          </w:tcPr>
          <w:p>
            <w:pPr>
              <w:ind w:left="40"/>
              <w:spacing w:after="0"/>
              <w:rPr>
                <w:sz w:val="20"/>
                <w:szCs w:val="20"/>
                <w:color w:val="auto"/>
              </w:rPr>
            </w:pPr>
            <w:r>
              <w:rPr>
                <w:rFonts w:ascii="Arial" w:cs="Arial" w:eastAsia="Arial" w:hAnsi="Arial"/>
                <w:sz w:val="18"/>
                <w:szCs w:val="18"/>
                <w:color w:val="auto"/>
              </w:rPr>
              <w:t>Reliance on Officer’s Certificate</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700" w:type="dxa"/>
            <w:vAlign w:val="bottom"/>
          </w:tcPr>
          <w:p>
            <w:pPr>
              <w:ind w:left="40"/>
              <w:spacing w:after="0"/>
              <w:rPr>
                <w:sz w:val="20"/>
                <w:szCs w:val="20"/>
                <w:color w:val="auto"/>
              </w:rPr>
            </w:pPr>
            <w:r>
              <w:rPr>
                <w:rFonts w:ascii="Arial" w:cs="Arial" w:eastAsia="Arial" w:hAnsi="Arial"/>
                <w:sz w:val="18"/>
                <w:szCs w:val="18"/>
                <w:color w:val="auto"/>
              </w:rPr>
              <w:t>Disqualification; Conflicting Interests</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70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700" w:type="dxa"/>
            <w:vAlign w:val="bottom"/>
          </w:tcPr>
          <w:p>
            <w:pPr>
              <w:ind w:left="40"/>
              <w:spacing w:after="0"/>
              <w:rPr>
                <w:sz w:val="20"/>
                <w:szCs w:val="20"/>
                <w:color w:val="auto"/>
              </w:rPr>
            </w:pPr>
            <w:r>
              <w:rPr>
                <w:rFonts w:ascii="Arial" w:cs="Arial" w:eastAsia="Arial" w:hAnsi="Arial"/>
                <w:sz w:val="18"/>
                <w:szCs w:val="18"/>
                <w:color w:val="auto"/>
              </w:rPr>
              <w:t>Resignation and Removal; Appointment of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70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700" w:type="dxa"/>
            <w:vAlign w:val="bottom"/>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70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the Company</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700" w:type="dxa"/>
            <w:vAlign w:val="bottom"/>
          </w:tcPr>
          <w:p>
            <w:pPr>
              <w:ind w:left="40"/>
              <w:spacing w:after="0"/>
              <w:rPr>
                <w:sz w:val="20"/>
                <w:szCs w:val="20"/>
                <w:color w:val="auto"/>
              </w:rPr>
            </w:pPr>
            <w:r>
              <w:rPr>
                <w:rFonts w:ascii="Arial" w:cs="Arial" w:eastAsia="Arial" w:hAnsi="Arial"/>
                <w:sz w:val="18"/>
                <w:szCs w:val="18"/>
                <w:color w:val="auto"/>
              </w:rPr>
              <w:t>Notice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8 CONCERNING THE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700" w:type="dxa"/>
            <w:vAlign w:val="bottom"/>
          </w:tcPr>
          <w:p>
            <w:pPr>
              <w:ind w:left="40"/>
              <w:spacing w:after="0"/>
              <w:rPr>
                <w:sz w:val="20"/>
                <w:szCs w:val="20"/>
                <w:color w:val="auto"/>
              </w:rPr>
            </w:pPr>
            <w:r>
              <w:rPr>
                <w:rFonts w:ascii="Arial" w:cs="Arial" w:eastAsia="Arial" w:hAnsi="Arial"/>
                <w:sz w:val="18"/>
                <w:szCs w:val="18"/>
                <w:color w:val="auto"/>
              </w:rPr>
              <w:t>Evidence of Action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700" w:type="dxa"/>
            <w:vAlign w:val="bottom"/>
          </w:tcPr>
          <w:p>
            <w:pPr>
              <w:ind w:left="40"/>
              <w:spacing w:after="0"/>
              <w:rPr>
                <w:sz w:val="20"/>
                <w:szCs w:val="20"/>
                <w:color w:val="auto"/>
              </w:rPr>
            </w:pPr>
            <w:r>
              <w:rPr>
                <w:rFonts w:ascii="Arial" w:cs="Arial" w:eastAsia="Arial" w:hAnsi="Arial"/>
                <w:sz w:val="18"/>
                <w:szCs w:val="18"/>
                <w:color w:val="auto"/>
              </w:rPr>
              <w:t>Proof of Execution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700" w:type="dxa"/>
            <w:vAlign w:val="bottom"/>
          </w:tcPr>
          <w:p>
            <w:pPr>
              <w:ind w:left="40"/>
              <w:spacing w:after="0"/>
              <w:rPr>
                <w:sz w:val="20"/>
                <w:szCs w:val="20"/>
                <w:color w:val="auto"/>
              </w:rPr>
            </w:pPr>
            <w:r>
              <w:rPr>
                <w:rFonts w:ascii="Arial" w:cs="Arial" w:eastAsia="Arial" w:hAnsi="Arial"/>
                <w:sz w:val="18"/>
                <w:szCs w:val="18"/>
                <w:color w:val="auto"/>
              </w:rPr>
              <w:t>Who May be Deemed Owners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700" w:type="dxa"/>
            <w:vAlign w:val="bottom"/>
          </w:tcPr>
          <w:p>
            <w:pPr>
              <w:ind w:left="40"/>
              <w:spacing w:after="0"/>
              <w:rPr>
                <w:sz w:val="20"/>
                <w:szCs w:val="20"/>
                <w:color w:val="auto"/>
              </w:rPr>
            </w:pPr>
            <w:r>
              <w:rPr>
                <w:rFonts w:ascii="Arial" w:cs="Arial" w:eastAsia="Arial" w:hAnsi="Arial"/>
                <w:sz w:val="18"/>
                <w:szCs w:val="18"/>
                <w:color w:val="auto"/>
              </w:rPr>
              <w:t>Certain Securities Owned by Company Disregarded</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700" w:type="dxa"/>
            <w:vAlign w:val="bottom"/>
          </w:tcPr>
          <w:p>
            <w:pPr>
              <w:ind w:left="40"/>
              <w:spacing w:after="0"/>
              <w:rPr>
                <w:sz w:val="20"/>
                <w:szCs w:val="20"/>
                <w:color w:val="auto"/>
              </w:rPr>
            </w:pPr>
            <w:r>
              <w:rPr>
                <w:rFonts w:ascii="Arial" w:cs="Arial" w:eastAsia="Arial" w:hAnsi="Arial"/>
                <w:sz w:val="18"/>
                <w:szCs w:val="18"/>
                <w:color w:val="auto"/>
              </w:rPr>
              <w:t>Actions Binding on Future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700" w:type="dxa"/>
            <w:vAlign w:val="bottom"/>
          </w:tcPr>
          <w:p>
            <w:pPr>
              <w:ind w:left="40"/>
              <w:spacing w:after="0"/>
              <w:rPr>
                <w:sz w:val="20"/>
                <w:szCs w:val="20"/>
                <w:color w:val="auto"/>
              </w:rPr>
            </w:pPr>
            <w:r>
              <w:rPr>
                <w:rFonts w:ascii="Arial" w:cs="Arial" w:eastAsia="Arial" w:hAnsi="Arial"/>
                <w:sz w:val="18"/>
                <w:szCs w:val="18"/>
                <w:color w:val="auto"/>
              </w:rPr>
              <w:t>Supplemental Indentures Without the Consent of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700" w:type="dxa"/>
            <w:vAlign w:val="bottom"/>
          </w:tcPr>
          <w:p>
            <w:pPr>
              <w:ind w:left="40"/>
              <w:spacing w:after="0"/>
              <w:rPr>
                <w:sz w:val="20"/>
                <w:szCs w:val="20"/>
                <w:color w:val="auto"/>
              </w:rPr>
            </w:pPr>
            <w:r>
              <w:rPr>
                <w:rFonts w:ascii="Arial" w:cs="Arial" w:eastAsia="Arial" w:hAnsi="Arial"/>
                <w:sz w:val="18"/>
                <w:szCs w:val="18"/>
                <w:color w:val="auto"/>
              </w:rPr>
              <w:t>Supplemental Indentures With Consent of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700" w:type="dxa"/>
            <w:vAlign w:val="bottom"/>
          </w:tcPr>
          <w:p>
            <w:pPr>
              <w:ind w:left="40"/>
              <w:spacing w:after="0"/>
              <w:rPr>
                <w:sz w:val="20"/>
                <w:szCs w:val="20"/>
                <w:color w:val="auto"/>
              </w:rPr>
            </w:pPr>
            <w:r>
              <w:rPr>
                <w:rFonts w:ascii="Arial" w:cs="Arial" w:eastAsia="Arial" w:hAnsi="Arial"/>
                <w:sz w:val="18"/>
                <w:szCs w:val="18"/>
                <w:color w:val="auto"/>
              </w:rPr>
              <w:t>Effect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700" w:type="dxa"/>
            <w:vAlign w:val="bottom"/>
          </w:tcPr>
          <w:p>
            <w:pPr>
              <w:ind w:left="40"/>
              <w:spacing w:after="0"/>
              <w:rPr>
                <w:sz w:val="20"/>
                <w:szCs w:val="20"/>
                <w:color w:val="auto"/>
              </w:rPr>
            </w:pPr>
            <w:r>
              <w:rPr>
                <w:rFonts w:ascii="Arial" w:cs="Arial" w:eastAsia="Arial" w:hAnsi="Arial"/>
                <w:sz w:val="18"/>
                <w:szCs w:val="18"/>
                <w:color w:val="auto"/>
              </w:rPr>
              <w:t>Securities Affected by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700" w:type="dxa"/>
            <w:vAlign w:val="bottom"/>
          </w:tcPr>
          <w:p>
            <w:pPr>
              <w:ind w:left="40"/>
              <w:spacing w:after="0"/>
              <w:rPr>
                <w:sz w:val="20"/>
                <w:szCs w:val="20"/>
                <w:color w:val="auto"/>
              </w:rPr>
            </w:pPr>
            <w:r>
              <w:rPr>
                <w:rFonts w:ascii="Arial" w:cs="Arial" w:eastAsia="Arial" w:hAnsi="Arial"/>
                <w:sz w:val="18"/>
                <w:szCs w:val="18"/>
                <w:color w:val="auto"/>
              </w:rPr>
              <w:t>Execution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10 SUCCESSOR ENTITY</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7700" w:type="dxa"/>
            <w:vAlign w:val="bottom"/>
          </w:tcPr>
          <w:p>
            <w:pPr>
              <w:ind w:left="40"/>
              <w:spacing w:after="0"/>
              <w:rPr>
                <w:sz w:val="20"/>
                <w:szCs w:val="20"/>
                <w:color w:val="auto"/>
              </w:rPr>
            </w:pPr>
            <w:r>
              <w:rPr>
                <w:rFonts w:ascii="Arial" w:cs="Arial" w:eastAsia="Arial" w:hAnsi="Arial"/>
                <w:sz w:val="18"/>
                <w:szCs w:val="18"/>
                <w:color w:val="auto"/>
              </w:rPr>
              <w:t>Company May Consolidate, Etc.</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7700" w:type="dxa"/>
            <w:vAlign w:val="bottom"/>
          </w:tcPr>
          <w:p>
            <w:pPr>
              <w:ind w:left="40"/>
              <w:spacing w:after="0"/>
              <w:rPr>
                <w:sz w:val="20"/>
                <w:szCs w:val="20"/>
                <w:color w:val="auto"/>
              </w:rPr>
            </w:pPr>
            <w:r>
              <w:rPr>
                <w:rFonts w:ascii="Arial" w:cs="Arial" w:eastAsia="Arial" w:hAnsi="Arial"/>
                <w:sz w:val="18"/>
                <w:szCs w:val="18"/>
                <w:color w:val="auto"/>
              </w:rPr>
              <w:t>Successor Entity Substituted</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7700" w:type="dxa"/>
            <w:vAlign w:val="bottom"/>
          </w:tcPr>
          <w:p>
            <w:pPr>
              <w:ind w:left="40"/>
              <w:spacing w:after="0"/>
              <w:rPr>
                <w:sz w:val="20"/>
                <w:szCs w:val="20"/>
                <w:color w:val="auto"/>
              </w:rPr>
            </w:pPr>
            <w:r>
              <w:rPr>
                <w:rFonts w:ascii="Arial" w:cs="Arial" w:eastAsia="Arial" w:hAnsi="Arial"/>
                <w:sz w:val="18"/>
                <w:szCs w:val="18"/>
                <w:color w:val="auto"/>
              </w:rPr>
              <w:t>Satisfaction and Discharge of Indenture</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11.02</w:t>
            </w:r>
          </w:p>
        </w:tc>
        <w:tc>
          <w:tcPr>
            <w:tcW w:w="7700" w:type="dxa"/>
            <w:vAlign w:val="bottom"/>
          </w:tcPr>
          <w:p>
            <w:pPr>
              <w:ind w:left="40"/>
              <w:spacing w:after="0"/>
              <w:rPr>
                <w:sz w:val="20"/>
                <w:szCs w:val="20"/>
                <w:color w:val="auto"/>
              </w:rPr>
            </w:pPr>
            <w:r>
              <w:rPr>
                <w:rFonts w:ascii="Arial" w:cs="Arial" w:eastAsia="Arial" w:hAnsi="Arial"/>
                <w:sz w:val="18"/>
                <w:szCs w:val="18"/>
                <w:color w:val="auto"/>
              </w:rPr>
              <w:t>Discharge of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11.03</w:t>
            </w:r>
          </w:p>
        </w:tc>
        <w:tc>
          <w:tcPr>
            <w:tcW w:w="7700" w:type="dxa"/>
            <w:vAlign w:val="bottom"/>
          </w:tcPr>
          <w:p>
            <w:pPr>
              <w:ind w:left="40"/>
              <w:spacing w:after="0"/>
              <w:rPr>
                <w:sz w:val="20"/>
                <w:szCs w:val="20"/>
                <w:color w:val="auto"/>
              </w:rPr>
            </w:pPr>
            <w:r>
              <w:rPr>
                <w:rFonts w:ascii="Arial" w:cs="Arial" w:eastAsia="Arial" w:hAnsi="Arial"/>
                <w:sz w:val="18"/>
                <w:szCs w:val="18"/>
                <w:color w:val="auto"/>
              </w:rPr>
              <w:t>Deposited Moneys to be Held in Trust</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11.04</w:t>
            </w:r>
          </w:p>
        </w:tc>
        <w:tc>
          <w:tcPr>
            <w:tcW w:w="7700" w:type="dxa"/>
            <w:vAlign w:val="bottom"/>
          </w:tcPr>
          <w:p>
            <w:pPr>
              <w:ind w:left="40"/>
              <w:spacing w:after="0"/>
              <w:rPr>
                <w:sz w:val="20"/>
                <w:szCs w:val="20"/>
                <w:color w:val="auto"/>
              </w:rPr>
            </w:pPr>
            <w:r>
              <w:rPr>
                <w:rFonts w:ascii="Arial" w:cs="Arial" w:eastAsia="Arial" w:hAnsi="Arial"/>
                <w:sz w:val="18"/>
                <w:szCs w:val="18"/>
                <w:color w:val="auto"/>
              </w:rPr>
              <w:t>Payment of Moneys Held by Paying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11.05</w:t>
            </w:r>
          </w:p>
        </w:tc>
        <w:tc>
          <w:tcPr>
            <w:tcW w:w="770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7700" w:type="dxa"/>
            <w:vAlign w:val="bottom"/>
          </w:tcPr>
          <w:p>
            <w:pPr>
              <w:ind w:left="40"/>
              <w:spacing w:after="0"/>
              <w:rPr>
                <w:sz w:val="20"/>
                <w:szCs w:val="20"/>
                <w:color w:val="auto"/>
              </w:rPr>
            </w:pPr>
            <w:r>
              <w:rPr>
                <w:rFonts w:ascii="Arial" w:cs="Arial" w:eastAsia="Arial" w:hAnsi="Arial"/>
                <w:sz w:val="18"/>
                <w:szCs w:val="18"/>
                <w:color w:val="auto"/>
              </w:rPr>
              <w:t>No Recourse</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13.01</w:t>
            </w:r>
          </w:p>
        </w:tc>
        <w:tc>
          <w:tcPr>
            <w:tcW w:w="7700" w:type="dxa"/>
            <w:vAlign w:val="bottom"/>
          </w:tcPr>
          <w:p>
            <w:pPr>
              <w:ind w:left="40"/>
              <w:spacing w:after="0"/>
              <w:rPr>
                <w:sz w:val="20"/>
                <w:szCs w:val="20"/>
                <w:color w:val="auto"/>
              </w:rPr>
            </w:pPr>
            <w:r>
              <w:rPr>
                <w:rFonts w:ascii="Arial" w:cs="Arial" w:eastAsia="Arial" w:hAnsi="Arial"/>
                <w:sz w:val="18"/>
                <w:szCs w:val="18"/>
                <w:color w:val="auto"/>
              </w:rPr>
              <w:t>Effect on Successors and Assigns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13.02</w:t>
            </w:r>
          </w:p>
        </w:tc>
        <w:tc>
          <w:tcPr>
            <w:tcW w:w="7700" w:type="dxa"/>
            <w:vAlign w:val="bottom"/>
          </w:tcPr>
          <w:p>
            <w:pPr>
              <w:ind w:left="40"/>
              <w:spacing w:after="0"/>
              <w:rPr>
                <w:sz w:val="20"/>
                <w:szCs w:val="20"/>
                <w:color w:val="auto"/>
              </w:rPr>
            </w:pPr>
            <w:r>
              <w:rPr>
                <w:rFonts w:ascii="Arial" w:cs="Arial" w:eastAsia="Arial" w:hAnsi="Arial"/>
                <w:sz w:val="18"/>
                <w:szCs w:val="18"/>
                <w:color w:val="auto"/>
              </w:rPr>
              <w:t>Actions by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13.03</w:t>
            </w:r>
          </w:p>
        </w:tc>
        <w:tc>
          <w:tcPr>
            <w:tcW w:w="7700" w:type="dxa"/>
            <w:vAlign w:val="bottom"/>
          </w:tcPr>
          <w:p>
            <w:pPr>
              <w:ind w:left="40"/>
              <w:spacing w:after="0"/>
              <w:rPr>
                <w:sz w:val="20"/>
                <w:szCs w:val="20"/>
                <w:color w:val="auto"/>
              </w:rPr>
            </w:pPr>
            <w:r>
              <w:rPr>
                <w:rFonts w:ascii="Arial" w:cs="Arial" w:eastAsia="Arial" w:hAnsi="Arial"/>
                <w:sz w:val="18"/>
                <w:szCs w:val="18"/>
                <w:color w:val="auto"/>
              </w:rPr>
              <w:t>Surrender of Company Powers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13.04</w:t>
            </w:r>
          </w:p>
        </w:tc>
        <w:tc>
          <w:tcPr>
            <w:tcW w:w="7700" w:type="dxa"/>
            <w:vAlign w:val="bottom"/>
          </w:tcPr>
          <w:p>
            <w:pPr>
              <w:ind w:left="4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13.05</w:t>
            </w:r>
          </w:p>
        </w:tc>
        <w:tc>
          <w:tcPr>
            <w:tcW w:w="770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13.06</w:t>
            </w:r>
          </w:p>
        </w:tc>
        <w:tc>
          <w:tcPr>
            <w:tcW w:w="7700" w:type="dxa"/>
            <w:vAlign w:val="bottom"/>
          </w:tcPr>
          <w:p>
            <w:pPr>
              <w:ind w:left="40"/>
              <w:spacing w:after="0"/>
              <w:rPr>
                <w:sz w:val="20"/>
                <w:szCs w:val="20"/>
                <w:color w:val="auto"/>
              </w:rPr>
            </w:pPr>
            <w:r>
              <w:rPr>
                <w:rFonts w:ascii="Arial" w:cs="Arial" w:eastAsia="Arial" w:hAnsi="Arial"/>
                <w:sz w:val="18"/>
                <w:szCs w:val="18"/>
                <w:color w:val="auto"/>
              </w:rPr>
              <w:t>Treatment of Securities as Debt</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13.07</w:t>
            </w:r>
          </w:p>
        </w:tc>
        <w:tc>
          <w:tcPr>
            <w:tcW w:w="7700" w:type="dxa"/>
            <w:vAlign w:val="bottom"/>
          </w:tcPr>
          <w:p>
            <w:pPr>
              <w:ind w:left="40"/>
              <w:spacing w:after="0"/>
              <w:rPr>
                <w:sz w:val="20"/>
                <w:szCs w:val="20"/>
                <w:color w:val="auto"/>
              </w:rPr>
            </w:pPr>
            <w:r>
              <w:rPr>
                <w:rFonts w:ascii="Arial" w:cs="Arial" w:eastAsia="Arial" w:hAnsi="Arial"/>
                <w:sz w:val="18"/>
                <w:szCs w:val="18"/>
                <w:color w:val="auto"/>
              </w:rPr>
              <w:t>Certificates and Opinions as to Conditions Precedent</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13.08</w:t>
            </w:r>
          </w:p>
        </w:tc>
        <w:tc>
          <w:tcPr>
            <w:tcW w:w="7700" w:type="dxa"/>
            <w:vAlign w:val="bottom"/>
          </w:tcPr>
          <w:p>
            <w:pPr>
              <w:ind w:left="40"/>
              <w:spacing w:after="0"/>
              <w:rPr>
                <w:sz w:val="20"/>
                <w:szCs w:val="20"/>
                <w:color w:val="auto"/>
              </w:rPr>
            </w:pPr>
            <w:r>
              <w:rPr>
                <w:rFonts w:ascii="Arial" w:cs="Arial" w:eastAsia="Arial" w:hAnsi="Arial"/>
                <w:sz w:val="18"/>
                <w:szCs w:val="18"/>
                <w:color w:val="auto"/>
              </w:rPr>
              <w:t>Payments on Business Days</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13.09</w:t>
            </w:r>
          </w:p>
        </w:tc>
        <w:tc>
          <w:tcPr>
            <w:tcW w:w="7700" w:type="dxa"/>
            <w:vAlign w:val="bottom"/>
          </w:tcPr>
          <w:p>
            <w:pPr>
              <w:ind w:left="40"/>
              <w:spacing w:after="0"/>
              <w:rPr>
                <w:sz w:val="20"/>
                <w:szCs w:val="20"/>
                <w:color w:val="auto"/>
              </w:rPr>
            </w:pPr>
            <w:r>
              <w:rPr>
                <w:rFonts w:ascii="Arial" w:cs="Arial" w:eastAsia="Arial" w:hAnsi="Arial"/>
                <w:sz w:val="18"/>
                <w:szCs w:val="18"/>
                <w:color w:val="auto"/>
              </w:rPr>
              <w:t>Conflict with Trust Indenture Act</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13.10</w:t>
            </w:r>
          </w:p>
        </w:tc>
        <w:tc>
          <w:tcPr>
            <w:tcW w:w="770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13.11</w:t>
            </w:r>
          </w:p>
        </w:tc>
        <w:tc>
          <w:tcPr>
            <w:tcW w:w="7700" w:type="dxa"/>
            <w:vAlign w:val="bottom"/>
          </w:tcPr>
          <w:p>
            <w:pPr>
              <w:ind w:left="40"/>
              <w:spacing w:after="0"/>
              <w:rPr>
                <w:sz w:val="20"/>
                <w:szCs w:val="20"/>
                <w:color w:val="auto"/>
              </w:rPr>
            </w:pPr>
            <w:r>
              <w:rPr>
                <w:rFonts w:ascii="Arial" w:cs="Arial" w:eastAsia="Arial" w:hAnsi="Arial"/>
                <w:sz w:val="18"/>
                <w:szCs w:val="18"/>
                <w:color w:val="auto"/>
              </w:rPr>
              <w:t>Separability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13.12</w:t>
            </w:r>
          </w:p>
        </w:tc>
        <w:tc>
          <w:tcPr>
            <w:tcW w:w="7700" w:type="dxa"/>
            <w:vAlign w:val="bottom"/>
          </w:tcPr>
          <w:p>
            <w:pPr>
              <w:ind w:left="40"/>
              <w:spacing w:after="0"/>
              <w:rPr>
                <w:sz w:val="20"/>
                <w:szCs w:val="20"/>
                <w:color w:val="auto"/>
              </w:rPr>
            </w:pPr>
            <w:r>
              <w:rPr>
                <w:rFonts w:ascii="Arial" w:cs="Arial" w:eastAsia="Arial" w:hAnsi="Arial"/>
                <w:sz w:val="18"/>
                <w:szCs w:val="18"/>
                <w:color w:val="auto"/>
              </w:rPr>
              <w:t>Compliance Certificates</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dated as of [ ], among</w:t>
      </w:r>
      <w:r>
        <w:rPr>
          <w:rFonts w:ascii="Arial" w:cs="Arial" w:eastAsia="Arial" w:hAnsi="Arial"/>
          <w:sz w:val="18"/>
          <w:szCs w:val="18"/>
          <w:b w:val="1"/>
          <w:bCs w:val="1"/>
          <w:color w:val="auto"/>
        </w:rPr>
        <w:t xml:space="preserve"> DISC MEDICINE, INC., </w:t>
      </w:r>
      <w:r>
        <w:rPr>
          <w:rFonts w:ascii="Arial" w:cs="Arial" w:eastAsia="Arial" w:hAnsi="Arial"/>
          <w:sz w:val="18"/>
          <w:szCs w:val="18"/>
          <w:color w:val="auto"/>
        </w:rPr>
        <w:t>a Delaware corporation (the “Company”), and [</w:t>
      </w: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its lawful corporate purposes, the Company has duly authorized the execution and delivery of this Indenture to provide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5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for the equal and ratable benefit of the holders of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 of Terms</w:t>
      </w:r>
      <w:r>
        <w:rPr>
          <w:rFonts w:ascii="Arial" w:cs="Arial" w:eastAsia="Arial" w:hAnsi="Arial"/>
          <w:sz w:val="16"/>
          <w:szCs w:val="16"/>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 authenticating agent with respect to all or any of the series of Securities appointed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5" w:name="page56"/>
    <w:bookmarkEnd w:id="55"/>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jc w:val="both"/>
        <w:ind w:firstLine="436"/>
        <w:spacing w:after="0" w:line="263"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partnership in which such Person or a subsidiary of such Person is, at the date of determination, a general partner of such partnership; or</w:t>
      </w:r>
    </w:p>
    <w:p>
      <w:pPr>
        <w:spacing w:after="0" w:line="140"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w:t>
      </w:r>
      <w:r>
        <w:rPr>
          <w:rFonts w:ascii="Arial" w:cs="Arial" w:eastAsia="Arial" w:hAnsi="Arial"/>
          <w:sz w:val="18"/>
          <w:szCs w:val="18"/>
          <w:b w:val="1"/>
          <w:bCs w:val="1"/>
          <w:color w:val="auto"/>
        </w:rPr>
        <w:t>TRUSTEE</w:t>
      </w:r>
      <w:r>
        <w:rPr>
          <w:rFonts w:ascii="Arial" w:cs="Arial" w:eastAsia="Arial" w:hAnsi="Arial"/>
          <w:sz w:val="18"/>
          <w:szCs w:val="18"/>
          <w:color w:val="auto"/>
        </w:rPr>
        <w:t>], and, subject to the provisions of Article Seven, shall also include its successors and assigns, and, if at any time there is more than one Person acting in such capacity hereunder, “Trustee” shall mean each such Person.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“Trustee” as used with respect to a particular series of the Securities shall mean the trustee with respect to that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301"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right="20" w:firstLine="987"/>
        <w:spacing w:after="0" w:line="259"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128" w:lineRule="exact"/>
        <w:rPr>
          <w:rFonts w:ascii="Arial" w:cs="Arial" w:eastAsia="Arial" w:hAnsi="Arial"/>
          <w:sz w:val="17"/>
          <w:szCs w:val="17"/>
          <w:color w:val="auto"/>
        </w:rPr>
      </w:pPr>
    </w:p>
    <w:p>
      <w:pPr>
        <w:ind w:right="40" w:firstLine="987"/>
        <w:spacing w:after="0" w:line="263" w:lineRule="auto"/>
        <w:tabs>
          <w:tab w:leader="none" w:pos="12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ind w:right="280" w:firstLine="987"/>
        <w:spacing w:after="0" w:line="259" w:lineRule="auto"/>
        <w:tabs>
          <w:tab w:leader="none" w:pos="12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7" w:name="page58"/>
    <w:bookmarkEnd w:id="57"/>
    <w:p>
      <w:pPr>
        <w:ind w:left="-60" w:right="100" w:firstLine="987"/>
        <w:spacing w:after="0" w:line="279" w:lineRule="auto"/>
        <w:tabs>
          <w:tab w:leader="none" w:pos="1146"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left="-60" w:right="300" w:firstLine="987"/>
        <w:spacing w:after="0" w:line="263"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5" w:lineRule="exact"/>
        <w:rPr>
          <w:rFonts w:ascii="Arial" w:cs="Arial" w:eastAsia="Arial" w:hAnsi="Arial"/>
          <w:sz w:val="18"/>
          <w:szCs w:val="18"/>
          <w:color w:val="auto"/>
        </w:rPr>
      </w:pPr>
    </w:p>
    <w:p>
      <w:pPr>
        <w:ind w:left="-60" w:right="140" w:firstLine="987"/>
        <w:spacing w:after="0" w:line="279" w:lineRule="auto"/>
        <w:tabs>
          <w:tab w:leader="none" w:pos="11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63" w:lineRule="exact"/>
        <w:rPr>
          <w:rFonts w:ascii="Arial" w:cs="Arial" w:eastAsia="Arial" w:hAnsi="Arial"/>
          <w:sz w:val="17"/>
          <w:szCs w:val="17"/>
          <w:color w:val="auto"/>
        </w:rPr>
      </w:pPr>
    </w:p>
    <w:p>
      <w:pPr>
        <w:ind w:left="-60" w:right="280" w:firstLine="987"/>
        <w:spacing w:after="0" w:line="277" w:lineRule="auto"/>
        <w:tabs>
          <w:tab w:leader="none" w:pos="11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62" w:lineRule="exact"/>
        <w:rPr>
          <w:rFonts w:ascii="Arial" w:cs="Arial" w:eastAsia="Arial" w:hAnsi="Arial"/>
          <w:sz w:val="18"/>
          <w:szCs w:val="18"/>
          <w:color w:val="auto"/>
        </w:rPr>
      </w:pPr>
    </w:p>
    <w:p>
      <w:pPr>
        <w:ind w:left="1180" w:hanging="253"/>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left="-60" w:firstLine="987"/>
        <w:spacing w:after="0" w:line="254" w:lineRule="auto"/>
        <w:tabs>
          <w:tab w:leader="none" w:pos="11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Arial" w:cs="Arial" w:eastAsia="Arial" w:hAnsi="Arial"/>
          <w:sz w:val="18"/>
          <w:szCs w:val="18"/>
          <w:color w:val="auto"/>
        </w:rPr>
      </w:pPr>
    </w:p>
    <w:p>
      <w:pPr>
        <w:ind w:left="-60" w:right="100" w:firstLine="987"/>
        <w:spacing w:after="0" w:line="286" w:lineRule="auto"/>
        <w:tabs>
          <w:tab w:leader="none" w:pos="115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57" w:lineRule="exact"/>
        <w:rPr>
          <w:rFonts w:ascii="Arial" w:cs="Arial" w:eastAsia="Arial" w:hAnsi="Arial"/>
          <w:sz w:val="17"/>
          <w:szCs w:val="17"/>
          <w:color w:val="auto"/>
        </w:rPr>
      </w:pPr>
    </w:p>
    <w:p>
      <w:pPr>
        <w:jc w:val="both"/>
        <w:ind w:left="-60" w:right="160" w:firstLine="987"/>
        <w:spacing w:after="0" w:line="263" w:lineRule="auto"/>
        <w:tabs>
          <w:tab w:leader="none" w:pos="11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5" w:lineRule="exact"/>
        <w:rPr>
          <w:rFonts w:ascii="Arial" w:cs="Arial" w:eastAsia="Arial" w:hAnsi="Arial"/>
          <w:sz w:val="18"/>
          <w:szCs w:val="18"/>
          <w:color w:val="auto"/>
        </w:rPr>
      </w:pPr>
    </w:p>
    <w:p>
      <w:pPr>
        <w:ind w:left="-60" w:right="360" w:firstLine="987"/>
        <w:spacing w:after="0" w:line="277" w:lineRule="auto"/>
        <w:tabs>
          <w:tab w:leader="none" w:pos="11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left="-60" w:right="300" w:firstLine="987"/>
        <w:spacing w:after="0" w:line="308" w:lineRule="auto"/>
        <w:tabs>
          <w:tab w:leader="none" w:pos="11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8" w:lineRule="exact"/>
        <w:rPr>
          <w:rFonts w:ascii="Arial" w:cs="Arial" w:eastAsia="Arial" w:hAnsi="Arial"/>
          <w:sz w:val="17"/>
          <w:szCs w:val="17"/>
          <w:color w:val="auto"/>
        </w:rPr>
      </w:pPr>
    </w:p>
    <w:p>
      <w:pPr>
        <w:ind w:left="1180" w:hanging="253"/>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220" w:hanging="293"/>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180" w:hanging="253"/>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17" w:lineRule="exact"/>
        <w:rPr>
          <w:rFonts w:ascii="Arial" w:cs="Arial" w:eastAsia="Arial" w:hAnsi="Arial"/>
          <w:sz w:val="18"/>
          <w:szCs w:val="18"/>
          <w:color w:val="auto"/>
        </w:rPr>
      </w:pPr>
    </w:p>
    <w:p>
      <w:pPr>
        <w:ind w:left="1180" w:hanging="253"/>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Form of Securities and Trustee’s Certificate</w:t>
      </w:r>
      <w:r>
        <w:rPr>
          <w:rFonts w:ascii="Arial" w:cs="Arial" w:eastAsia="Arial" w:hAnsi="Arial"/>
          <w:sz w:val="17"/>
          <w:szCs w:val="17"/>
          <w:color w:val="auto"/>
        </w:rPr>
        <w:t>. 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Denominations: Provisions for Payment</w:t>
      </w:r>
      <w:r>
        <w:rPr>
          <w:rFonts w:ascii="Arial" w:cs="Arial" w:eastAsia="Arial" w:hAnsi="Arial"/>
          <w:sz w:val="16"/>
          <w:szCs w:val="16"/>
          <w:color w:val="auto"/>
        </w:rPr>
        <w:t>. 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1" w:lineRule="exact"/>
        <w:rPr>
          <w:sz w:val="20"/>
          <w:szCs w:val="20"/>
          <w:color w:val="auto"/>
        </w:rPr>
      </w:pPr>
    </w:p>
    <w:p>
      <w:pPr>
        <w:ind w:firstLine="436"/>
        <w:spacing w:after="0" w:line="286"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9" w:name="page60"/>
    <w:bookmarkEnd w:id="59"/>
    <w:p>
      <w:pPr>
        <w:ind w:firstLine="436"/>
        <w:spacing w:after="0" w:line="259"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 The Securities shall be signed on behalf of the Company by one of its Officers. Signatures may be in the form of a manual or facsimile signature.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6"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3" w:lineRule="exact"/>
        <w:rPr>
          <w:rFonts w:ascii="Arial" w:cs="Arial" w:eastAsia="Arial" w:hAnsi="Arial"/>
          <w:sz w:val="16"/>
          <w:szCs w:val="16"/>
          <w:color w:val="auto"/>
        </w:rPr>
      </w:pPr>
    </w:p>
    <w:p>
      <w:pPr>
        <w:ind w:right="20" w:firstLine="436"/>
        <w:spacing w:after="0" w:line="301"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0" w:name="page61"/>
    <w:bookmarkEnd w:id="6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6" w:lineRule="exact"/>
        <w:rPr>
          <w:sz w:val="20"/>
          <w:szCs w:val="20"/>
          <w:color w:val="auto"/>
        </w:rPr>
      </w:pPr>
    </w:p>
    <w:p>
      <w:pPr>
        <w:ind w:right="200" w:firstLine="436"/>
        <w:spacing w:after="0" w:line="301"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49"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Temporary Securities</w:t>
      </w:r>
      <w:r>
        <w:rPr>
          <w:rFonts w:ascii="Arial" w:cs="Arial" w:eastAsia="Arial" w:hAnsi="Arial"/>
          <w:sz w:val="16"/>
          <w:szCs w:val="16"/>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Mutilated, Destroyed, Lost or Stolen Securities</w:t>
      </w:r>
      <w:r>
        <w:rPr>
          <w:rFonts w:ascii="Arial" w:cs="Arial" w:eastAsia="Arial" w:hAnsi="Arial"/>
          <w:sz w:val="17"/>
          <w:szCs w:val="17"/>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1" w:name="page62"/>
    <w:bookmarkEnd w:id="6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Authenticating Agent</w:t>
      </w:r>
      <w:r>
        <w:rPr>
          <w:rFonts w:ascii="Arial" w:cs="Arial" w:eastAsia="Arial" w:hAnsi="Arial"/>
          <w:sz w:val="16"/>
          <w:szCs w:val="16"/>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86" w:lineRule="auto"/>
        <w:tabs>
          <w:tab w:leader="none" w:pos="699"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1" w:lineRule="exact"/>
        <w:rPr>
          <w:rFonts w:ascii="Arial" w:cs="Arial" w:eastAsia="Arial" w:hAnsi="Arial"/>
          <w:sz w:val="16"/>
          <w:szCs w:val="16"/>
          <w:color w:val="auto"/>
        </w:rPr>
      </w:pPr>
    </w:p>
    <w:p>
      <w:pPr>
        <w:ind w:left="4" w:right="560" w:hanging="4"/>
        <w:spacing w:after="0" w:line="255"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81"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5"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8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 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9" w:lineRule="auto"/>
        <w:tabs>
          <w:tab w:leader="none" w:pos="699"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63" w:name="page64"/>
    <w:bookmarkEnd w:id="6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6" w:lineRule="exact"/>
        <w:rPr>
          <w:sz w:val="20"/>
          <w:szCs w:val="20"/>
          <w:color w:val="auto"/>
        </w:rPr>
      </w:pPr>
    </w:p>
    <w:p>
      <w:pPr>
        <w:ind w:firstLine="436"/>
        <w:spacing w:after="0" w:line="269"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90"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57" w:lineRule="exact"/>
        <w:rPr>
          <w:rFonts w:ascii="Arial" w:cs="Arial" w:eastAsia="Arial" w:hAnsi="Arial"/>
          <w:sz w:val="16"/>
          <w:szCs w:val="16"/>
          <w:color w:val="auto"/>
        </w:rPr>
      </w:pPr>
    </w:p>
    <w:p>
      <w:pPr>
        <w:ind w:right="140" w:firstLine="436"/>
        <w:spacing w:after="0" w:line="286"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4" w:name="page65"/>
    <w:bookmarkEnd w:id="64"/>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Principal, Premium and Interest</w:t>
      </w:r>
      <w:r>
        <w:rPr>
          <w:rFonts w:ascii="Arial" w:cs="Arial" w:eastAsia="Arial" w:hAnsi="Arial"/>
          <w:sz w:val="17"/>
          <w:szCs w:val="17"/>
          <w:color w:val="auto"/>
        </w:rPr>
        <w:t>. 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5" w:name="page66"/>
    <w:bookmarkEnd w:id="65"/>
    <w:p>
      <w:pPr>
        <w:jc w:val="both"/>
        <w:ind w:left="4" w:right="100" w:firstLine="436"/>
        <w:spacing w:after="0" w:line="263" w:lineRule="auto"/>
        <w:tabs>
          <w:tab w:leader="none" w:pos="699"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5" w:lineRule="exact"/>
        <w:rPr>
          <w:rFonts w:ascii="Arial" w:cs="Arial" w:eastAsia="Arial" w:hAnsi="Arial"/>
          <w:sz w:val="18"/>
          <w:szCs w:val="18"/>
          <w:color w:val="auto"/>
        </w:rPr>
      </w:pPr>
    </w:p>
    <w:p>
      <w:pPr>
        <w:jc w:val="both"/>
        <w:ind w:left="4" w:right="140" w:firstLine="987"/>
        <w:spacing w:after="0" w:line="263" w:lineRule="auto"/>
        <w:tabs>
          <w:tab w:leader="none" w:pos="1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5"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color w:val="auto"/>
        </w:rPr>
      </w:pPr>
    </w:p>
    <w:p>
      <w:pPr>
        <w:ind w:left="4" w:right="460" w:firstLine="987"/>
        <w:spacing w:after="0" w:line="277" w:lineRule="auto"/>
        <w:tabs>
          <w:tab w:leader="none" w:pos="1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left="4" w:right="100" w:firstLine="436"/>
        <w:spacing w:after="0" w:line="290" w:lineRule="auto"/>
        <w:tabs>
          <w:tab w:leader="none" w:pos="69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57" w:lineRule="exact"/>
        <w:rPr>
          <w:rFonts w:ascii="Arial" w:cs="Arial" w:eastAsia="Arial" w:hAnsi="Arial"/>
          <w:sz w:val="16"/>
          <w:szCs w:val="16"/>
          <w:color w:val="auto"/>
        </w:rPr>
      </w:pPr>
    </w:p>
    <w:p>
      <w:pPr>
        <w:ind w:left="4" w:firstLine="436"/>
        <w:spacing w:after="0" w:line="255" w:lineRule="auto"/>
        <w:tabs>
          <w:tab w:leader="none" w:pos="699"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 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Company to Furnish Trustee Names and Addresses of Securityholders</w:t>
      </w:r>
      <w:r>
        <w:rPr>
          <w:rFonts w:ascii="Arial" w:cs="Arial" w:eastAsia="Arial" w:hAnsi="Arial"/>
          <w:sz w:val="16"/>
          <w:szCs w:val="16"/>
          <w:color w:val="auto"/>
        </w:rPr>
        <w:t>. The Company will furnish or cause to be furnished to the Trustee</w:t>
      </w:r>
    </w:p>
    <w:p>
      <w:pPr>
        <w:spacing w:after="0" w:line="46" w:lineRule="exact"/>
        <w:rPr>
          <w:sz w:val="20"/>
          <w:szCs w:val="20"/>
          <w:color w:val="auto"/>
        </w:rPr>
      </w:pPr>
    </w:p>
    <w:p>
      <w:pPr>
        <w:ind w:left="4" w:right="40" w:hanging="4"/>
        <w:spacing w:after="0" w:line="253"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117" w:lineRule="exact"/>
        <w:rPr>
          <w:rFonts w:ascii="Arial" w:cs="Arial" w:eastAsia="Arial" w:hAnsi="Arial"/>
          <w:sz w:val="18"/>
          <w:szCs w:val="18"/>
          <w:color w:val="auto"/>
        </w:rPr>
      </w:pPr>
    </w:p>
    <w:p>
      <w:pPr>
        <w:ind w:right="280" w:firstLine="436"/>
        <w:spacing w:after="0" w:line="286" w:lineRule="auto"/>
        <w:tabs>
          <w:tab w:leader="none" w:pos="6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60" w:lineRule="exact"/>
        <w:rPr>
          <w:rFonts w:ascii="Arial" w:cs="Arial" w:eastAsia="Arial" w:hAnsi="Arial"/>
          <w:sz w:val="16"/>
          <w:szCs w:val="16"/>
          <w:color w:val="auto"/>
        </w:rPr>
      </w:pPr>
    </w:p>
    <w:p>
      <w:pPr>
        <w:ind w:right="100" w:firstLine="436"/>
        <w:spacing w:after="0" w:line="259"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63"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117"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7" w:name="page68"/>
    <w:bookmarkEnd w:id="6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25" w:lineRule="exact"/>
        <w:rPr>
          <w:sz w:val="20"/>
          <w:szCs w:val="20"/>
          <w:color w:val="auto"/>
        </w:rPr>
      </w:pPr>
    </w:p>
    <w:p>
      <w:pPr>
        <w:ind w:left="2004"/>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 w:right="140" w:firstLine="436"/>
        <w:spacing w:after="0" w:line="277" w:lineRule="auto"/>
        <w:tabs>
          <w:tab w:leader="none" w:pos="696" w:val="left"/>
        </w:tabs>
        <w:numPr>
          <w:ilvl w:val="1"/>
          <w:numId w:val="60"/>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color w:val="auto"/>
        </w:rPr>
      </w:pPr>
    </w:p>
    <w:p>
      <w:pPr>
        <w:ind w:left="4" w:right="20" w:firstLine="987"/>
        <w:spacing w:after="0" w:line="311" w:lineRule="auto"/>
        <w:tabs>
          <w:tab w:leader="none" w:pos="124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40" w:lineRule="exact"/>
        <w:rPr>
          <w:rFonts w:ascii="Arial" w:cs="Arial" w:eastAsia="Arial" w:hAnsi="Arial"/>
          <w:sz w:val="16"/>
          <w:szCs w:val="16"/>
          <w:color w:val="auto"/>
        </w:rPr>
      </w:pPr>
    </w:p>
    <w:p>
      <w:pPr>
        <w:jc w:val="both"/>
        <w:ind w:left="4" w:right="20" w:firstLine="987"/>
        <w:spacing w:after="0" w:line="279" w:lineRule="auto"/>
        <w:tabs>
          <w:tab w:leader="none" w:pos="1250" w:val="left"/>
        </w:tabs>
        <w:numPr>
          <w:ilvl w:val="2"/>
          <w:numId w:val="60"/>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63" w:lineRule="exact"/>
        <w:rPr>
          <w:rFonts w:ascii="Arial" w:cs="Arial" w:eastAsia="Arial" w:hAnsi="Arial"/>
          <w:sz w:val="17"/>
          <w:szCs w:val="17"/>
          <w:color w:val="auto"/>
        </w:rPr>
      </w:pPr>
    </w:p>
    <w:p>
      <w:pPr>
        <w:ind w:left="4" w:right="40" w:firstLine="987"/>
        <w:spacing w:after="0" w:line="255" w:lineRule="auto"/>
        <w:tabs>
          <w:tab w:leader="none" w:pos="12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84" w:lineRule="exact"/>
        <w:rPr>
          <w:rFonts w:ascii="Arial" w:cs="Arial" w:eastAsia="Arial" w:hAnsi="Arial"/>
          <w:sz w:val="18"/>
          <w:szCs w:val="18"/>
          <w:color w:val="auto"/>
        </w:rPr>
      </w:pPr>
    </w:p>
    <w:p>
      <w:pPr>
        <w:ind w:left="4" w:firstLine="987"/>
        <w:spacing w:after="0" w:line="291" w:lineRule="auto"/>
        <w:tabs>
          <w:tab w:leader="none" w:pos="125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02" w:lineRule="exact"/>
        <w:rPr>
          <w:rFonts w:ascii="Arial" w:cs="Arial" w:eastAsia="Arial" w:hAnsi="Arial"/>
          <w:sz w:val="18"/>
          <w:szCs w:val="18"/>
          <w:color w:val="auto"/>
        </w:rPr>
      </w:pPr>
    </w:p>
    <w:p>
      <w:pPr>
        <w:ind w:left="4" w:right="80" w:firstLine="987"/>
        <w:spacing w:after="0" w:line="263" w:lineRule="auto"/>
        <w:tabs>
          <w:tab w:leader="none" w:pos="12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5"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7" w:lineRule="exact"/>
        <w:rPr>
          <w:rFonts w:ascii="Arial" w:cs="Arial" w:eastAsia="Arial" w:hAnsi="Arial"/>
          <w:sz w:val="16"/>
          <w:szCs w:val="16"/>
          <w:color w:val="auto"/>
        </w:rPr>
      </w:pPr>
    </w:p>
    <w:p>
      <w:pPr>
        <w:ind w:left="4" w:firstLine="436"/>
        <w:spacing w:after="0" w:line="272" w:lineRule="auto"/>
        <w:tabs>
          <w:tab w:leader="none" w:pos="69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68" w:name="page69"/>
    <w:bookmarkEnd w:id="6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firstLine="436"/>
        <w:spacing w:after="0" w:line="257"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3"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7.06.</w:t>
      </w:r>
    </w:p>
    <w:p>
      <w:pPr>
        <w:spacing w:after="0" w:line="102" w:lineRule="exact"/>
        <w:rPr>
          <w:rFonts w:ascii="Arial" w:cs="Arial" w:eastAsia="Arial" w:hAnsi="Arial"/>
          <w:sz w:val="16"/>
          <w:szCs w:val="16"/>
          <w:color w:val="auto"/>
        </w:rPr>
      </w:pPr>
    </w:p>
    <w:p>
      <w:pPr>
        <w:ind w:right="160" w:firstLine="436"/>
        <w:spacing w:after="0" w:line="275"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8" w:lineRule="exact"/>
        <w:rPr>
          <w:rFonts w:ascii="Arial" w:cs="Arial" w:eastAsia="Arial" w:hAnsi="Arial"/>
          <w:sz w:val="17"/>
          <w:szCs w:val="17"/>
          <w:color w:val="auto"/>
        </w:rPr>
      </w:pPr>
    </w:p>
    <w:p>
      <w:pPr>
        <w:ind w:right="60" w:firstLine="436"/>
        <w:spacing w:after="0" w:line="269"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77" w:lineRule="exact"/>
        <w:rPr>
          <w:rFonts w:ascii="Arial" w:cs="Arial" w:eastAsia="Arial" w:hAnsi="Arial"/>
          <w:sz w:val="17"/>
          <w:szCs w:val="17"/>
          <w:color w:val="auto"/>
        </w:rPr>
      </w:pPr>
    </w:p>
    <w:p>
      <w:pPr>
        <w:ind w:right="140" w:firstLine="436"/>
        <w:spacing w:after="0" w:line="257"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9" w:name="page70"/>
    <w:bookmarkEnd w:id="69"/>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FIRST: To the payment of reasonable costs and expenses of collection and of all amounts payable to the Trustee under Section 7.06;</w:t>
      </w:r>
    </w:p>
    <w:p>
      <w:pPr>
        <w:spacing w:after="0" w:line="129" w:lineRule="exact"/>
        <w:rPr>
          <w:sz w:val="20"/>
          <w:szCs w:val="20"/>
          <w:color w:val="auto"/>
        </w:rPr>
      </w:pPr>
    </w:p>
    <w:p>
      <w:pPr>
        <w:jc w:val="both"/>
        <w:ind w:left="440" w:right="160"/>
        <w:spacing w:after="0" w:line="286" w:lineRule="auto"/>
        <w:rPr>
          <w:sz w:val="20"/>
          <w:szCs w:val="20"/>
          <w:color w:val="auto"/>
        </w:rPr>
      </w:pPr>
      <w:r>
        <w:rPr>
          <w:rFonts w:ascii="Arial" w:cs="Arial" w:eastAsia="Arial" w:hAnsi="Arial"/>
          <w:sz w:val="17"/>
          <w:szCs w:val="17"/>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9"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firstLine="436"/>
        <w:spacing w:after="0" w:line="279"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Control by Securityholders</w:t>
      </w:r>
      <w:r>
        <w:rPr>
          <w:rFonts w:ascii="Arial" w:cs="Arial" w:eastAsia="Arial" w:hAnsi="Arial"/>
          <w:sz w:val="17"/>
          <w:szCs w:val="17"/>
          <w:color w:val="auto"/>
        </w:rPr>
        <w:t>. 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Undertaking to Pay Costs</w:t>
      </w:r>
      <w:r>
        <w:rPr>
          <w:rFonts w:ascii="Arial" w:cs="Arial" w:eastAsia="Arial" w:hAnsi="Arial"/>
          <w:sz w:val="17"/>
          <w:szCs w:val="17"/>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1" w:name="page72"/>
    <w:bookmarkEnd w:id="71"/>
    <w:p>
      <w:pPr>
        <w:ind w:right="160" w:firstLine="436"/>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right="500" w:firstLine="987"/>
        <w:spacing w:after="0" w:line="277" w:lineRule="auto"/>
        <w:tabs>
          <w:tab w:leader="none" w:pos="12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firstLine="1428"/>
        <w:spacing w:after="0" w:line="259" w:lineRule="auto"/>
        <w:tabs>
          <w:tab w:leader="none" w:pos="1727"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right="20" w:firstLine="1428"/>
        <w:spacing w:after="0" w:line="257" w:lineRule="auto"/>
        <w:tabs>
          <w:tab w:leader="none" w:pos="1717"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79" w:lineRule="exact"/>
        <w:rPr>
          <w:rFonts w:ascii="Arial" w:cs="Arial" w:eastAsia="Arial" w:hAnsi="Arial"/>
          <w:sz w:val="18"/>
          <w:szCs w:val="18"/>
          <w:color w:val="auto"/>
        </w:rPr>
      </w:pPr>
    </w:p>
    <w:p>
      <w:pPr>
        <w:ind w:right="300" w:firstLine="987"/>
        <w:spacing w:after="0" w:line="277" w:lineRule="auto"/>
        <w:tabs>
          <w:tab w:leader="none" w:pos="12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firstLine="987"/>
        <w:spacing w:after="0" w:line="259" w:lineRule="auto"/>
        <w:tabs>
          <w:tab w:leader="none" w:pos="12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right="100" w:firstLine="987"/>
        <w:spacing w:after="0" w:line="259" w:lineRule="auto"/>
        <w:tabs>
          <w:tab w:leader="none" w:pos="12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Except as otherwise provided in Section 7.01:</w:t>
      </w:r>
    </w:p>
    <w:p>
      <w:pPr>
        <w:spacing w:after="0" w:line="117" w:lineRule="exact"/>
        <w:rPr>
          <w:sz w:val="20"/>
          <w:szCs w:val="20"/>
          <w:color w:val="auto"/>
        </w:rPr>
      </w:pPr>
    </w:p>
    <w:p>
      <w:pPr>
        <w:ind w:right="20" w:firstLine="436"/>
        <w:spacing w:after="0" w:line="263"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5" w:lineRule="exact"/>
        <w:rPr>
          <w:rFonts w:ascii="Arial" w:cs="Arial" w:eastAsia="Arial" w:hAnsi="Arial"/>
          <w:sz w:val="18"/>
          <w:szCs w:val="18"/>
          <w:color w:val="auto"/>
        </w:rPr>
      </w:pPr>
    </w:p>
    <w:p>
      <w:pPr>
        <w:jc w:val="both"/>
        <w:ind w:right="560" w:firstLine="436"/>
        <w:spacing w:after="0" w:line="263"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5" w:lineRule="exact"/>
        <w:rPr>
          <w:rFonts w:ascii="Arial" w:cs="Arial" w:eastAsia="Arial" w:hAnsi="Arial"/>
          <w:sz w:val="18"/>
          <w:szCs w:val="18"/>
          <w:color w:val="auto"/>
        </w:rPr>
      </w:pPr>
    </w:p>
    <w:p>
      <w:pPr>
        <w:ind w:right="620" w:firstLine="436"/>
        <w:spacing w:after="0" w:line="34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ind w:right="40" w:firstLine="436"/>
        <w:spacing w:after="0" w:line="293"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72" w:name="page73"/>
    <w:bookmarkEnd w:id="72"/>
    <w:p>
      <w:pPr>
        <w:ind w:right="20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60" w:firstLine="436"/>
        <w:spacing w:after="0" w:line="291"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58" w:lineRule="exact"/>
        <w:rPr>
          <w:rFonts w:ascii="Arial" w:cs="Arial" w:eastAsia="Arial" w:hAnsi="Arial"/>
          <w:sz w:val="16"/>
          <w:szCs w:val="16"/>
          <w:color w:val="auto"/>
        </w:rPr>
      </w:pPr>
    </w:p>
    <w:p>
      <w:pPr>
        <w:ind w:right="280" w:firstLine="436"/>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5" w:lineRule="exact"/>
        <w:rPr>
          <w:rFonts w:ascii="Arial" w:cs="Arial" w:eastAsia="Arial" w:hAnsi="Arial"/>
          <w:sz w:val="18"/>
          <w:szCs w:val="18"/>
          <w:color w:val="auto"/>
        </w:rPr>
      </w:pPr>
    </w:p>
    <w:p>
      <w:pPr>
        <w:ind w:firstLine="436"/>
        <w:spacing w:after="0" w:line="275"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8"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75" w:lineRule="exact"/>
        <w:rPr>
          <w:rFonts w:ascii="Arial" w:cs="Arial" w:eastAsia="Arial" w:hAnsi="Arial"/>
          <w:sz w:val="18"/>
          <w:szCs w:val="18"/>
          <w:color w:val="auto"/>
        </w:rPr>
      </w:pPr>
    </w:p>
    <w:p>
      <w:pPr>
        <w:ind w:right="20" w:firstLine="436"/>
        <w:spacing w:after="0" w:line="269" w:lineRule="auto"/>
        <w:tabs>
          <w:tab w:leader="none" w:pos="78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8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The Trustee makes no representations as to the validity or sufficiency of this Indenture or of the Securities.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8"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60" w:lineRule="exact"/>
        <w:rPr>
          <w:rFonts w:ascii="Arial" w:cs="Arial" w:eastAsia="Arial" w:hAnsi="Arial"/>
          <w:sz w:val="16"/>
          <w:szCs w:val="16"/>
          <w:color w:val="auto"/>
        </w:rPr>
      </w:pPr>
    </w:p>
    <w:p>
      <w:pPr>
        <w:ind w:left="700" w:hanging="264"/>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obligations of the Company under this Section to compensate and indemnify the Trustee and to pay or reimburse the Trustee for</w:t>
      </w:r>
    </w:p>
    <w:p>
      <w:pPr>
        <w:spacing w:after="0" w:line="34"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81" w:lineRule="exact"/>
        <w:rPr>
          <w:rFonts w:ascii="Arial" w:cs="Arial" w:eastAsia="Arial" w:hAnsi="Arial"/>
          <w:sz w:val="17"/>
          <w:szCs w:val="17"/>
          <w:color w:val="auto"/>
        </w:rPr>
      </w:pPr>
    </w:p>
    <w:p>
      <w:pPr>
        <w:ind w:right="80" w:firstLine="436"/>
        <w:spacing w:after="0" w:line="296"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Reliance on Officer’s Certificate</w:t>
      </w:r>
      <w:r>
        <w:rPr>
          <w:rFonts w:ascii="Arial" w:cs="Arial" w:eastAsia="Arial" w:hAnsi="Arial"/>
          <w:sz w:val="17"/>
          <w:szCs w:val="17"/>
          <w:color w:val="auto"/>
        </w:rPr>
        <w:t>. 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Disqualification; Conflicting Interests</w:t>
      </w:r>
      <w:r>
        <w:rPr>
          <w:rFonts w:ascii="Arial" w:cs="Arial" w:eastAsia="Arial" w:hAnsi="Arial"/>
          <w:sz w:val="16"/>
          <w:szCs w:val="16"/>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4" w:name="page75"/>
    <w:bookmarkEnd w:id="7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9"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58" w:lineRule="exact"/>
        <w:rPr>
          <w:rFonts w:ascii="Arial" w:cs="Arial" w:eastAsia="Arial" w:hAnsi="Arial"/>
          <w:sz w:val="16"/>
          <w:szCs w:val="16"/>
          <w:color w:val="auto"/>
        </w:rPr>
      </w:pPr>
    </w:p>
    <w:p>
      <w:pPr>
        <w:ind w:left="700" w:hanging="264"/>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right="900" w:firstLine="987"/>
        <w:spacing w:after="0" w:line="277" w:lineRule="auto"/>
        <w:tabs>
          <w:tab w:leader="none" w:pos="12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right="420" w:firstLine="987"/>
        <w:spacing w:after="0" w:line="277" w:lineRule="auto"/>
        <w:tabs>
          <w:tab w:leader="none" w:pos="12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firstLine="987"/>
        <w:spacing w:after="0" w:line="271" w:lineRule="auto"/>
        <w:tabs>
          <w:tab w:leader="none" w:pos="1236"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0"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5" w:name="page76"/>
    <w:bookmarkEnd w:id="75"/>
    <w:p>
      <w:pPr>
        <w:ind w:right="220" w:firstLine="436"/>
        <w:spacing w:after="0" w:line="342"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5"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93"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ind w:firstLine="436"/>
        <w:spacing w:after="0" w:line="285"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63" w:lineRule="exact"/>
        <w:rPr>
          <w:rFonts w:ascii="Arial" w:cs="Arial" w:eastAsia="Arial" w:hAnsi="Arial"/>
          <w:sz w:val="16"/>
          <w:szCs w:val="16"/>
          <w:color w:val="auto"/>
        </w:rPr>
      </w:pPr>
    </w:p>
    <w:p>
      <w:pPr>
        <w:ind w:right="380" w:firstLine="436"/>
        <w:spacing w:after="0" w:line="342"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5"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6" w:name="page77"/>
    <w:bookmarkEnd w:id="7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Notice of Default</w:t>
      </w:r>
      <w:r>
        <w:rPr>
          <w:rFonts w:ascii="Arial" w:cs="Arial" w:eastAsia="Arial" w:hAnsi="Arial"/>
          <w:sz w:val="17"/>
          <w:szCs w:val="17"/>
          <w:color w:val="auto"/>
        </w:rPr>
        <w:t>. 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76" w:lineRule="exact"/>
        <w:rPr>
          <w:sz w:val="20"/>
          <w:szCs w:val="20"/>
          <w:color w:val="auto"/>
        </w:rPr>
      </w:pPr>
    </w:p>
    <w:p>
      <w:pPr>
        <w:jc w:val="center"/>
        <w:ind w:left="5420" w:right="220" w:hanging="4984"/>
        <w:spacing w:after="0" w:line="449" w:lineRule="auto"/>
        <w:tabs>
          <w:tab w:leader="none" w:pos="6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 24</w:t>
      </w:r>
    </w:p>
    <w:p>
      <w:pPr>
        <w:sectPr>
          <w:pgSz w:w="11900" w:h="16838" w:orient="portrait"/>
          <w:cols w:equalWidth="0" w:num="1">
            <w:col w:w="11000"/>
          </w:cols>
          <w:pgMar w:left="440" w:top="274" w:right="459" w:bottom="1440" w:gutter="0" w:footer="0" w:header="0"/>
        </w:sectPr>
      </w:pPr>
    </w:p>
    <w:bookmarkStart w:id="77" w:name="page78"/>
    <w:bookmarkEnd w:id="77"/>
    <w:p>
      <w:pPr>
        <w:ind w:right="300" w:firstLine="436"/>
        <w:spacing w:after="0" w:line="500"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Who May be Deemed Owners</w:t>
      </w:r>
      <w:r>
        <w:rPr>
          <w:rFonts w:ascii="Arial" w:cs="Arial" w:eastAsia="Arial" w:hAnsi="Arial"/>
          <w:sz w:val="17"/>
          <w:szCs w:val="17"/>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Certain Securities Owned by Company Disregarded</w:t>
      </w:r>
      <w:r>
        <w:rPr>
          <w:rFonts w:ascii="Arial" w:cs="Arial" w:eastAsia="Arial" w:hAnsi="Arial"/>
          <w:sz w:val="17"/>
          <w:szCs w:val="17"/>
          <w:color w:val="auto"/>
        </w:rPr>
        <w:t>. 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Actions Binding on Future Securityholders</w:t>
      </w:r>
      <w:r>
        <w:rPr>
          <w:rFonts w:ascii="Arial" w:cs="Arial" w:eastAsia="Arial" w:hAnsi="Arial"/>
          <w:sz w:val="16"/>
          <w:szCs w:val="16"/>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9" w:lineRule="exact"/>
        <w:rPr>
          <w:sz w:val="20"/>
          <w:szCs w:val="20"/>
          <w:color w:val="auto"/>
        </w:rPr>
      </w:pPr>
    </w:p>
    <w:p>
      <w:pPr>
        <w:ind w:left="700" w:hanging="26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117" w:lineRule="exact"/>
        <w:rPr>
          <w:rFonts w:ascii="Arial" w:cs="Arial" w:eastAsia="Arial" w:hAnsi="Arial"/>
          <w:sz w:val="18"/>
          <w:szCs w:val="18"/>
          <w:color w:val="auto"/>
        </w:rPr>
      </w:pPr>
    </w:p>
    <w:p>
      <w:pPr>
        <w:ind w:left="5420" w:right="3840" w:hanging="4984"/>
        <w:spacing w:after="0" w:line="449" w:lineRule="auto"/>
        <w:tabs>
          <w:tab w:leader="none" w:pos="69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25</w:t>
      </w:r>
    </w:p>
    <w:p>
      <w:pPr>
        <w:sectPr>
          <w:pgSz w:w="11900" w:h="16838" w:orient="portrait"/>
          <w:cols w:equalWidth="0" w:num="1">
            <w:col w:w="10980"/>
          </w:cols>
          <w:pgMar w:left="440" w:top="274" w:right="479" w:bottom="1440" w:gutter="0" w:footer="0" w:header="0"/>
        </w:sectPr>
      </w:pPr>
    </w:p>
    <w:bookmarkStart w:id="78" w:name="page79"/>
    <w:bookmarkEnd w:id="78"/>
    <w:p>
      <w:pPr>
        <w:ind w:right="40" w:firstLine="436"/>
        <w:spacing w:after="0" w:line="25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9" w:lineRule="exact"/>
        <w:rPr>
          <w:rFonts w:ascii="Arial" w:cs="Arial" w:eastAsia="Arial" w:hAnsi="Arial"/>
          <w:sz w:val="18"/>
          <w:szCs w:val="18"/>
          <w:color w:val="auto"/>
        </w:rPr>
      </w:pPr>
    </w:p>
    <w:p>
      <w:pPr>
        <w:ind w:right="940" w:firstLine="436"/>
        <w:spacing w:after="0" w:line="27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117"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Supplemental Indentures With Consent of Securityholders</w:t>
      </w:r>
      <w:r>
        <w:rPr>
          <w:rFonts w:ascii="Arial" w:cs="Arial" w:eastAsia="Arial" w:hAnsi="Arial"/>
          <w:sz w:val="17"/>
          <w:szCs w:val="17"/>
          <w:color w:val="auto"/>
        </w:rPr>
        <w:t>. 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79" w:name="page80"/>
    <w:bookmarkEnd w:id="7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7"/>
          <w:szCs w:val="17"/>
          <w:u w:val="single" w:color="auto"/>
          <w:color w:val="auto"/>
        </w:rPr>
        <w:t>Securities Affected by Supplemental Indentures</w:t>
      </w:r>
      <w:r>
        <w:rPr>
          <w:rFonts w:ascii="Arial" w:cs="Arial" w:eastAsia="Arial" w:hAnsi="Arial"/>
          <w:sz w:val="17"/>
          <w:szCs w:val="17"/>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 ENTITY</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Company May Consolidate, Etc</w:t>
      </w:r>
      <w:r>
        <w:rPr>
          <w:rFonts w:ascii="Arial" w:cs="Arial" w:eastAsia="Arial" w:hAnsi="Arial"/>
          <w:sz w:val="16"/>
          <w:szCs w:val="16"/>
          <w:color w:val="auto"/>
        </w:rPr>
        <w:t>.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7"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80" w:name="page81"/>
    <w:bookmarkEnd w:id="80"/>
    <w:p>
      <w:pPr>
        <w:ind w:right="280" w:firstLine="436"/>
        <w:spacing w:after="0" w:line="277"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Discharge of Obligations</w:t>
      </w:r>
      <w:r>
        <w:rPr>
          <w:rFonts w:ascii="Arial" w:cs="Arial" w:eastAsia="Arial" w:hAnsi="Arial"/>
          <w:sz w:val="16"/>
          <w:szCs w:val="16"/>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Thereafter, Sections 7.06 and 11.05 shall survive.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81" w:name="page82"/>
    <w:bookmarkEnd w:id="81"/>
    <w:p>
      <w:pPr>
        <w:ind w:right="4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11.04 </w:t>
      </w:r>
      <w:r>
        <w:rPr>
          <w:rFonts w:ascii="Arial" w:cs="Arial" w:eastAsia="Arial" w:hAnsi="Arial"/>
          <w:sz w:val="16"/>
          <w:szCs w:val="16"/>
          <w:u w:val="single" w:color="auto"/>
          <w:color w:val="auto"/>
        </w:rPr>
        <w:t>Payment of Moneys Held by Paying Agents</w:t>
      </w:r>
      <w:r>
        <w:rPr>
          <w:rFonts w:ascii="Arial" w:cs="Arial" w:eastAsia="Arial" w:hAnsi="Arial"/>
          <w:sz w:val="16"/>
          <w:szCs w:val="16"/>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No Recourse</w:t>
      </w:r>
      <w:r>
        <w:rPr>
          <w:rFonts w:ascii="Arial" w:cs="Arial" w:eastAsia="Arial" w:hAnsi="Arial"/>
          <w:sz w:val="16"/>
          <w:szCs w:val="16"/>
          <w:color w:val="auto"/>
        </w:rPr>
        <w:t>. 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 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82" w:name="page83"/>
    <w:bookmarkEnd w:id="82"/>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 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5"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84" w:lineRule="exact"/>
        <w:rPr>
          <w:rFonts w:ascii="Arial" w:cs="Arial" w:eastAsia="Arial" w:hAnsi="Arial"/>
          <w:sz w:val="18"/>
          <w:szCs w:val="18"/>
          <w:color w:val="auto"/>
        </w:rPr>
      </w:pPr>
    </w:p>
    <w:p>
      <w:pPr>
        <w:ind w:firstLine="436"/>
        <w:spacing w:after="0" w:line="273"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 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u w:val="single" w:color="auto"/>
          <w:color w:val="auto"/>
        </w:rPr>
        <w:t>Compliance Certificates</w:t>
      </w:r>
      <w:r>
        <w:rPr>
          <w:rFonts w:ascii="Arial" w:cs="Arial" w:eastAsia="Arial" w:hAnsi="Arial"/>
          <w:sz w:val="16"/>
          <w:szCs w:val="16"/>
          <w:color w:val="auto"/>
        </w:rPr>
        <w:t>. 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ectPr>
          <w:pgSz w:w="11900" w:h="16838" w:orient="portrait"/>
          <w:cols w:equalWidth="0" w:num="1">
            <w:col w:w="10040"/>
          </w:cols>
          <w:pgMar w:left="440" w:top="270" w:right="1419" w:bottom="1440" w:gutter="0" w:footer="0" w:header="0"/>
        </w:sect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40"/>
          </w:cols>
          <w:pgMar w:left="440" w:top="270" w:right="1419" w:bottom="1440" w:gutter="0" w:footer="0" w:header="0"/>
          <w:type w:val="continuous"/>
        </w:sectPr>
      </w:pPr>
    </w:p>
    <w:bookmarkStart w:id="84" w:name="page85"/>
    <w:bookmarkEnd w:id="84"/>
    <w:tbl>
      <w:tblPr>
        <w:tblLayout w:type="fixed"/>
        <w:tblInd w:w="4" w:type="dxa"/>
        <w:tblCellMar>
          <w:top w:w="0" w:type="dxa"/>
          <w:left w:w="0" w:type="dxa"/>
          <w:bottom w:w="0" w:type="dxa"/>
          <w:right w:w="0" w:type="dxa"/>
        </w:tblCellMar>
      </w:tblPr>
      <w:tr>
        <w:trPr>
          <w:trHeight w:val="360"/>
        </w:trPr>
        <w:tc>
          <w:tcPr>
            <w:tcW w:w="3180" w:type="dxa"/>
            <w:vAlign w:val="bottom"/>
          </w:tcPr>
          <w:p>
            <w:pPr>
              <w:spacing w:after="0"/>
              <w:rPr>
                <w:sz w:val="24"/>
                <w:szCs w:val="24"/>
                <w:color w:val="auto"/>
              </w:rPr>
            </w:pPr>
          </w:p>
        </w:tc>
        <w:tc>
          <w:tcPr>
            <w:tcW w:w="7560" w:type="dxa"/>
            <w:vAlign w:val="bottom"/>
            <w:gridSpan w:val="2"/>
          </w:tcPr>
          <w:p>
            <w:pPr>
              <w:jc w:val="right"/>
              <w:ind w:right="3915"/>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26"/>
                <w:szCs w:val="26"/>
                <w:b w:val="1"/>
                <w:bCs w:val="1"/>
                <w:color w:val="auto"/>
                <w:vertAlign w:val="superscript"/>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Section of Trust Indenture Act of 1939, as Amended</w:t>
            </w:r>
          </w:p>
        </w:tc>
        <w:tc>
          <w:tcPr>
            <w:tcW w:w="6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Section of</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180" w:type="dxa"/>
            <w:vAlign w:val="bottom"/>
            <w:tcBorders>
              <w:bottom w:val="single" w:sz="8" w:color="auto"/>
            </w:tcBorders>
            <w:vMerge w:val="continue"/>
          </w:tcPr>
          <w:p>
            <w:pPr>
              <w:spacing w:after="0"/>
              <w:rPr>
                <w:sz w:val="16"/>
                <w:szCs w:val="16"/>
                <w:color w:val="auto"/>
              </w:rPr>
            </w:pPr>
          </w:p>
        </w:tc>
        <w:tc>
          <w:tcPr>
            <w:tcW w:w="65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Indenture</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65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7.09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7.10 310(c)</w:t>
            </w:r>
          </w:p>
        </w:tc>
        <w:tc>
          <w:tcPr>
            <w:tcW w:w="6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6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6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6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6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ind w:left="424" w:right="380" w:hanging="424"/>
        <w:spacing w:after="0" w:line="207" w:lineRule="auto"/>
        <w:tabs>
          <w:tab w:leader="none" w:pos="424"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0" w:right="4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Dated as of </w:t>
      </w:r>
      <w:r>
        <w:rPr>
          <w:rFonts w:ascii="Arial" w:cs="Arial" w:eastAsia="Arial" w:hAnsi="Arial"/>
          <w:sz w:val="18"/>
          <w:szCs w:val="18"/>
          <w:color w:val="auto"/>
        </w:rPr>
        <w:t>[ ]</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86" w:name="page87"/>
    <w:bookmarkEnd w:id="8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Arial" w:cs="Arial" w:eastAsia="Arial" w:hAnsi="Arial"/>
          <w:sz w:val="26"/>
          <w:szCs w:val="26"/>
          <w:b w:val="1"/>
          <w:bCs w:val="1"/>
          <w:color w:val="auto"/>
          <w:vertAlign w:val="superscript"/>
        </w:rPr>
        <w:t>1</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3"/>
        </w:trPr>
        <w:tc>
          <w:tcPr>
            <w:tcW w:w="95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2.06</w:t>
            </w:r>
          </w:p>
        </w:tc>
        <w:tc>
          <w:tcPr>
            <w:tcW w:w="828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2.08</w:t>
            </w:r>
          </w:p>
        </w:tc>
        <w:tc>
          <w:tcPr>
            <w:tcW w:w="828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8280" w:type="dxa"/>
            <w:vAlign w:val="bottom"/>
          </w:tcPr>
          <w:p>
            <w:pPr>
              <w:ind w:left="60"/>
              <w:spacing w:after="0"/>
              <w:rPr>
                <w:sz w:val="20"/>
                <w:szCs w:val="20"/>
                <w:color w:val="auto"/>
              </w:rPr>
            </w:pPr>
            <w:r>
              <w:rPr>
                <w:rFonts w:ascii="Arial" w:cs="Arial" w:eastAsia="Arial" w:hAnsi="Arial"/>
                <w:sz w:val="18"/>
                <w:szCs w:val="18"/>
                <w:color w:val="auto"/>
              </w:rPr>
              <w:t>Authenticating Agent</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2.11</w:t>
            </w:r>
          </w:p>
        </w:tc>
        <w:tc>
          <w:tcPr>
            <w:tcW w:w="8280" w:type="dxa"/>
            <w:vAlign w:val="bottom"/>
          </w:tcPr>
          <w:p>
            <w:pPr>
              <w:ind w:left="60"/>
              <w:spacing w:after="0"/>
              <w:rPr>
                <w:sz w:val="20"/>
                <w:szCs w:val="20"/>
                <w:color w:val="auto"/>
              </w:rPr>
            </w:pPr>
            <w:r>
              <w:rPr>
                <w:rFonts w:ascii="Arial" w:cs="Arial" w:eastAsia="Arial" w:hAnsi="Arial"/>
                <w:sz w:val="18"/>
                <w:szCs w:val="18"/>
                <w:color w:val="auto"/>
              </w:rPr>
              <w:t>Global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8280" w:type="dxa"/>
            <w:vAlign w:val="bottom"/>
          </w:tcPr>
          <w:p>
            <w:pPr>
              <w:ind w:left="60"/>
              <w:spacing w:after="0"/>
              <w:rPr>
                <w:sz w:val="20"/>
                <w:szCs w:val="20"/>
                <w:color w:val="auto"/>
              </w:rPr>
            </w:pPr>
            <w:r>
              <w:rPr>
                <w:rFonts w:ascii="Arial" w:cs="Arial" w:eastAsia="Arial" w:hAnsi="Arial"/>
                <w:sz w:val="18"/>
                <w:szCs w:val="18"/>
                <w:color w:val="auto"/>
              </w:rPr>
              <w:t>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3.04</w:t>
            </w:r>
          </w:p>
        </w:tc>
        <w:tc>
          <w:tcPr>
            <w:tcW w:w="8280" w:type="dxa"/>
            <w:vAlign w:val="bottom"/>
          </w:tcPr>
          <w:p>
            <w:pPr>
              <w:ind w:left="60"/>
              <w:spacing w:after="0"/>
              <w:rPr>
                <w:sz w:val="20"/>
                <w:szCs w:val="20"/>
                <w:color w:val="auto"/>
              </w:rPr>
            </w:pPr>
            <w:r>
              <w:rPr>
                <w:rFonts w:ascii="Arial" w:cs="Arial" w:eastAsia="Arial" w:hAnsi="Arial"/>
                <w:sz w:val="18"/>
                <w:szCs w:val="18"/>
                <w:color w:val="auto"/>
              </w:rPr>
              <w:t>Sinking Fund</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4.03</w:t>
            </w:r>
          </w:p>
        </w:tc>
        <w:tc>
          <w:tcPr>
            <w:tcW w:w="8280" w:type="dxa"/>
            <w:vAlign w:val="bottom"/>
          </w:tcPr>
          <w:p>
            <w:pPr>
              <w:ind w:left="60"/>
              <w:spacing w:after="0"/>
              <w:rPr>
                <w:sz w:val="20"/>
                <w:szCs w:val="20"/>
                <w:color w:val="auto"/>
              </w:rPr>
            </w:pPr>
            <w:r>
              <w:rPr>
                <w:rFonts w:ascii="Arial" w:cs="Arial" w:eastAsia="Arial" w:hAnsi="Arial"/>
                <w:sz w:val="18"/>
                <w:szCs w:val="18"/>
                <w:color w:val="auto"/>
              </w:rPr>
              <w:t>Paying Agents</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6.03 Application of Moneys Collected</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6.04 Limitation on Suits</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6.06 Control by Securityholders</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6.07 Undertaking to Pay Costs</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58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7.01 Certain Duties and Responsibilities of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7.02 Certain Rights of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Section 7.04 May Hold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7.05</w:t>
            </w:r>
          </w:p>
        </w:tc>
        <w:tc>
          <w:tcPr>
            <w:tcW w:w="8280" w:type="dxa"/>
            <w:vAlign w:val="bottom"/>
          </w:tcPr>
          <w:p>
            <w:pPr>
              <w:ind w:left="60"/>
              <w:spacing w:after="0"/>
              <w:rPr>
                <w:sz w:val="20"/>
                <w:szCs w:val="20"/>
                <w:color w:val="auto"/>
              </w:rPr>
            </w:pPr>
            <w:r>
              <w:rPr>
                <w:rFonts w:ascii="Arial" w:cs="Arial" w:eastAsia="Arial" w:hAnsi="Arial"/>
                <w:sz w:val="18"/>
                <w:szCs w:val="18"/>
                <w:color w:val="auto"/>
              </w:rPr>
              <w:t>Moneys Held in Trust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740" w:hanging="424"/>
        <w:spacing w:after="0" w:line="207" w:lineRule="auto"/>
        <w:tabs>
          <w:tab w:leader="none" w:pos="424"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4"/>
          </w:cols>
          <w:pgMar w:left="436" w:top="270"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7660" w:type="dxa"/>
            <w:vAlign w:val="bottom"/>
          </w:tcPr>
          <w:p>
            <w:pPr>
              <w:jc w:val="center"/>
              <w:ind w:left="450"/>
              <w:spacing w:after="0"/>
              <w:rPr>
                <w:sz w:val="20"/>
                <w:szCs w:val="20"/>
                <w:color w:val="auto"/>
              </w:rPr>
            </w:pPr>
            <w:r>
              <w:rPr>
                <w:rFonts w:ascii="Arial" w:cs="Arial" w:eastAsia="Arial" w:hAnsi="Arial"/>
                <w:sz w:val="18"/>
                <w:szCs w:val="18"/>
                <w:b w:val="1"/>
                <w:bCs w:val="1"/>
                <w:color w:val="auto"/>
                <w:w w:val="98"/>
              </w:rPr>
              <w:t>TABLE OF CONTENTS</w:t>
            </w:r>
          </w:p>
        </w:tc>
        <w:tc>
          <w:tcPr>
            <w:tcW w:w="196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7660" w:type="dxa"/>
            <w:vAlign w:val="bottom"/>
          </w:tcPr>
          <w:p>
            <w:pPr>
              <w:jc w:val="center"/>
              <w:ind w:left="450"/>
              <w:spacing w:after="0"/>
              <w:rPr>
                <w:sz w:val="20"/>
                <w:szCs w:val="20"/>
                <w:color w:val="auto"/>
              </w:rPr>
            </w:pPr>
            <w:r>
              <w:rPr>
                <w:rFonts w:ascii="Arial" w:cs="Arial" w:eastAsia="Arial" w:hAnsi="Arial"/>
                <w:sz w:val="18"/>
                <w:szCs w:val="18"/>
                <w:color w:val="auto"/>
                <w:w w:val="93"/>
              </w:rPr>
              <w:t>(continued)</w:t>
            </w:r>
          </w:p>
        </w:tc>
        <w:tc>
          <w:tcPr>
            <w:tcW w:w="1960" w:type="dxa"/>
            <w:vAlign w:val="bottom"/>
          </w:tcPr>
          <w:p>
            <w:pPr>
              <w:spacing w:after="0"/>
              <w:rPr>
                <w:sz w:val="20"/>
                <w:szCs w:val="20"/>
                <w:color w:val="auto"/>
              </w:rPr>
            </w:pPr>
          </w:p>
        </w:tc>
      </w:tr>
      <w:tr>
        <w:trPr>
          <w:trHeight w:val="379"/>
        </w:trPr>
        <w:tc>
          <w:tcPr>
            <w:tcW w:w="14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960" w:type="dxa"/>
            <w:vAlign w:val="bottom"/>
          </w:tcPr>
          <w:p>
            <w:pPr>
              <w:jc w:val="center"/>
              <w:ind w:left="1570"/>
              <w:spacing w:after="0"/>
              <w:rPr>
                <w:sz w:val="20"/>
                <w:szCs w:val="20"/>
                <w:color w:val="auto"/>
              </w:rPr>
            </w:pPr>
            <w:r>
              <w:rPr>
                <w:rFonts w:ascii="Arial" w:cs="Arial" w:eastAsia="Arial" w:hAnsi="Arial"/>
                <w:sz w:val="14"/>
                <w:szCs w:val="14"/>
                <w:b w:val="1"/>
                <w:bCs w:val="1"/>
                <w:color w:val="auto"/>
                <w:w w:val="89"/>
              </w:rPr>
              <w:t>Page</w:t>
            </w:r>
          </w:p>
        </w:tc>
      </w:tr>
      <w:tr>
        <w:trPr>
          <w:trHeight w:val="308"/>
        </w:trPr>
        <w:tc>
          <w:tcPr>
            <w:tcW w:w="14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660" w:type="dxa"/>
            <w:vAlign w:val="bottom"/>
          </w:tcPr>
          <w:p>
            <w:pPr>
              <w:ind w:left="40"/>
              <w:spacing w:after="0"/>
              <w:rPr>
                <w:sz w:val="20"/>
                <w:szCs w:val="20"/>
                <w:color w:val="auto"/>
              </w:rPr>
            </w:pPr>
            <w:r>
              <w:rPr>
                <w:rFonts w:ascii="Arial" w:cs="Arial" w:eastAsia="Arial" w:hAnsi="Arial"/>
                <w:sz w:val="18"/>
                <w:szCs w:val="18"/>
                <w:color w:val="auto"/>
              </w:rPr>
              <w:t>Compensation and Reimbursement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660" w:type="dxa"/>
            <w:vAlign w:val="bottom"/>
          </w:tcPr>
          <w:p>
            <w:pPr>
              <w:ind w:left="40"/>
              <w:spacing w:after="0"/>
              <w:rPr>
                <w:sz w:val="20"/>
                <w:szCs w:val="20"/>
                <w:color w:val="auto"/>
              </w:rPr>
            </w:pPr>
            <w:r>
              <w:rPr>
                <w:rFonts w:ascii="Arial" w:cs="Arial" w:eastAsia="Arial" w:hAnsi="Arial"/>
                <w:sz w:val="18"/>
                <w:szCs w:val="18"/>
                <w:color w:val="auto"/>
              </w:rPr>
              <w:t>Reliance on Officer’s Certificate</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660" w:type="dxa"/>
            <w:vAlign w:val="bottom"/>
          </w:tcPr>
          <w:p>
            <w:pPr>
              <w:ind w:left="40"/>
              <w:spacing w:after="0"/>
              <w:rPr>
                <w:sz w:val="20"/>
                <w:szCs w:val="20"/>
                <w:color w:val="auto"/>
              </w:rPr>
            </w:pPr>
            <w:r>
              <w:rPr>
                <w:rFonts w:ascii="Arial" w:cs="Arial" w:eastAsia="Arial" w:hAnsi="Arial"/>
                <w:sz w:val="18"/>
                <w:szCs w:val="18"/>
                <w:color w:val="auto"/>
              </w:rPr>
              <w:t>Disqualification; Conflicting Interests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66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660" w:type="dxa"/>
            <w:vAlign w:val="bottom"/>
          </w:tcPr>
          <w:p>
            <w:pPr>
              <w:ind w:left="40"/>
              <w:spacing w:after="0"/>
              <w:rPr>
                <w:sz w:val="20"/>
                <w:szCs w:val="20"/>
                <w:color w:val="auto"/>
              </w:rPr>
            </w:pPr>
            <w:r>
              <w:rPr>
                <w:rFonts w:ascii="Arial" w:cs="Arial" w:eastAsia="Arial" w:hAnsi="Arial"/>
                <w:sz w:val="18"/>
                <w:szCs w:val="18"/>
                <w:color w:val="auto"/>
              </w:rPr>
              <w:t>Resignation and Removal; Appointment of Successor</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66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660" w:type="dxa"/>
            <w:vAlign w:val="bottom"/>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66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the Company</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660" w:type="dxa"/>
            <w:vAlign w:val="bottom"/>
          </w:tcPr>
          <w:p>
            <w:pPr>
              <w:ind w:left="40"/>
              <w:spacing w:after="0"/>
              <w:rPr>
                <w:sz w:val="20"/>
                <w:szCs w:val="20"/>
                <w:color w:val="auto"/>
              </w:rPr>
            </w:pPr>
            <w:r>
              <w:rPr>
                <w:rFonts w:ascii="Arial" w:cs="Arial" w:eastAsia="Arial" w:hAnsi="Arial"/>
                <w:sz w:val="18"/>
                <w:szCs w:val="18"/>
                <w:color w:val="auto"/>
              </w:rPr>
              <w:t>Notice of Default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8 CONCERNING THE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660" w:type="dxa"/>
            <w:vAlign w:val="bottom"/>
          </w:tcPr>
          <w:p>
            <w:pPr>
              <w:ind w:left="40"/>
              <w:spacing w:after="0"/>
              <w:rPr>
                <w:sz w:val="20"/>
                <w:szCs w:val="20"/>
                <w:color w:val="auto"/>
              </w:rPr>
            </w:pPr>
            <w:r>
              <w:rPr>
                <w:rFonts w:ascii="Arial" w:cs="Arial" w:eastAsia="Arial" w:hAnsi="Arial"/>
                <w:sz w:val="18"/>
                <w:szCs w:val="18"/>
                <w:color w:val="auto"/>
              </w:rPr>
              <w:t>Evidence of Action by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660" w:type="dxa"/>
            <w:vAlign w:val="bottom"/>
          </w:tcPr>
          <w:p>
            <w:pPr>
              <w:ind w:left="40"/>
              <w:spacing w:after="0"/>
              <w:rPr>
                <w:sz w:val="20"/>
                <w:szCs w:val="20"/>
                <w:color w:val="auto"/>
              </w:rPr>
            </w:pPr>
            <w:r>
              <w:rPr>
                <w:rFonts w:ascii="Arial" w:cs="Arial" w:eastAsia="Arial" w:hAnsi="Arial"/>
                <w:sz w:val="18"/>
                <w:szCs w:val="18"/>
                <w:color w:val="auto"/>
              </w:rPr>
              <w:t>Proof of Execution by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660" w:type="dxa"/>
            <w:vAlign w:val="bottom"/>
          </w:tcPr>
          <w:p>
            <w:pPr>
              <w:ind w:left="40"/>
              <w:spacing w:after="0"/>
              <w:rPr>
                <w:sz w:val="20"/>
                <w:szCs w:val="20"/>
                <w:color w:val="auto"/>
              </w:rPr>
            </w:pPr>
            <w:r>
              <w:rPr>
                <w:rFonts w:ascii="Arial" w:cs="Arial" w:eastAsia="Arial" w:hAnsi="Arial"/>
                <w:sz w:val="18"/>
                <w:szCs w:val="18"/>
                <w:color w:val="auto"/>
              </w:rPr>
              <w:t>Who May be Deemed Owners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660" w:type="dxa"/>
            <w:vAlign w:val="bottom"/>
          </w:tcPr>
          <w:p>
            <w:pPr>
              <w:ind w:left="40"/>
              <w:spacing w:after="0"/>
              <w:rPr>
                <w:sz w:val="20"/>
                <w:szCs w:val="20"/>
                <w:color w:val="auto"/>
              </w:rPr>
            </w:pPr>
            <w:r>
              <w:rPr>
                <w:rFonts w:ascii="Arial" w:cs="Arial" w:eastAsia="Arial" w:hAnsi="Arial"/>
                <w:sz w:val="18"/>
                <w:szCs w:val="18"/>
                <w:color w:val="auto"/>
              </w:rPr>
              <w:t>Certain Securities Owned by Company Disregarded</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26</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660" w:type="dxa"/>
            <w:vAlign w:val="bottom"/>
          </w:tcPr>
          <w:p>
            <w:pPr>
              <w:ind w:left="40"/>
              <w:spacing w:after="0"/>
              <w:rPr>
                <w:sz w:val="20"/>
                <w:szCs w:val="20"/>
                <w:color w:val="auto"/>
              </w:rPr>
            </w:pPr>
            <w:r>
              <w:rPr>
                <w:rFonts w:ascii="Arial" w:cs="Arial" w:eastAsia="Arial" w:hAnsi="Arial"/>
                <w:sz w:val="18"/>
                <w:szCs w:val="18"/>
                <w:color w:val="auto"/>
              </w:rPr>
              <w:t>Actions Binding on Future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26</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26</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660" w:type="dxa"/>
            <w:vAlign w:val="bottom"/>
          </w:tcPr>
          <w:p>
            <w:pPr>
              <w:ind w:left="40"/>
              <w:spacing w:after="0"/>
              <w:rPr>
                <w:sz w:val="20"/>
                <w:szCs w:val="20"/>
                <w:color w:val="auto"/>
              </w:rPr>
            </w:pPr>
            <w:r>
              <w:rPr>
                <w:rFonts w:ascii="Arial" w:cs="Arial" w:eastAsia="Arial" w:hAnsi="Arial"/>
                <w:sz w:val="18"/>
                <w:szCs w:val="18"/>
                <w:color w:val="auto"/>
              </w:rPr>
              <w:t>Supplemental Indentures Without the Consent of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660" w:type="dxa"/>
            <w:vAlign w:val="bottom"/>
          </w:tcPr>
          <w:p>
            <w:pPr>
              <w:ind w:left="40"/>
              <w:spacing w:after="0"/>
              <w:rPr>
                <w:sz w:val="20"/>
                <w:szCs w:val="20"/>
                <w:color w:val="auto"/>
              </w:rPr>
            </w:pPr>
            <w:r>
              <w:rPr>
                <w:rFonts w:ascii="Arial" w:cs="Arial" w:eastAsia="Arial" w:hAnsi="Arial"/>
                <w:sz w:val="18"/>
                <w:szCs w:val="18"/>
                <w:color w:val="auto"/>
              </w:rPr>
              <w:t>Supplemental Indentures With Consent of Securityholders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660" w:type="dxa"/>
            <w:vAlign w:val="bottom"/>
          </w:tcPr>
          <w:p>
            <w:pPr>
              <w:ind w:left="40"/>
              <w:spacing w:after="0"/>
              <w:rPr>
                <w:sz w:val="20"/>
                <w:szCs w:val="20"/>
                <w:color w:val="auto"/>
              </w:rPr>
            </w:pPr>
            <w:r>
              <w:rPr>
                <w:rFonts w:ascii="Arial" w:cs="Arial" w:eastAsia="Arial" w:hAnsi="Arial"/>
                <w:sz w:val="18"/>
                <w:szCs w:val="18"/>
                <w:color w:val="auto"/>
              </w:rPr>
              <w:t>Effect of Supplemental Indentures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660" w:type="dxa"/>
            <w:vAlign w:val="bottom"/>
          </w:tcPr>
          <w:p>
            <w:pPr>
              <w:ind w:left="40"/>
              <w:spacing w:after="0"/>
              <w:rPr>
                <w:sz w:val="20"/>
                <w:szCs w:val="20"/>
                <w:color w:val="auto"/>
              </w:rPr>
            </w:pPr>
            <w:r>
              <w:rPr>
                <w:rFonts w:ascii="Arial" w:cs="Arial" w:eastAsia="Arial" w:hAnsi="Arial"/>
                <w:sz w:val="18"/>
                <w:szCs w:val="18"/>
                <w:color w:val="auto"/>
              </w:rPr>
              <w:t>Securities Affected by Supplemental Indentures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660" w:type="dxa"/>
            <w:vAlign w:val="bottom"/>
          </w:tcPr>
          <w:p>
            <w:pPr>
              <w:ind w:left="40"/>
              <w:spacing w:after="0"/>
              <w:rPr>
                <w:sz w:val="20"/>
                <w:szCs w:val="20"/>
                <w:color w:val="auto"/>
              </w:rPr>
            </w:pPr>
            <w:r>
              <w:rPr>
                <w:rFonts w:ascii="Arial" w:cs="Arial" w:eastAsia="Arial" w:hAnsi="Arial"/>
                <w:sz w:val="18"/>
                <w:szCs w:val="18"/>
                <w:color w:val="auto"/>
              </w:rPr>
              <w:t>Execution of Supplemental Indentures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28</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10 SUCCESSOR ENTITY</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7660" w:type="dxa"/>
            <w:vAlign w:val="bottom"/>
          </w:tcPr>
          <w:p>
            <w:pPr>
              <w:ind w:left="40"/>
              <w:spacing w:after="0"/>
              <w:rPr>
                <w:sz w:val="20"/>
                <w:szCs w:val="20"/>
                <w:color w:val="auto"/>
              </w:rPr>
            </w:pPr>
            <w:r>
              <w:rPr>
                <w:rFonts w:ascii="Arial" w:cs="Arial" w:eastAsia="Arial" w:hAnsi="Arial"/>
                <w:sz w:val="18"/>
                <w:szCs w:val="18"/>
                <w:color w:val="auto"/>
              </w:rPr>
              <w:t>Company May Consolidate, Etc.</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7660" w:type="dxa"/>
            <w:vAlign w:val="bottom"/>
          </w:tcPr>
          <w:p>
            <w:pPr>
              <w:ind w:left="40"/>
              <w:spacing w:after="0"/>
              <w:rPr>
                <w:sz w:val="20"/>
                <w:szCs w:val="20"/>
                <w:color w:val="auto"/>
              </w:rPr>
            </w:pPr>
            <w:r>
              <w:rPr>
                <w:rFonts w:ascii="Arial" w:cs="Arial" w:eastAsia="Arial" w:hAnsi="Arial"/>
                <w:sz w:val="18"/>
                <w:szCs w:val="18"/>
                <w:color w:val="auto"/>
              </w:rPr>
              <w:t>Successor Entity Substituted</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29</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29</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7660" w:type="dxa"/>
            <w:vAlign w:val="bottom"/>
          </w:tcPr>
          <w:p>
            <w:pPr>
              <w:ind w:left="40"/>
              <w:spacing w:after="0"/>
              <w:rPr>
                <w:sz w:val="20"/>
                <w:szCs w:val="20"/>
                <w:color w:val="auto"/>
              </w:rPr>
            </w:pPr>
            <w:r>
              <w:rPr>
                <w:rFonts w:ascii="Arial" w:cs="Arial" w:eastAsia="Arial" w:hAnsi="Arial"/>
                <w:sz w:val="18"/>
                <w:szCs w:val="18"/>
                <w:color w:val="auto"/>
              </w:rPr>
              <w:t>Satisfaction and Discharge of Indenture</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11.02</w:t>
            </w:r>
          </w:p>
        </w:tc>
        <w:tc>
          <w:tcPr>
            <w:tcW w:w="7660" w:type="dxa"/>
            <w:vAlign w:val="bottom"/>
          </w:tcPr>
          <w:p>
            <w:pPr>
              <w:ind w:left="40"/>
              <w:spacing w:after="0"/>
              <w:rPr>
                <w:sz w:val="20"/>
                <w:szCs w:val="20"/>
                <w:color w:val="auto"/>
              </w:rPr>
            </w:pPr>
            <w:r>
              <w:rPr>
                <w:rFonts w:ascii="Arial" w:cs="Arial" w:eastAsia="Arial" w:hAnsi="Arial"/>
                <w:sz w:val="18"/>
                <w:szCs w:val="18"/>
                <w:color w:val="auto"/>
              </w:rPr>
              <w:t>Discharge of Obligations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11.03</w:t>
            </w:r>
          </w:p>
        </w:tc>
        <w:tc>
          <w:tcPr>
            <w:tcW w:w="7660" w:type="dxa"/>
            <w:vAlign w:val="bottom"/>
          </w:tcPr>
          <w:p>
            <w:pPr>
              <w:ind w:left="40"/>
              <w:spacing w:after="0"/>
              <w:rPr>
                <w:sz w:val="20"/>
                <w:szCs w:val="20"/>
                <w:color w:val="auto"/>
              </w:rPr>
            </w:pPr>
            <w:r>
              <w:rPr>
                <w:rFonts w:ascii="Arial" w:cs="Arial" w:eastAsia="Arial" w:hAnsi="Arial"/>
                <w:sz w:val="18"/>
                <w:szCs w:val="18"/>
                <w:color w:val="auto"/>
              </w:rPr>
              <w:t>Deposited Moneys to be Held in Trust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11.04</w:t>
            </w:r>
          </w:p>
        </w:tc>
        <w:tc>
          <w:tcPr>
            <w:tcW w:w="7660" w:type="dxa"/>
            <w:vAlign w:val="bottom"/>
          </w:tcPr>
          <w:p>
            <w:pPr>
              <w:ind w:left="40"/>
              <w:spacing w:after="0"/>
              <w:rPr>
                <w:sz w:val="20"/>
                <w:szCs w:val="20"/>
                <w:color w:val="auto"/>
              </w:rPr>
            </w:pPr>
            <w:r>
              <w:rPr>
                <w:rFonts w:ascii="Arial" w:cs="Arial" w:eastAsia="Arial" w:hAnsi="Arial"/>
                <w:sz w:val="18"/>
                <w:szCs w:val="18"/>
                <w:color w:val="auto"/>
              </w:rPr>
              <w:t>Payment of Moneys Held by Paying Agents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11.05</w:t>
            </w:r>
          </w:p>
        </w:tc>
        <w:tc>
          <w:tcPr>
            <w:tcW w:w="766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7660" w:type="dxa"/>
            <w:vAlign w:val="bottom"/>
          </w:tcPr>
          <w:p>
            <w:pPr>
              <w:ind w:left="40"/>
              <w:spacing w:after="0"/>
              <w:rPr>
                <w:sz w:val="20"/>
                <w:szCs w:val="20"/>
                <w:color w:val="auto"/>
              </w:rPr>
            </w:pPr>
            <w:r>
              <w:rPr>
                <w:rFonts w:ascii="Arial" w:cs="Arial" w:eastAsia="Arial" w:hAnsi="Arial"/>
                <w:sz w:val="18"/>
                <w:szCs w:val="18"/>
                <w:color w:val="auto"/>
              </w:rPr>
              <w:t>No Recourse</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30</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13.01</w:t>
            </w:r>
          </w:p>
        </w:tc>
        <w:tc>
          <w:tcPr>
            <w:tcW w:w="7660" w:type="dxa"/>
            <w:vAlign w:val="bottom"/>
          </w:tcPr>
          <w:p>
            <w:pPr>
              <w:ind w:left="40"/>
              <w:spacing w:after="0"/>
              <w:rPr>
                <w:sz w:val="20"/>
                <w:szCs w:val="20"/>
                <w:color w:val="auto"/>
              </w:rPr>
            </w:pPr>
            <w:r>
              <w:rPr>
                <w:rFonts w:ascii="Arial" w:cs="Arial" w:eastAsia="Arial" w:hAnsi="Arial"/>
                <w:sz w:val="18"/>
                <w:szCs w:val="18"/>
                <w:color w:val="auto"/>
              </w:rPr>
              <w:t>Effect on Successors and Assigns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13.02</w:t>
            </w:r>
          </w:p>
        </w:tc>
        <w:tc>
          <w:tcPr>
            <w:tcW w:w="7660" w:type="dxa"/>
            <w:vAlign w:val="bottom"/>
          </w:tcPr>
          <w:p>
            <w:pPr>
              <w:ind w:left="40"/>
              <w:spacing w:after="0"/>
              <w:rPr>
                <w:sz w:val="20"/>
                <w:szCs w:val="20"/>
                <w:color w:val="auto"/>
              </w:rPr>
            </w:pPr>
            <w:r>
              <w:rPr>
                <w:rFonts w:ascii="Arial" w:cs="Arial" w:eastAsia="Arial" w:hAnsi="Arial"/>
                <w:sz w:val="18"/>
                <w:szCs w:val="18"/>
                <w:color w:val="auto"/>
              </w:rPr>
              <w:t>Actions by Successor</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13.03</w:t>
            </w:r>
          </w:p>
        </w:tc>
        <w:tc>
          <w:tcPr>
            <w:tcW w:w="7660" w:type="dxa"/>
            <w:vAlign w:val="bottom"/>
          </w:tcPr>
          <w:p>
            <w:pPr>
              <w:ind w:left="40"/>
              <w:spacing w:after="0"/>
              <w:rPr>
                <w:sz w:val="20"/>
                <w:szCs w:val="20"/>
                <w:color w:val="auto"/>
              </w:rPr>
            </w:pPr>
            <w:r>
              <w:rPr>
                <w:rFonts w:ascii="Arial" w:cs="Arial" w:eastAsia="Arial" w:hAnsi="Arial"/>
                <w:sz w:val="18"/>
                <w:szCs w:val="18"/>
                <w:color w:val="auto"/>
              </w:rPr>
              <w:t>Surrender of Company Powers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13.04</w:t>
            </w:r>
          </w:p>
        </w:tc>
        <w:tc>
          <w:tcPr>
            <w:tcW w:w="7660" w:type="dxa"/>
            <w:vAlign w:val="bottom"/>
          </w:tcPr>
          <w:p>
            <w:pPr>
              <w:ind w:left="40"/>
              <w:spacing w:after="0"/>
              <w:rPr>
                <w:sz w:val="20"/>
                <w:szCs w:val="20"/>
                <w:color w:val="auto"/>
              </w:rPr>
            </w:pPr>
            <w:r>
              <w:rPr>
                <w:rFonts w:ascii="Arial" w:cs="Arial" w:eastAsia="Arial" w:hAnsi="Arial"/>
                <w:sz w:val="18"/>
                <w:szCs w:val="18"/>
                <w:color w:val="auto"/>
              </w:rPr>
              <w:t>Notices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13.05</w:t>
            </w:r>
          </w:p>
        </w:tc>
        <w:tc>
          <w:tcPr>
            <w:tcW w:w="76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13.06</w:t>
            </w:r>
          </w:p>
        </w:tc>
        <w:tc>
          <w:tcPr>
            <w:tcW w:w="7660" w:type="dxa"/>
            <w:vAlign w:val="bottom"/>
          </w:tcPr>
          <w:p>
            <w:pPr>
              <w:ind w:left="40"/>
              <w:spacing w:after="0"/>
              <w:rPr>
                <w:sz w:val="20"/>
                <w:szCs w:val="20"/>
                <w:color w:val="auto"/>
              </w:rPr>
            </w:pPr>
            <w:r>
              <w:rPr>
                <w:rFonts w:ascii="Arial" w:cs="Arial" w:eastAsia="Arial" w:hAnsi="Arial"/>
                <w:sz w:val="18"/>
                <w:szCs w:val="18"/>
                <w:color w:val="auto"/>
              </w:rPr>
              <w:t>Treatment of Securities as Debt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13.07</w:t>
            </w:r>
          </w:p>
        </w:tc>
        <w:tc>
          <w:tcPr>
            <w:tcW w:w="7660" w:type="dxa"/>
            <w:vAlign w:val="bottom"/>
          </w:tcPr>
          <w:p>
            <w:pPr>
              <w:ind w:left="40"/>
              <w:spacing w:after="0"/>
              <w:rPr>
                <w:sz w:val="20"/>
                <w:szCs w:val="20"/>
                <w:color w:val="auto"/>
              </w:rPr>
            </w:pPr>
            <w:r>
              <w:rPr>
                <w:rFonts w:ascii="Arial" w:cs="Arial" w:eastAsia="Arial" w:hAnsi="Arial"/>
                <w:sz w:val="18"/>
                <w:szCs w:val="18"/>
                <w:color w:val="auto"/>
              </w:rPr>
              <w:t>Certificates and Opinions as to Conditions Precedent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13.08</w:t>
            </w:r>
          </w:p>
        </w:tc>
        <w:tc>
          <w:tcPr>
            <w:tcW w:w="7660" w:type="dxa"/>
            <w:vAlign w:val="bottom"/>
          </w:tcPr>
          <w:p>
            <w:pPr>
              <w:ind w:left="40"/>
              <w:spacing w:after="0"/>
              <w:rPr>
                <w:sz w:val="20"/>
                <w:szCs w:val="20"/>
                <w:color w:val="auto"/>
              </w:rPr>
            </w:pPr>
            <w:r>
              <w:rPr>
                <w:rFonts w:ascii="Arial" w:cs="Arial" w:eastAsia="Arial" w:hAnsi="Arial"/>
                <w:sz w:val="18"/>
                <w:szCs w:val="18"/>
                <w:color w:val="auto"/>
              </w:rPr>
              <w:t>Payments on Business Days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13.09</w:t>
            </w:r>
          </w:p>
        </w:tc>
        <w:tc>
          <w:tcPr>
            <w:tcW w:w="7660" w:type="dxa"/>
            <w:vAlign w:val="bottom"/>
          </w:tcPr>
          <w:p>
            <w:pPr>
              <w:ind w:left="40"/>
              <w:spacing w:after="0"/>
              <w:rPr>
                <w:sz w:val="20"/>
                <w:szCs w:val="20"/>
                <w:color w:val="auto"/>
              </w:rPr>
            </w:pPr>
            <w:r>
              <w:rPr>
                <w:rFonts w:ascii="Arial" w:cs="Arial" w:eastAsia="Arial" w:hAnsi="Arial"/>
                <w:sz w:val="18"/>
                <w:szCs w:val="18"/>
                <w:color w:val="auto"/>
              </w:rPr>
              <w:t>Conflict with Trust Indenture Act</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13.10</w:t>
            </w:r>
          </w:p>
        </w:tc>
        <w:tc>
          <w:tcPr>
            <w:tcW w:w="76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13.11</w:t>
            </w:r>
          </w:p>
        </w:tc>
        <w:tc>
          <w:tcPr>
            <w:tcW w:w="7660" w:type="dxa"/>
            <w:vAlign w:val="bottom"/>
          </w:tcPr>
          <w:p>
            <w:pPr>
              <w:ind w:left="40"/>
              <w:spacing w:after="0"/>
              <w:rPr>
                <w:sz w:val="20"/>
                <w:szCs w:val="20"/>
                <w:color w:val="auto"/>
              </w:rPr>
            </w:pPr>
            <w:r>
              <w:rPr>
                <w:rFonts w:ascii="Arial" w:cs="Arial" w:eastAsia="Arial" w:hAnsi="Arial"/>
                <w:sz w:val="18"/>
                <w:szCs w:val="18"/>
                <w:color w:val="auto"/>
              </w:rPr>
              <w:t>Separability</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13.12</w:t>
            </w:r>
          </w:p>
        </w:tc>
        <w:tc>
          <w:tcPr>
            <w:tcW w:w="7660" w:type="dxa"/>
            <w:vAlign w:val="bottom"/>
          </w:tcPr>
          <w:p>
            <w:pPr>
              <w:ind w:left="40"/>
              <w:spacing w:after="0"/>
              <w:rPr>
                <w:sz w:val="20"/>
                <w:szCs w:val="20"/>
                <w:color w:val="auto"/>
              </w:rPr>
            </w:pPr>
            <w:r>
              <w:rPr>
                <w:rFonts w:ascii="Arial" w:cs="Arial" w:eastAsia="Arial" w:hAnsi="Arial"/>
                <w:sz w:val="18"/>
                <w:szCs w:val="18"/>
                <w:color w:val="auto"/>
              </w:rPr>
              <w:t>Compliance Certificates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14 SUBORDINATION OF SECURITIES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14.01</w:t>
            </w:r>
          </w:p>
        </w:tc>
        <w:tc>
          <w:tcPr>
            <w:tcW w:w="7660" w:type="dxa"/>
            <w:vAlign w:val="bottom"/>
          </w:tcPr>
          <w:p>
            <w:pPr>
              <w:ind w:left="40"/>
              <w:spacing w:after="0"/>
              <w:rPr>
                <w:sz w:val="20"/>
                <w:szCs w:val="20"/>
                <w:color w:val="auto"/>
              </w:rPr>
            </w:pPr>
            <w:r>
              <w:rPr>
                <w:rFonts w:ascii="Arial" w:cs="Arial" w:eastAsia="Arial" w:hAnsi="Arial"/>
                <w:sz w:val="18"/>
                <w:szCs w:val="18"/>
                <w:color w:val="auto"/>
              </w:rPr>
              <w:t>Subordination Terms</w:t>
            </w:r>
          </w:p>
        </w:tc>
        <w:tc>
          <w:tcPr>
            <w:tcW w:w="1960" w:type="dxa"/>
            <w:vAlign w:val="bottom"/>
          </w:tcPr>
          <w:p>
            <w:pPr>
              <w:jc w:val="center"/>
              <w:ind w:left="1570"/>
              <w:spacing w:after="0"/>
              <w:rPr>
                <w:sz w:val="20"/>
                <w:szCs w:val="20"/>
                <w:color w:val="auto"/>
              </w:rPr>
            </w:pPr>
            <w:r>
              <w:rPr>
                <w:rFonts w:ascii="Arial" w:cs="Arial" w:eastAsia="Arial" w:hAnsi="Arial"/>
                <w:sz w:val="18"/>
                <w:szCs w:val="18"/>
                <w:color w:val="auto"/>
                <w:w w:val="89"/>
              </w:rPr>
              <w:t>32</w:t>
            </w:r>
          </w:p>
        </w:tc>
      </w:tr>
      <w:tr>
        <w:trPr>
          <w:trHeight w:val="364"/>
        </w:trPr>
        <w:tc>
          <w:tcPr>
            <w:tcW w:w="1400" w:type="dxa"/>
            <w:vAlign w:val="bottom"/>
          </w:tcPr>
          <w:p>
            <w:pPr>
              <w:spacing w:after="0"/>
              <w:rPr>
                <w:sz w:val="24"/>
                <w:szCs w:val="24"/>
                <w:color w:val="auto"/>
              </w:rPr>
            </w:pPr>
          </w:p>
        </w:tc>
        <w:tc>
          <w:tcPr>
            <w:tcW w:w="7660" w:type="dxa"/>
            <w:vAlign w:val="bottom"/>
          </w:tcPr>
          <w:p>
            <w:pPr>
              <w:jc w:val="center"/>
              <w:ind w:left="470"/>
              <w:spacing w:after="0"/>
              <w:rPr>
                <w:sz w:val="20"/>
                <w:szCs w:val="20"/>
                <w:color w:val="auto"/>
              </w:rPr>
            </w:pPr>
            <w:r>
              <w:rPr>
                <w:rFonts w:ascii="Arial" w:cs="Arial" w:eastAsia="Arial" w:hAnsi="Arial"/>
                <w:sz w:val="18"/>
                <w:szCs w:val="18"/>
                <w:color w:val="auto"/>
              </w:rPr>
              <w:t>-ii-</w:t>
            </w:r>
          </w:p>
        </w:tc>
        <w:tc>
          <w:tcPr>
            <w:tcW w:w="1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dated as of [ ], among</w:t>
      </w:r>
      <w:r>
        <w:rPr>
          <w:rFonts w:ascii="Arial" w:cs="Arial" w:eastAsia="Arial" w:hAnsi="Arial"/>
          <w:sz w:val="18"/>
          <w:szCs w:val="18"/>
          <w:b w:val="1"/>
          <w:bCs w:val="1"/>
          <w:color w:val="auto"/>
        </w:rPr>
        <w:t xml:space="preserve"> DISC MEDICINE, INC., </w:t>
      </w:r>
      <w:r>
        <w:rPr>
          <w:rFonts w:ascii="Arial" w:cs="Arial" w:eastAsia="Arial" w:hAnsi="Arial"/>
          <w:sz w:val="18"/>
          <w:szCs w:val="18"/>
          <w:color w:val="auto"/>
        </w:rPr>
        <w:t>a Delaware corporation (the “Company”),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for the equal and ratable benefit of the holders of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 of Terms</w:t>
      </w:r>
      <w:r>
        <w:rPr>
          <w:rFonts w:ascii="Arial" w:cs="Arial" w:eastAsia="Arial" w:hAnsi="Arial"/>
          <w:sz w:val="16"/>
          <w:szCs w:val="16"/>
          <w:color w:val="auto"/>
        </w:rPr>
        <w:t>.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an authenticating agent with respect to all or any of the series of Securities appointed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Disc Medicine,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0" w:name="page91"/>
    <w:bookmarkEnd w:id="90"/>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jc w:val="both"/>
        <w:ind w:firstLine="436"/>
        <w:spacing w:after="0" w:line="263"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partnership in which such Person or a subsidiary of such Person is, at the date of determination, a general partner of such partnership; or</w:t>
      </w:r>
    </w:p>
    <w:p>
      <w:pPr>
        <w:spacing w:after="0" w:line="140"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w:t>
      </w:r>
      <w:r>
        <w:rPr>
          <w:rFonts w:ascii="Arial" w:cs="Arial" w:eastAsia="Arial" w:hAnsi="Arial"/>
          <w:sz w:val="18"/>
          <w:szCs w:val="18"/>
          <w:b w:val="1"/>
          <w:bCs w:val="1"/>
          <w:color w:val="auto"/>
        </w:rPr>
        <w:t>TRUSTEE</w:t>
      </w:r>
      <w:r>
        <w:rPr>
          <w:rFonts w:ascii="Arial" w:cs="Arial" w:eastAsia="Arial" w:hAnsi="Arial"/>
          <w:sz w:val="18"/>
          <w:szCs w:val="18"/>
          <w:color w:val="auto"/>
        </w:rPr>
        <w:t>], and, subject to the provisions of Article Seven, shall also include its successors and assigns, and, if at any time there is more than one Person acting in such capacity hereunder, “Trustee” shall mean each such Person.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“Trustee” as used with respect to a particular series of the Securities shall mean the trustee with respect to that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301"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right="20" w:firstLine="987"/>
        <w:spacing w:after="0" w:line="259" w:lineRule="auto"/>
        <w:tabs>
          <w:tab w:leader="none" w:pos="12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128" w:lineRule="exact"/>
        <w:rPr>
          <w:rFonts w:ascii="Arial" w:cs="Arial" w:eastAsia="Arial" w:hAnsi="Arial"/>
          <w:sz w:val="17"/>
          <w:szCs w:val="17"/>
          <w:color w:val="auto"/>
        </w:rPr>
      </w:pPr>
    </w:p>
    <w:p>
      <w:pPr>
        <w:ind w:right="40" w:firstLine="987"/>
        <w:spacing w:after="0" w:line="263" w:lineRule="auto"/>
        <w:tabs>
          <w:tab w:leader="none" w:pos="121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ind w:right="280" w:firstLine="987"/>
        <w:spacing w:after="0" w:line="259" w:lineRule="auto"/>
        <w:tabs>
          <w:tab w:leader="none" w:pos="120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2" w:name="page93"/>
    <w:bookmarkEnd w:id="92"/>
    <w:p>
      <w:pPr>
        <w:ind w:left="-60" w:right="100" w:firstLine="987"/>
        <w:spacing w:after="0" w:line="279" w:lineRule="auto"/>
        <w:tabs>
          <w:tab w:leader="none" w:pos="1146" w:val="left"/>
        </w:tabs>
        <w:numPr>
          <w:ilvl w:val="0"/>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left="-60" w:right="300" w:firstLine="987"/>
        <w:spacing w:after="0" w:line="263" w:lineRule="auto"/>
        <w:tabs>
          <w:tab w:leader="none" w:pos="12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5" w:lineRule="exact"/>
        <w:rPr>
          <w:rFonts w:ascii="Arial" w:cs="Arial" w:eastAsia="Arial" w:hAnsi="Arial"/>
          <w:sz w:val="18"/>
          <w:szCs w:val="18"/>
          <w:color w:val="auto"/>
        </w:rPr>
      </w:pPr>
    </w:p>
    <w:p>
      <w:pPr>
        <w:ind w:left="-60" w:right="140" w:firstLine="987"/>
        <w:spacing w:after="0" w:line="279" w:lineRule="auto"/>
        <w:tabs>
          <w:tab w:leader="none" w:pos="1186"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63" w:lineRule="exact"/>
        <w:rPr>
          <w:rFonts w:ascii="Arial" w:cs="Arial" w:eastAsia="Arial" w:hAnsi="Arial"/>
          <w:sz w:val="17"/>
          <w:szCs w:val="17"/>
          <w:color w:val="auto"/>
        </w:rPr>
      </w:pPr>
    </w:p>
    <w:p>
      <w:pPr>
        <w:ind w:left="-60" w:right="280" w:firstLine="987"/>
        <w:spacing w:after="0" w:line="277" w:lineRule="auto"/>
        <w:tabs>
          <w:tab w:leader="none" w:pos="11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62" w:lineRule="exact"/>
        <w:rPr>
          <w:rFonts w:ascii="Arial" w:cs="Arial" w:eastAsia="Arial" w:hAnsi="Arial"/>
          <w:sz w:val="18"/>
          <w:szCs w:val="18"/>
          <w:color w:val="auto"/>
        </w:rPr>
      </w:pPr>
    </w:p>
    <w:p>
      <w:pPr>
        <w:ind w:left="1180" w:hanging="253"/>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left="-60" w:firstLine="987"/>
        <w:spacing w:after="0" w:line="254" w:lineRule="auto"/>
        <w:tabs>
          <w:tab w:leader="none" w:pos="11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Arial" w:cs="Arial" w:eastAsia="Arial" w:hAnsi="Arial"/>
          <w:sz w:val="18"/>
          <w:szCs w:val="18"/>
          <w:color w:val="auto"/>
        </w:rPr>
      </w:pPr>
    </w:p>
    <w:p>
      <w:pPr>
        <w:ind w:left="-60" w:right="100" w:firstLine="987"/>
        <w:spacing w:after="0" w:line="286" w:lineRule="auto"/>
        <w:tabs>
          <w:tab w:leader="none" w:pos="115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57" w:lineRule="exact"/>
        <w:rPr>
          <w:rFonts w:ascii="Arial" w:cs="Arial" w:eastAsia="Arial" w:hAnsi="Arial"/>
          <w:sz w:val="17"/>
          <w:szCs w:val="17"/>
          <w:color w:val="auto"/>
        </w:rPr>
      </w:pPr>
    </w:p>
    <w:p>
      <w:pPr>
        <w:jc w:val="both"/>
        <w:ind w:left="-60" w:right="160" w:firstLine="987"/>
        <w:spacing w:after="0" w:line="263" w:lineRule="auto"/>
        <w:tabs>
          <w:tab w:leader="none" w:pos="11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5" w:lineRule="exact"/>
        <w:rPr>
          <w:rFonts w:ascii="Arial" w:cs="Arial" w:eastAsia="Arial" w:hAnsi="Arial"/>
          <w:sz w:val="18"/>
          <w:szCs w:val="18"/>
          <w:color w:val="auto"/>
        </w:rPr>
      </w:pPr>
    </w:p>
    <w:p>
      <w:pPr>
        <w:ind w:left="-60" w:right="360" w:firstLine="987"/>
        <w:spacing w:after="0" w:line="277" w:lineRule="auto"/>
        <w:tabs>
          <w:tab w:leader="none" w:pos="11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left="-60" w:right="300" w:firstLine="987"/>
        <w:spacing w:after="0" w:line="308" w:lineRule="auto"/>
        <w:tabs>
          <w:tab w:leader="none" w:pos="118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8" w:lineRule="exact"/>
        <w:rPr>
          <w:rFonts w:ascii="Arial" w:cs="Arial" w:eastAsia="Arial" w:hAnsi="Arial"/>
          <w:sz w:val="17"/>
          <w:szCs w:val="17"/>
          <w:color w:val="auto"/>
        </w:rPr>
      </w:pPr>
    </w:p>
    <w:p>
      <w:pPr>
        <w:ind w:left="1180" w:hanging="253"/>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220" w:hanging="293"/>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180" w:hanging="253"/>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117" w:lineRule="exact"/>
        <w:rPr>
          <w:rFonts w:ascii="Arial" w:cs="Arial" w:eastAsia="Arial" w:hAnsi="Arial"/>
          <w:sz w:val="18"/>
          <w:szCs w:val="18"/>
          <w:color w:val="auto"/>
        </w:rPr>
      </w:pPr>
    </w:p>
    <w:p>
      <w:pPr>
        <w:ind w:left="1180" w:hanging="253"/>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 of the series;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93" w:name="page94"/>
    <w:bookmarkEnd w:id="9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 the subordination terms of the Securities of the series.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1" w:lineRule="exact"/>
        <w:rPr>
          <w:sz w:val="20"/>
          <w:szCs w:val="20"/>
          <w:color w:val="auto"/>
        </w:rPr>
      </w:pPr>
    </w:p>
    <w:p>
      <w:pPr>
        <w:ind w:firstLine="436"/>
        <w:spacing w:after="0" w:line="290"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4" w:name="page95"/>
    <w:bookmarkEnd w:id="94"/>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53" w:lineRule="exact"/>
        <w:rPr>
          <w:sz w:val="20"/>
          <w:szCs w:val="20"/>
          <w:color w:val="auto"/>
        </w:rPr>
      </w:pPr>
    </w:p>
    <w:p>
      <w:pPr>
        <w:ind w:firstLine="436"/>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shall be signed on behalf of the Company by one of its Officers. Signatures may be in the form of a manual or facsimile signature.</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6"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3" w:lineRule="exact"/>
        <w:rPr>
          <w:rFonts w:ascii="Arial" w:cs="Arial" w:eastAsia="Arial" w:hAnsi="Arial"/>
          <w:sz w:val="16"/>
          <w:szCs w:val="16"/>
          <w:color w:val="auto"/>
        </w:rPr>
      </w:pPr>
    </w:p>
    <w:p>
      <w:pPr>
        <w:ind w:firstLine="436"/>
        <w:spacing w:after="0" w:line="301"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6" w:lineRule="exact"/>
        <w:rPr>
          <w:sz w:val="20"/>
          <w:szCs w:val="20"/>
          <w:color w:val="auto"/>
        </w:rPr>
      </w:pPr>
    </w:p>
    <w:p>
      <w:pPr>
        <w:ind w:right="200" w:firstLine="436"/>
        <w:spacing w:after="0" w:line="301"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49"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7" w:name="page98"/>
    <w:bookmarkEnd w:id="9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left="4" w:right="28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86" w:lineRule="auto"/>
        <w:tabs>
          <w:tab w:leader="none" w:pos="699"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1" w:lineRule="exact"/>
        <w:rPr>
          <w:rFonts w:ascii="Arial" w:cs="Arial" w:eastAsia="Arial" w:hAnsi="Arial"/>
          <w:sz w:val="16"/>
          <w:szCs w:val="16"/>
          <w:color w:val="auto"/>
        </w:rPr>
      </w:pPr>
    </w:p>
    <w:p>
      <w:pPr>
        <w:ind w:left="4" w:right="560" w:hanging="4"/>
        <w:spacing w:after="0" w:line="255" w:lineRule="auto"/>
        <w:tabs>
          <w:tab w:leader="none" w:pos="309"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81"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5"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6" w:lineRule="exact"/>
        <w:rPr>
          <w:sz w:val="20"/>
          <w:szCs w:val="20"/>
          <w:color w:val="auto"/>
        </w:rPr>
      </w:pPr>
    </w:p>
    <w:p>
      <w:pPr>
        <w:ind w:firstLine="436"/>
        <w:spacing w:after="0" w:line="269" w:lineRule="auto"/>
        <w:tabs>
          <w:tab w:leader="none" w:pos="695"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0"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57" w:lineRule="exact"/>
        <w:rPr>
          <w:rFonts w:ascii="Arial" w:cs="Arial" w:eastAsia="Arial" w:hAnsi="Arial"/>
          <w:sz w:val="16"/>
          <w:szCs w:val="16"/>
          <w:color w:val="auto"/>
        </w:rPr>
      </w:pPr>
    </w:p>
    <w:p>
      <w:pPr>
        <w:ind w:right="180" w:firstLine="436"/>
        <w:spacing w:after="0" w:line="286" w:lineRule="auto"/>
        <w:tabs>
          <w:tab w:leader="none" w:pos="695"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00" w:name="page101"/>
    <w:bookmarkEnd w:id="10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jc w:val="both"/>
        <w:ind w:left="4" w:right="12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ind w:left="4" w:right="20" w:hanging="4"/>
        <w:spacing w:after="0" w:line="288" w:lineRule="auto"/>
        <w:tabs>
          <w:tab w:leader="none" w:pos="2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jc w:val="both"/>
        <w:ind w:left="4" w:right="100" w:firstLine="436"/>
        <w:spacing w:after="0" w:line="263" w:lineRule="auto"/>
        <w:tabs>
          <w:tab w:leader="none" w:pos="6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5" w:lineRule="exact"/>
        <w:rPr>
          <w:rFonts w:ascii="Arial" w:cs="Arial" w:eastAsia="Arial" w:hAnsi="Arial"/>
          <w:sz w:val="18"/>
          <w:szCs w:val="18"/>
          <w:color w:val="auto"/>
        </w:rPr>
      </w:pPr>
    </w:p>
    <w:p>
      <w:pPr>
        <w:jc w:val="both"/>
        <w:ind w:left="4" w:right="140" w:firstLine="987"/>
        <w:spacing w:after="0" w:line="263" w:lineRule="auto"/>
        <w:tabs>
          <w:tab w:leader="none" w:pos="12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5"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color w:val="auto"/>
        </w:rPr>
      </w:pPr>
    </w:p>
    <w:p>
      <w:pPr>
        <w:ind w:left="4" w:right="460" w:firstLine="987"/>
        <w:spacing w:after="0" w:line="277" w:lineRule="auto"/>
        <w:tabs>
          <w:tab w:leader="none" w:pos="12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jc w:val="both"/>
        <w:ind w:left="4" w:right="100" w:firstLine="436"/>
        <w:spacing w:after="0" w:line="259" w:lineRule="auto"/>
        <w:tabs>
          <w:tab w:leader="none" w:pos="6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01" w:name="page102"/>
    <w:bookmarkEnd w:id="101"/>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68" w:lineRule="exact"/>
        <w:rPr>
          <w:sz w:val="20"/>
          <w:szCs w:val="20"/>
          <w:color w:val="auto"/>
        </w:rPr>
      </w:pPr>
    </w:p>
    <w:p>
      <w:pPr>
        <w:ind w:firstLine="436"/>
        <w:spacing w:after="0" w:line="255"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117" w:lineRule="exact"/>
        <w:rPr>
          <w:rFonts w:ascii="Arial" w:cs="Arial" w:eastAsia="Arial" w:hAnsi="Arial"/>
          <w:sz w:val="18"/>
          <w:szCs w:val="18"/>
          <w:color w:val="auto"/>
        </w:rPr>
      </w:pPr>
    </w:p>
    <w:p>
      <w:pPr>
        <w:ind w:right="280" w:firstLine="436"/>
        <w:spacing w:after="0" w:line="286"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02" w:name="page103"/>
    <w:bookmarkEnd w:id="10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8" w:lineRule="auto"/>
        <w:tabs>
          <w:tab w:leader="none" w:pos="6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60" w:lineRule="exact"/>
        <w:rPr>
          <w:rFonts w:ascii="Arial" w:cs="Arial" w:eastAsia="Arial" w:hAnsi="Arial"/>
          <w:sz w:val="16"/>
          <w:szCs w:val="16"/>
          <w:color w:val="auto"/>
        </w:rPr>
      </w:pPr>
    </w:p>
    <w:p>
      <w:pPr>
        <w:ind w:left="4" w:right="80" w:firstLine="436"/>
        <w:spacing w:after="0" w:line="259" w:lineRule="auto"/>
        <w:tabs>
          <w:tab w:leader="none" w:pos="6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63" w:lineRule="auto"/>
        <w:tabs>
          <w:tab w:leader="none" w:pos="69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ind w:left="4" w:right="100" w:hanging="4"/>
        <w:spacing w:after="0" w:line="263" w:lineRule="auto"/>
        <w:tabs>
          <w:tab w:leader="none" w:pos="25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2004"/>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77" w:lineRule="auto"/>
        <w:tabs>
          <w:tab w:leader="none" w:pos="69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color w:val="auto"/>
        </w:rPr>
      </w:pPr>
    </w:p>
    <w:p>
      <w:pPr>
        <w:ind w:left="4" w:firstLine="987"/>
        <w:spacing w:after="0" w:line="311" w:lineRule="auto"/>
        <w:tabs>
          <w:tab w:leader="none" w:pos="12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40" w:lineRule="exact"/>
        <w:rPr>
          <w:rFonts w:ascii="Arial" w:cs="Arial" w:eastAsia="Arial" w:hAnsi="Arial"/>
          <w:sz w:val="16"/>
          <w:szCs w:val="16"/>
          <w:color w:val="auto"/>
        </w:rPr>
      </w:pPr>
    </w:p>
    <w:p>
      <w:pPr>
        <w:jc w:val="both"/>
        <w:ind w:left="4" w:firstLine="987"/>
        <w:spacing w:after="0" w:line="279" w:lineRule="auto"/>
        <w:tabs>
          <w:tab w:leader="none" w:pos="125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103" w:name="page104"/>
    <w:bookmarkEnd w:id="103"/>
    <w:p>
      <w:pPr>
        <w:ind w:left="4" w:right="40" w:firstLine="987"/>
        <w:spacing w:after="0" w:line="255" w:lineRule="auto"/>
        <w:tabs>
          <w:tab w:leader="none" w:pos="1240" w:val="left"/>
        </w:tabs>
        <w:numPr>
          <w:ilvl w:val="2"/>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84" w:lineRule="exact"/>
        <w:rPr>
          <w:rFonts w:ascii="Arial" w:cs="Arial" w:eastAsia="Arial" w:hAnsi="Arial"/>
          <w:sz w:val="18"/>
          <w:szCs w:val="18"/>
          <w:color w:val="auto"/>
        </w:rPr>
      </w:pPr>
    </w:p>
    <w:p>
      <w:pPr>
        <w:ind w:left="4" w:firstLine="987"/>
        <w:spacing w:after="0" w:line="291" w:lineRule="auto"/>
        <w:tabs>
          <w:tab w:leader="none" w:pos="125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04" w:hanging="304"/>
        <w:spacing w:after="0"/>
        <w:tabs>
          <w:tab w:leader="none" w:pos="3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02" w:lineRule="exact"/>
        <w:rPr>
          <w:rFonts w:ascii="Arial" w:cs="Arial" w:eastAsia="Arial" w:hAnsi="Arial"/>
          <w:sz w:val="18"/>
          <w:szCs w:val="18"/>
          <w:color w:val="auto"/>
        </w:rPr>
      </w:pPr>
    </w:p>
    <w:p>
      <w:pPr>
        <w:ind w:left="4" w:right="80" w:firstLine="987"/>
        <w:spacing w:after="0" w:line="263" w:lineRule="auto"/>
        <w:tabs>
          <w:tab w:leader="none" w:pos="12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5"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color w:val="auto"/>
        </w:rPr>
        <w:t>(4)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7" w:lineRule="exact"/>
        <w:rPr>
          <w:rFonts w:ascii="Arial" w:cs="Arial" w:eastAsia="Arial" w:hAnsi="Arial"/>
          <w:sz w:val="16"/>
          <w:szCs w:val="16"/>
          <w:color w:val="auto"/>
        </w:rPr>
      </w:pPr>
    </w:p>
    <w:p>
      <w:pPr>
        <w:ind w:left="4" w:firstLine="436"/>
        <w:spacing w:after="0" w:line="288" w:lineRule="auto"/>
        <w:tabs>
          <w:tab w:leader="none" w:pos="69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firstLine="436"/>
        <w:spacing w:after="0" w:line="257" w:lineRule="auto"/>
        <w:tabs>
          <w:tab w:leader="none" w:pos="69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96" w:lineRule="auto"/>
        <w:tabs>
          <w:tab w:leader="none" w:pos="69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04" w:name="page105"/>
    <w:bookmarkEnd w:id="10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80" w:lineRule="exact"/>
        <w:rPr>
          <w:sz w:val="20"/>
          <w:szCs w:val="20"/>
          <w:color w:val="auto"/>
        </w:rPr>
      </w:pPr>
    </w:p>
    <w:p>
      <w:pPr>
        <w:ind w:right="180" w:firstLine="436"/>
        <w:spacing w:after="0" w:line="275" w:lineRule="auto"/>
        <w:tabs>
          <w:tab w:leader="none" w:pos="69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8" w:lineRule="exact"/>
        <w:rPr>
          <w:rFonts w:ascii="Arial" w:cs="Arial" w:eastAsia="Arial" w:hAnsi="Arial"/>
          <w:sz w:val="17"/>
          <w:szCs w:val="17"/>
          <w:color w:val="auto"/>
        </w:rPr>
      </w:pPr>
    </w:p>
    <w:p>
      <w:pPr>
        <w:ind w:right="80" w:firstLine="436"/>
        <w:spacing w:after="0" w:line="269" w:lineRule="auto"/>
        <w:tabs>
          <w:tab w:leader="none" w:pos="69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77" w:lineRule="exact"/>
        <w:rPr>
          <w:rFonts w:ascii="Arial" w:cs="Arial" w:eastAsia="Arial" w:hAnsi="Arial"/>
          <w:sz w:val="17"/>
          <w:szCs w:val="17"/>
          <w:color w:val="auto"/>
        </w:rPr>
      </w:pPr>
    </w:p>
    <w:p>
      <w:pPr>
        <w:ind w:right="160" w:firstLine="436"/>
        <w:spacing w:after="0" w:line="25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41" w:lineRule="exact"/>
        <w:rPr>
          <w:sz w:val="20"/>
          <w:szCs w:val="20"/>
          <w:color w:val="auto"/>
        </w:rPr>
      </w:pPr>
    </w:p>
    <w:p>
      <w:pPr>
        <w:ind w:left="440" w:right="900"/>
        <w:spacing w:after="0" w:line="277" w:lineRule="auto"/>
        <w:rPr>
          <w:sz w:val="20"/>
          <w:szCs w:val="20"/>
          <w:color w:val="auto"/>
        </w:rPr>
      </w:pPr>
      <w:r>
        <w:rPr>
          <w:rFonts w:ascii="Arial" w:cs="Arial" w:eastAsia="Arial" w:hAnsi="Arial"/>
          <w:sz w:val="18"/>
          <w:szCs w:val="18"/>
          <w:color w:val="auto"/>
        </w:rPr>
        <w:t>FIRST: To the payment of all indebtedness of the Company to which such series of Securities is subordinated to the extent required by Section 7.06 and any subordination terms of the series specified as contemplated by Article Fourteen;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05" w:name="page106"/>
    <w:bookmarkEnd w:id="105"/>
    <w:p>
      <w:pPr>
        <w:jc w:val="both"/>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9"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firstLine="436"/>
        <w:spacing w:after="0" w:line="279"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06" w:name="page107"/>
    <w:bookmarkEnd w:id="10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69"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right="520" w:firstLine="987"/>
        <w:spacing w:after="0" w:line="277" w:lineRule="auto"/>
        <w:tabs>
          <w:tab w:leader="none" w:pos="12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right="20" w:firstLine="1428"/>
        <w:spacing w:after="0" w:line="259" w:lineRule="auto"/>
        <w:tabs>
          <w:tab w:leader="none" w:pos="172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right="40" w:firstLine="1428"/>
        <w:spacing w:after="0" w:line="257" w:lineRule="auto"/>
        <w:tabs>
          <w:tab w:leader="none" w:pos="171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07" w:name="page108"/>
    <w:bookmarkEnd w:id="107"/>
    <w:p>
      <w:pPr>
        <w:ind w:right="300"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firstLine="987"/>
        <w:spacing w:after="0" w:line="259"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117" w:lineRule="exact"/>
        <w:rPr>
          <w:sz w:val="20"/>
          <w:szCs w:val="20"/>
          <w:color w:val="auto"/>
        </w:rPr>
      </w:pPr>
    </w:p>
    <w:p>
      <w:pPr>
        <w:ind w:right="20" w:firstLine="436"/>
        <w:spacing w:after="0" w:line="263"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5" w:lineRule="exact"/>
        <w:rPr>
          <w:rFonts w:ascii="Arial" w:cs="Arial" w:eastAsia="Arial" w:hAnsi="Arial"/>
          <w:sz w:val="18"/>
          <w:szCs w:val="18"/>
          <w:color w:val="auto"/>
        </w:rPr>
      </w:pPr>
    </w:p>
    <w:p>
      <w:pPr>
        <w:jc w:val="both"/>
        <w:ind w:right="560" w:firstLine="436"/>
        <w:spacing w:after="0" w:line="263"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5" w:lineRule="exact"/>
        <w:rPr>
          <w:rFonts w:ascii="Arial" w:cs="Arial" w:eastAsia="Arial" w:hAnsi="Arial"/>
          <w:sz w:val="18"/>
          <w:szCs w:val="18"/>
          <w:color w:val="auto"/>
        </w:rPr>
      </w:pPr>
    </w:p>
    <w:p>
      <w:pPr>
        <w:ind w:right="620" w:firstLine="436"/>
        <w:spacing w:after="0" w:line="342"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ind w:right="40" w:firstLine="436"/>
        <w:spacing w:after="0" w:line="293"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56" w:lineRule="exact"/>
        <w:rPr>
          <w:rFonts w:ascii="Arial" w:cs="Arial" w:eastAsia="Arial" w:hAnsi="Arial"/>
          <w:sz w:val="16"/>
          <w:szCs w:val="16"/>
          <w:color w:val="auto"/>
        </w:rPr>
      </w:pPr>
    </w:p>
    <w:p>
      <w:pPr>
        <w:ind w:right="180" w:firstLine="436"/>
        <w:spacing w:after="0" w:line="277"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40" w:firstLine="436"/>
        <w:spacing w:after="0" w:line="291"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08" w:name="page109"/>
    <w:bookmarkEnd w:id="108"/>
    <w:p>
      <w:pPr>
        <w:ind w:right="280" w:firstLine="436"/>
        <w:spacing w:after="0" w:line="263"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5" w:lineRule="exact"/>
        <w:rPr>
          <w:rFonts w:ascii="Arial" w:cs="Arial" w:eastAsia="Arial" w:hAnsi="Arial"/>
          <w:sz w:val="18"/>
          <w:szCs w:val="18"/>
          <w:color w:val="auto"/>
        </w:rPr>
      </w:pPr>
    </w:p>
    <w:p>
      <w:pPr>
        <w:ind w:firstLine="436"/>
        <w:spacing w:after="0" w:line="275" w:lineRule="auto"/>
        <w:tabs>
          <w:tab w:leader="none" w:pos="69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8"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75" w:lineRule="exact"/>
        <w:rPr>
          <w:rFonts w:ascii="Arial" w:cs="Arial" w:eastAsia="Arial" w:hAnsi="Arial"/>
          <w:sz w:val="18"/>
          <w:szCs w:val="18"/>
          <w:color w:val="auto"/>
        </w:rPr>
      </w:pPr>
    </w:p>
    <w:p>
      <w:pPr>
        <w:ind w:right="20" w:firstLine="436"/>
        <w:spacing w:after="0" w:line="269" w:lineRule="auto"/>
        <w:tabs>
          <w:tab w:leader="none" w:pos="78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8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77"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17" w:lineRule="exact"/>
        <w:rPr>
          <w:rFonts w:ascii="Arial" w:cs="Arial" w:eastAsia="Arial" w:hAnsi="Arial"/>
          <w:sz w:val="18"/>
          <w:szCs w:val="18"/>
          <w:color w:val="auto"/>
        </w:rPr>
      </w:pPr>
    </w:p>
    <w:p>
      <w:pPr>
        <w:ind w:right="180" w:firstLine="436"/>
        <w:spacing w:after="0" w:line="286" w:lineRule="auto"/>
        <w:tabs>
          <w:tab w:leader="none" w:pos="6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8"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60" w:lineRule="exact"/>
        <w:rPr>
          <w:rFonts w:ascii="Arial" w:cs="Arial" w:eastAsia="Arial" w:hAnsi="Arial"/>
          <w:sz w:val="16"/>
          <w:szCs w:val="16"/>
          <w:color w:val="auto"/>
        </w:rPr>
      </w:pPr>
    </w:p>
    <w:p>
      <w:pPr>
        <w:jc w:val="both"/>
        <w:ind w:right="380" w:firstLine="436"/>
        <w:spacing w:after="0" w:line="259"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8" w:lineRule="exact"/>
        <w:rPr>
          <w:rFonts w:ascii="Arial" w:cs="Arial" w:eastAsia="Arial" w:hAnsi="Arial"/>
          <w:sz w:val="18"/>
          <w:szCs w:val="18"/>
          <w:color w:val="auto"/>
        </w:rPr>
      </w:pPr>
    </w:p>
    <w:p>
      <w:pPr>
        <w:ind w:right="80" w:firstLine="436"/>
        <w:spacing w:after="0" w:line="29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w:t>
      </w:r>
      <w:r>
        <w:rPr>
          <w:rFonts w:ascii="Arial" w:cs="Arial" w:eastAsia="Arial" w:hAnsi="Arial"/>
          <w:sz w:val="18"/>
          <w:szCs w:val="18"/>
          <w:color w:val="auto"/>
        </w:rPr>
        <w:t>.</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9"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58" w:lineRule="exact"/>
        <w:rPr>
          <w:rFonts w:ascii="Arial" w:cs="Arial" w:eastAsia="Arial" w:hAnsi="Arial"/>
          <w:sz w:val="16"/>
          <w:szCs w:val="16"/>
          <w:color w:val="auto"/>
        </w:rPr>
      </w:pPr>
    </w:p>
    <w:p>
      <w:pPr>
        <w:ind w:left="700" w:hanging="264"/>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right="900" w:firstLine="987"/>
        <w:spacing w:after="0" w:line="277" w:lineRule="auto"/>
        <w:tabs>
          <w:tab w:leader="none" w:pos="123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right="420" w:firstLine="987"/>
        <w:spacing w:after="0" w:line="277"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right="400" w:firstLine="987"/>
        <w:spacing w:after="0" w:line="263" w:lineRule="auto"/>
        <w:tabs>
          <w:tab w:leader="none" w:pos="123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3" w:lineRule="exact"/>
        <w:rPr>
          <w:sz w:val="20"/>
          <w:szCs w:val="20"/>
          <w:color w:val="auto"/>
        </w:rPr>
      </w:pPr>
    </w:p>
    <w:p>
      <w:pPr>
        <w:ind w:right="60" w:firstLine="436"/>
        <w:spacing w:after="0" w:line="263"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75" w:lineRule="exact"/>
        <w:rPr>
          <w:rFonts w:ascii="Arial" w:cs="Arial" w:eastAsia="Arial" w:hAnsi="Arial"/>
          <w:sz w:val="18"/>
          <w:szCs w:val="18"/>
          <w:color w:val="auto"/>
        </w:rPr>
      </w:pPr>
    </w:p>
    <w:p>
      <w:pPr>
        <w:ind w:right="220" w:firstLine="436"/>
        <w:spacing w:after="0" w:line="342"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11" w:name="page112"/>
    <w:bookmarkEnd w:id="111"/>
    <w:p>
      <w:pPr>
        <w:ind w:right="240" w:firstLine="436"/>
        <w:spacing w:after="0" w:line="277"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93"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ind w:firstLine="436"/>
        <w:spacing w:after="0" w:line="285"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63" w:lineRule="exact"/>
        <w:rPr>
          <w:rFonts w:ascii="Arial" w:cs="Arial" w:eastAsia="Arial" w:hAnsi="Arial"/>
          <w:sz w:val="16"/>
          <w:szCs w:val="16"/>
          <w:color w:val="auto"/>
        </w:rPr>
      </w:pPr>
    </w:p>
    <w:p>
      <w:pPr>
        <w:ind w:right="380" w:firstLine="436"/>
        <w:spacing w:after="0" w:line="342"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5"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CONCERNING THE SECURITYHOLDERS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13" w:name="page114"/>
    <w:bookmarkEnd w:id="113"/>
    <w:p>
      <w:pPr>
        <w:ind w:left="700" w:hanging="264"/>
        <w:spacing w:after="0"/>
        <w:tabs>
          <w:tab w:leader="none" w:pos="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fact and date of the execution by any such Person of any instrument may be proved in any reasonable manner acceptable to the Trustee.</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ownership of Securities shall be proved by the Security Register of such Securities or by a certificate of the Security Registrar thereof.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14" w:name="page115"/>
    <w:bookmarkEnd w:id="114"/>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9" w:lineRule="exact"/>
        <w:rPr>
          <w:rFonts w:ascii="Arial" w:cs="Arial" w:eastAsia="Arial" w:hAnsi="Arial"/>
          <w:sz w:val="18"/>
          <w:szCs w:val="18"/>
          <w:color w:val="auto"/>
        </w:rPr>
      </w:pPr>
    </w:p>
    <w:p>
      <w:pPr>
        <w:ind w:right="940" w:firstLine="436"/>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117"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115" w:name="page116"/>
    <w:bookmarkEnd w:id="11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6" w:name="page117"/>
    <w:bookmarkEnd w:id="116"/>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w:t>
      </w:r>
    </w:p>
    <w:p>
      <w:pPr>
        <w:spacing w:after="0" w:line="4" w:lineRule="exact"/>
        <w:rPr>
          <w:sz w:val="20"/>
          <w:szCs w:val="20"/>
          <w:color w:val="auto"/>
        </w:rPr>
      </w:pPr>
    </w:p>
    <w:p>
      <w:pPr>
        <w:ind w:left="4" w:hanging="4"/>
        <w:spacing w:after="0" w:line="292" w:lineRule="auto"/>
        <w:tabs>
          <w:tab w:leader="none" w:pos="25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57" w:lineRule="auto"/>
        <w:tabs>
          <w:tab w:leader="none" w:pos="6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9" w:lineRule="exact"/>
        <w:rPr>
          <w:rFonts w:ascii="Arial" w:cs="Arial" w:eastAsia="Arial" w:hAnsi="Arial"/>
          <w:sz w:val="18"/>
          <w:szCs w:val="18"/>
          <w:color w:val="auto"/>
        </w:rPr>
      </w:pPr>
    </w:p>
    <w:p>
      <w:pPr>
        <w:ind w:left="4" w:right="280" w:firstLine="436"/>
        <w:spacing w:after="0" w:line="277" w:lineRule="auto"/>
        <w:tabs>
          <w:tab w:leader="none" w:pos="6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left="4" w:right="120" w:firstLine="436"/>
        <w:spacing w:after="0" w:line="263" w:lineRule="auto"/>
        <w:tabs>
          <w:tab w:leader="none" w:pos="6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Thereafter, Sections 7.06 and 11.05 shall survive.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18" w:name="page119"/>
    <w:bookmarkEnd w:id="118"/>
    <w:p>
      <w:pPr>
        <w:jc w:val="both"/>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5"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19" w:name="page120"/>
    <w:bookmarkEnd w:id="119"/>
    <w:p>
      <w:pPr>
        <w:ind w:firstLine="436"/>
        <w:spacing w:after="0" w:line="273" w:lineRule="auto"/>
        <w:tabs>
          <w:tab w:leader="none" w:pos="695"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ectPr>
          <w:pgSz w:w="11900" w:h="16838" w:orient="portrait"/>
          <w:cols w:equalWidth="0" w:num="1">
            <w:col w:w="10040"/>
          </w:cols>
          <w:pgMar w:left="440" w:top="270" w:right="1419" w:bottom="1440" w:gutter="0" w:footer="0" w:header="0"/>
        </w:sect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40"/>
          </w:cols>
          <w:pgMar w:left="440" w:top="270" w:right="1419" w:bottom="1440" w:gutter="0" w:footer="0" w:header="0"/>
          <w:type w:val="continuous"/>
        </w:sectPr>
      </w:pPr>
    </w:p>
    <w:bookmarkStart w:id="121" w:name="page122"/>
    <w:bookmarkEnd w:id="121"/>
    <w:tbl>
      <w:tblPr>
        <w:tblLayout w:type="fixed"/>
        <w:tblInd w:w="4" w:type="dxa"/>
        <w:tblCellMar>
          <w:top w:w="0" w:type="dxa"/>
          <w:left w:w="0" w:type="dxa"/>
          <w:bottom w:w="0" w:type="dxa"/>
          <w:right w:w="0" w:type="dxa"/>
        </w:tblCellMar>
      </w:tblPr>
      <w:tr>
        <w:trPr>
          <w:trHeight w:val="360"/>
        </w:trPr>
        <w:tc>
          <w:tcPr>
            <w:tcW w:w="3180" w:type="dxa"/>
            <w:vAlign w:val="bottom"/>
          </w:tcPr>
          <w:p>
            <w:pPr>
              <w:spacing w:after="0"/>
              <w:rPr>
                <w:sz w:val="24"/>
                <w:szCs w:val="24"/>
                <w:color w:val="auto"/>
              </w:rPr>
            </w:pPr>
          </w:p>
        </w:tc>
        <w:tc>
          <w:tcPr>
            <w:tcW w:w="7560" w:type="dxa"/>
            <w:vAlign w:val="bottom"/>
            <w:gridSpan w:val="3"/>
          </w:tcPr>
          <w:p>
            <w:pPr>
              <w:jc w:val="right"/>
              <w:ind w:right="4000"/>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26"/>
                <w:szCs w:val="26"/>
                <w:b w:val="1"/>
                <w:bCs w:val="1"/>
                <w:color w:val="auto"/>
                <w:vertAlign w:val="superscript"/>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Section of Trust Indenture Act of 1939, as Amended</w:t>
            </w:r>
          </w:p>
        </w:tc>
        <w:tc>
          <w:tcPr>
            <w:tcW w:w="65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Section of</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180" w:type="dxa"/>
            <w:vAlign w:val="bottom"/>
            <w:tcBorders>
              <w:bottom w:val="single" w:sz="8" w:color="auto"/>
            </w:tcBorders>
            <w:vMerge w:val="continue"/>
          </w:tcPr>
          <w:p>
            <w:pPr>
              <w:spacing w:after="0"/>
              <w:rPr>
                <w:sz w:val="16"/>
                <w:szCs w:val="16"/>
                <w:color w:val="auto"/>
              </w:rPr>
            </w:pPr>
          </w:p>
        </w:tc>
        <w:tc>
          <w:tcPr>
            <w:tcW w:w="65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Indenture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6520" w:type="dxa"/>
            <w:vAlign w:val="bottom"/>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7.09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6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6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6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6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65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Inapplicable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7.01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8.04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560" w:type="dxa"/>
            <w:vAlign w:val="bottom"/>
            <w:gridSpan w:val="3"/>
          </w:tcPr>
          <w:p>
            <w:pPr>
              <w:jc w:val="right"/>
              <w:ind w:right="6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ind w:left="424" w:right="380" w:hanging="424"/>
        <w:spacing w:after="0" w:line="207" w:lineRule="auto"/>
        <w:tabs>
          <w:tab w:leader="none" w:pos="424"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color w:val="auto"/>
        </w:rPr>
        <w:t>This Cross-Reference Table does not constitute part of the Indenture and shall not have any bearing on the interpretation of any of its terms or provisions.â€Š</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Watertown, MA 02472</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(as amended or supplemented, the “Registration Statement”) pursuant to the Securities Act of 1933, as amended (the “Securities Act”), relating to the offering by Disc Medicine, Inc., a Delaware corporation (the “Company”), of up to $400,000,000 of any combination of (i) the Company’s common stock, par value $0.0001 per share (“Common Stock”), (ii) the Company’s preferred stock, par value $0.0001 per share (“Preferred Stock”), (iii) the Company’s debt securities (“Debt Securities”),</w:t>
      </w:r>
    </w:p>
    <w:p>
      <w:pPr>
        <w:spacing w:after="0" w:line="1" w:lineRule="exact"/>
        <w:rPr>
          <w:sz w:val="20"/>
          <w:szCs w:val="20"/>
          <w:color w:val="auto"/>
        </w:rPr>
      </w:pPr>
    </w:p>
    <w:p>
      <w:pPr>
        <w:ind w:left="304" w:hanging="304"/>
        <w:spacing w:after="0"/>
        <w:tabs>
          <w:tab w:leader="none" w:pos="30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warrants to purchase Common Stock, Preferred Stock, Debt Securities or Units (as defined below ) (“Warrants”) and (v) units comprised of</w:t>
      </w:r>
    </w:p>
    <w:p>
      <w:pPr>
        <w:spacing w:after="0" w:line="20" w:lineRule="exact"/>
        <w:rPr>
          <w:rFonts w:ascii="Arial" w:cs="Arial" w:eastAsia="Arial" w:hAnsi="Arial"/>
          <w:sz w:val="17"/>
          <w:szCs w:val="17"/>
          <w:color w:val="auto"/>
        </w:rPr>
      </w:pPr>
    </w:p>
    <w:p>
      <w:pPr>
        <w:ind w:left="4" w:right="80"/>
        <w:spacing w:after="0" w:line="292" w:lineRule="auto"/>
        <w:rPr>
          <w:rFonts w:ascii="Arial" w:cs="Arial" w:eastAsia="Arial" w:hAnsi="Arial"/>
          <w:sz w:val="17"/>
          <w:szCs w:val="17"/>
          <w:color w:val="auto"/>
        </w:rPr>
      </w:pPr>
      <w:r>
        <w:rPr>
          <w:rFonts w:ascii="Arial" w:cs="Arial" w:eastAsia="Arial" w:hAnsi="Arial"/>
          <w:sz w:val="16"/>
          <w:szCs w:val="16"/>
          <w:color w:val="auto"/>
        </w:rPr>
        <w:t>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62"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11024"/>
          </w:cols>
          <w:pgMar w:left="436" w:top="121"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opinions set forth below, we refer to the following as the “Future Approval and Issuance” of Securities:</w:t>
      </w:r>
    </w:p>
    <w:p>
      <w:pPr>
        <w:spacing w:after="0" w:line="131" w:lineRule="exact"/>
        <w:rPr>
          <w:sz w:val="20"/>
          <w:szCs w:val="20"/>
          <w:color w:val="auto"/>
        </w:rPr>
      </w:pPr>
    </w:p>
    <w:p>
      <w:pPr>
        <w:ind w:left="960" w:hanging="424"/>
        <w:spacing w:after="0" w:line="259"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92" w:lineRule="exact"/>
        <w:rPr>
          <w:rFonts w:ascii="Arial" w:cs="Arial" w:eastAsia="Arial" w:hAnsi="Arial"/>
          <w:sz w:val="18"/>
          <w:szCs w:val="18"/>
          <w:color w:val="auto"/>
        </w:rPr>
      </w:pPr>
    </w:p>
    <w:p>
      <w:pPr>
        <w:ind w:left="960" w:right="60" w:hanging="424"/>
        <w:spacing w:after="0" w:line="311" w:lineRule="auto"/>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4" w:lineRule="exact"/>
        <w:rPr>
          <w:rFonts w:ascii="Arial" w:cs="Arial" w:eastAsia="Arial" w:hAnsi="Arial"/>
          <w:sz w:val="16"/>
          <w:szCs w:val="16"/>
          <w:color w:val="auto"/>
        </w:rPr>
      </w:pPr>
    </w:p>
    <w:p>
      <w:pPr>
        <w:ind w:left="960" w:right="60" w:hanging="424"/>
        <w:spacing w:after="0" w:line="279" w:lineRule="auto"/>
        <w:tabs>
          <w:tab w:leader="none" w:pos="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76" w:lineRule="exact"/>
        <w:rPr>
          <w:rFonts w:ascii="Arial" w:cs="Arial" w:eastAsia="Arial" w:hAnsi="Arial"/>
          <w:sz w:val="17"/>
          <w:szCs w:val="17"/>
          <w:color w:val="auto"/>
        </w:rPr>
      </w:pPr>
    </w:p>
    <w:p>
      <w:pPr>
        <w:ind w:left="960" w:right="60" w:hanging="424"/>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480" w:firstLine="436"/>
        <w:spacing w:after="0" w:line="277"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the Future Approval and Issuance of shares of Common Stock, such shares of Common Stock will be validly issued, fully paid and nonassessable.</w:t>
      </w:r>
    </w:p>
    <w:p>
      <w:pPr>
        <w:spacing w:after="0" w:line="62" w:lineRule="exact"/>
        <w:rPr>
          <w:rFonts w:ascii="Arial" w:cs="Arial" w:eastAsia="Arial" w:hAnsi="Arial"/>
          <w:sz w:val="18"/>
          <w:szCs w:val="18"/>
          <w:color w:val="auto"/>
        </w:rPr>
      </w:pPr>
    </w:p>
    <w:p>
      <w:pPr>
        <w:ind w:right="480" w:firstLine="436"/>
        <w:spacing w:after="0" w:line="277"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the Future Approval and Issuance of shares of Preferred Stock, such shares of Preferred Stock will be validly issued, fully paid and nonassessable.</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Upon the Future Approval and Issuance of Debt Securities, such Debt Securities will be valid and binding obligations of the Company.</w:t>
      </w:r>
    </w:p>
    <w:p>
      <w:pPr>
        <w:sectPr>
          <w:pgSz w:w="11900" w:h="16838" w:orient="portrait"/>
          <w:cols w:equalWidth="0" w:num="1">
            <w:col w:w="10980"/>
          </w:cols>
          <w:pgMar w:left="440" w:top="274"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620" w:hanging="184"/>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Future Approval and Issuance of Warrants, such Warrants will be valid and binding obligations of the Company.</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Future Approval and Issuance of Units, such Units will be valid and binding obligations of the Company.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80"/>
          </w:cols>
          <w:pgMar w:left="440" w:top="274" w:right="4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Disc Medicine, Inc. for the registration of up to $400.0 million of its common stock, preferred stock, debt securities, warrants, and units and to the incorporation by reference therein of our report dated March 31, 2023, with respect to the consolidated financial statements of Disc Medicine, Inc. included in its Annual Report (Form 10-K) for the year ended December 31, 2022,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ectPr>
          <w:pgSz w:w="11900" w:h="16838" w:orient="portrait"/>
          <w:cols w:equalWidth="0" w:num="1">
            <w:col w:w="11020"/>
          </w:cols>
          <w:pgMar w:left="440" w:top="121"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Disc Medicine, Inc. for the registration of its common stock, preferred stock, debt securities, warrants and units and to the incorporation by reference therein of our report dated March 10, 2022, with respect to the consolidated financial statements of Gemini Therapeutics, Inc. included in its Annual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ectPr>
          <w:pgSz w:w="11900" w:h="16838" w:orient="portrait"/>
          <w:cols w:equalWidth="0" w:num="1">
            <w:col w:w="11020"/>
          </w:cols>
          <w:pgMar w:left="440" w:top="121" w:right="439" w:bottom="1440" w:gutter="0" w:footer="0" w:header="0"/>
        </w:sectPr>
      </w:pPr>
    </w:p>
    <w:bookmarkStart w:id="127" w:name="page128"/>
    <w:bookmarkEnd w:id="127"/>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1140" w:type="dxa"/>
            <w:vAlign w:val="bottom"/>
            <w:tcBorders>
              <w:top w:val="single" w:sz="8" w:color="auto"/>
              <w:left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1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Carry</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0"/>
              </w:rPr>
              <w:t>Calculation</w:t>
            </w:r>
          </w:p>
        </w:tc>
        <w:tc>
          <w:tcPr>
            <w:tcW w:w="11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5"/>
              </w:rPr>
              <w:t>Maximum</w:t>
            </w:r>
          </w:p>
        </w:tc>
        <w:tc>
          <w:tcPr>
            <w:tcW w:w="11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7"/>
              </w:rPr>
              <w:t>Securities</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11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1140" w:type="dxa"/>
            <w:vAlign w:val="bottom"/>
            <w:tcBorders>
              <w:right w:val="single" w:sz="8" w:color="auto"/>
            </w:tcBorders>
          </w:tcPr>
          <w:p>
            <w:pPr>
              <w:jc w:val="right"/>
              <w:ind w:right="255"/>
              <w:spacing w:after="0" w:line="135" w:lineRule="exact"/>
              <w:rPr>
                <w:sz w:val="20"/>
                <w:szCs w:val="20"/>
                <w:color w:val="auto"/>
              </w:rPr>
            </w:pPr>
            <w:r>
              <w:rPr>
                <w:rFonts w:ascii="Arial" w:cs="Arial" w:eastAsia="Arial" w:hAnsi="Arial"/>
                <w:sz w:val="13"/>
                <w:szCs w:val="13"/>
                <w:color w:val="auto"/>
              </w:rPr>
              <w:t>Amount</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c>
          <w:tcPr>
            <w:tcW w:w="0" w:type="dxa"/>
            <w:vAlign w:val="bottom"/>
          </w:tcPr>
          <w:p>
            <w:pPr>
              <w:spacing w:after="0"/>
              <w:rPr>
                <w:sz w:val="1"/>
                <w:szCs w:val="1"/>
                <w:color w:val="auto"/>
              </w:rPr>
            </w:pP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140" w:type="dxa"/>
            <w:vAlign w:val="bottom"/>
            <w:tcBorders>
              <w:bottom w:val="single" w:sz="8" w:color="auto"/>
              <w:right w:val="single" w:sz="8" w:color="auto"/>
            </w:tcBorders>
          </w:tcPr>
          <w:p>
            <w:pPr>
              <w:jc w:val="right"/>
              <w:ind w:right="115"/>
              <w:spacing w:after="0"/>
              <w:rPr>
                <w:sz w:val="20"/>
                <w:szCs w:val="20"/>
                <w:color w:val="auto"/>
              </w:rPr>
            </w:pPr>
            <w:r>
              <w:rPr>
                <w:rFonts w:ascii="Arial" w:cs="Arial" w:eastAsia="Arial" w:hAnsi="Arial"/>
                <w:sz w:val="13"/>
                <w:szCs w:val="13"/>
                <w:color w:val="auto"/>
              </w:rPr>
              <w:t>Registered (1)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Unit (2)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c>
          <w:tcPr>
            <w:tcW w:w="0" w:type="dxa"/>
            <w:vAlign w:val="bottom"/>
          </w:tcPr>
          <w:p>
            <w:pPr>
              <w:spacing w:after="0"/>
              <w:rPr>
                <w:sz w:val="1"/>
                <w:szCs w:val="1"/>
                <w:color w:val="auto"/>
              </w:rPr>
            </w:pPr>
          </w:p>
        </w:tc>
      </w:tr>
      <w:tr>
        <w:trPr>
          <w:trHeight w:val="231"/>
        </w:trPr>
        <w:tc>
          <w:tcPr>
            <w:tcW w:w="114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8"/>
                <w:szCs w:val="18"/>
                <w:color w:val="auto"/>
                <w:w w:val="90"/>
              </w:rPr>
              <w:t>Newly Registered Securities</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Primary Offering of</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Securities:</w:t>
            </w:r>
          </w:p>
        </w:tc>
        <w:tc>
          <w:tcPr>
            <w:tcW w:w="7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Preferred</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(4)</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Units (7)</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$400,000,000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$400,000,000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$59,040</w:t>
            </w:r>
          </w:p>
        </w:tc>
        <w:tc>
          <w:tcPr>
            <w:tcW w:w="6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8"/>
                <w:szCs w:val="18"/>
                <w:color w:val="auto"/>
                <w:w w:val="91"/>
              </w:rPr>
              <w:t>Carry Forward Securities</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10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97"/>
              </w:rPr>
              <w:t>Total Offering Amounts</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$400,000,000</w:t>
            </w: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$59,040</w:t>
            </w: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Net Fee Due</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$59,040</w:t>
            </w:r>
          </w:p>
        </w:tc>
        <w:tc>
          <w:tcPr>
            <w:tcW w:w="6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 w:hanging="424"/>
        <w:spacing w:after="0" w:line="267" w:lineRule="auto"/>
        <w:tabs>
          <w:tab w:leader="none" w:pos="4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amount to be registered consists of up to $400,000,000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7"/>
          <w:szCs w:val="17"/>
          <w:color w:val="auto"/>
        </w:rPr>
      </w:pPr>
    </w:p>
    <w:p>
      <w:pPr>
        <w:jc w:val="both"/>
        <w:ind w:left="424" w:right="200" w:hanging="424"/>
        <w:spacing w:after="0" w:line="250"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 w:lineRule="exact"/>
        <w:rPr>
          <w:rFonts w:ascii="Arial" w:cs="Arial" w:eastAsia="Arial" w:hAnsi="Arial"/>
          <w:sz w:val="18"/>
          <w:szCs w:val="18"/>
          <w:color w:val="auto"/>
        </w:rPr>
      </w:pPr>
    </w:p>
    <w:p>
      <w:pPr>
        <w:ind w:left="424" w:right="380" w:hanging="424"/>
        <w:spacing w:after="0" w:line="265" w:lineRule="auto"/>
        <w:tabs>
          <w:tab w:leader="none" w:pos="4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24" w:right="340" w:hanging="424"/>
        <w:spacing w:after="0" w:line="265" w:lineRule="auto"/>
        <w:tabs>
          <w:tab w:leader="none" w:pos="4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24" w:right="260" w:hanging="424"/>
        <w:spacing w:after="0" w:line="250"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jc w:val="both"/>
        <w:ind w:left="424" w:right="460" w:hanging="424"/>
        <w:spacing w:after="0" w:line="250"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 w:lineRule="exact"/>
        <w:rPr>
          <w:rFonts w:ascii="Arial" w:cs="Arial" w:eastAsia="Arial" w:hAnsi="Arial"/>
          <w:sz w:val="18"/>
          <w:szCs w:val="18"/>
          <w:color w:val="auto"/>
        </w:rPr>
      </w:pPr>
    </w:p>
    <w:p>
      <w:pPr>
        <w:ind w:left="424" w:right="300" w:hanging="424"/>
        <w:spacing w:after="0" w:line="255"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sectPr>
      <w:pgSz w:w="11900" w:h="16930" w:orient="portrait"/>
      <w:cols w:equalWidth="0" w:num="1">
        <w:col w:w="11024"/>
      </w:cols>
      <w:pgMar w:left="436" w:top="121"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decimal"/>
      <w:start w:val="617"/>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lvl w:ilvl="1">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100F59DC"/>
    <w:multiLevelType w:val="hybridMultilevel"/>
    <w:lvl w:ilvl="0">
      <w:lvlJc w:val="left"/>
      <w:lvlText w:val="(%1)"/>
      <w:numFmt w:val="lowerRoman"/>
      <w:start w:val="3"/>
    </w:lvl>
  </w:abstractNum>
  <w:abstractNum w:abstractNumId="38">
    <w:nsid w:val="7FB7E0AA"/>
    <w:multiLevelType w:val="hybridMultilevel"/>
    <w:lvl w:ilvl="0">
      <w:lvlJc w:val="left"/>
      <w:lvlText w:val="(%1)"/>
      <w:numFmt w:val="decimal"/>
      <w:start w:val="2"/>
    </w:lvl>
    <w:lvl w:ilvl="1">
      <w:lvlJc w:val="left"/>
      <w:lvlText w:val="(%2)"/>
      <w:numFmt w:val="lowerRoman"/>
      <w:start w:val="1"/>
    </w:lvl>
  </w:abstractNum>
  <w:abstractNum w:abstractNumId="39">
    <w:nsid w:val="6EB5BD4"/>
    <w:multiLevelType w:val="hybridMultilevel"/>
    <w:lvl w:ilvl="0">
      <w:lvlJc w:val="left"/>
      <w:lvlText w:val="%1"/>
      <w:numFmt w:val="decimal"/>
      <w:start w:val="1"/>
    </w:lvl>
    <w:lvl w:ilvl="1">
      <w:lvlJc w:val="left"/>
      <w:lvlText w:val="(%2)"/>
      <w:numFmt w:val="lowerRoman"/>
      <w:start w:val="2"/>
    </w:lvl>
  </w:abstractNum>
  <w:abstractNum w:abstractNumId="40">
    <w:nsid w:val="6F6DD9AC"/>
    <w:multiLevelType w:val="hybridMultilevel"/>
    <w:lvl w:ilvl="0">
      <w:lvlJc w:val="left"/>
      <w:lvlText w:val="(%1)"/>
      <w:numFmt w:val="decimal"/>
      <w:start w:val="6"/>
    </w:lvl>
    <w:lvl w:ilvl="1">
      <w:lvlJc w:val="left"/>
      <w:lvlText w:val="%2"/>
      <w:numFmt w:val="lowerRoman"/>
      <w:start w:val="1"/>
    </w:lvl>
  </w:abstractNum>
  <w:abstractNum w:abstractNumId="41">
    <w:nsid w:val="94211F2"/>
    <w:multiLevelType w:val="hybridMultilevel"/>
    <w:lvl w:ilvl="0">
      <w:lvlJc w:val="left"/>
      <w:lvlText w:val="1"/>
      <w:numFmt w:val="bullet"/>
      <w:start w:val="1"/>
    </w:lvl>
  </w:abstractNum>
  <w:abstractNum w:abstractNumId="42">
    <w:nsid w:val="885E1B"/>
    <w:multiLevelType w:val="hybridMultilevel"/>
    <w:lvl w:ilvl="0">
      <w:lvlJc w:val="left"/>
      <w:lvlText w:val="(%1)"/>
      <w:numFmt w:val="decimal"/>
      <w:start w:val="1"/>
    </w:lvl>
  </w:abstractNum>
  <w:abstractNum w:abstractNumId="43">
    <w:nsid w:val="76272110"/>
    <w:multiLevelType w:val="hybridMultilevel"/>
    <w:lvl w:ilvl="0">
      <w:lvlJc w:val="left"/>
      <w:lvlText w:val="(%1)"/>
      <w:numFmt w:val="decimal"/>
      <w:start w:val="1"/>
    </w:lvl>
    <w:lvl w:ilvl="1">
      <w:lvlJc w:val="left"/>
      <w:lvlText w:val="(%2)"/>
      <w:numFmt w:val="lowerLetter"/>
      <w:start w:val="1"/>
    </w:lvl>
  </w:abstractNum>
  <w:abstractNum w:abstractNumId="44">
    <w:nsid w:val="4C04A8AF"/>
    <w:multiLevelType w:val="hybridMultilevel"/>
    <w:lvl w:ilvl="0">
      <w:lvlJc w:val="left"/>
      <w:lvlText w:val="(%1)"/>
      <w:numFmt w:val="lowerLetter"/>
      <w:start w:val="12"/>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decimal"/>
      <w:start w:val="2"/>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decimal"/>
      <w:start w:val="3"/>
    </w:lvl>
  </w:abstractNum>
  <w:abstractNum w:abstractNumId="49">
    <w:nsid w:val="68EBC550"/>
    <w:multiLevelType w:val="hybridMultilevel"/>
    <w:lvl w:ilvl="0">
      <w:lvlJc w:val="left"/>
      <w:lvlText w:val="%1"/>
      <w:numFmt w:val="lowerRoman"/>
      <w:start w:val="1"/>
    </w:lvl>
    <w:lvl w:ilvl="1">
      <w:lvlJc w:val="left"/>
      <w:lvlText w:val="(%2)"/>
      <w:numFmt w:val="decimal"/>
      <w:start w:val="1"/>
    </w:lvl>
  </w:abstractNum>
  <w:abstractNum w:abstractNumId="50">
    <w:nsid w:val="2DF6D648"/>
    <w:multiLevelType w:val="hybridMultilevel"/>
    <w:lvl w:ilvl="0">
      <w:lvlJc w:val="left"/>
      <w:lvlText w:val="(%1)"/>
      <w:numFmt w:val="lowerRoman"/>
      <w:start w:val="4"/>
    </w:lvl>
    <w:lvl w:ilvl="1">
      <w:lvlJc w:val="left"/>
      <w:lvlText w:val="(%2)"/>
      <w:numFmt w:val="decimal"/>
      <w:start w:val="2"/>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2"/>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1)"/>
      <w:numFmt w:val="decimal"/>
      <w:start w:val="1"/>
    </w:lvl>
    <w:lvl w:ilvl="1">
      <w:lvlJc w:val="left"/>
      <w:lvlText w:val="(%2)"/>
      <w:numFmt w:val="lowerLetter"/>
      <w:start w:val="1"/>
    </w:lvl>
  </w:abstractNum>
  <w:abstractNum w:abstractNumId="55">
    <w:nsid w:val="CC1016F"/>
    <w:multiLevelType w:val="hybridMultilevel"/>
    <w:lvl w:ilvl="0">
      <w:lvlJc w:val="left"/>
      <w:lvlText w:val="(%1)"/>
      <w:numFmt w:val="lowerLetter"/>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0">
    <w:nsid w:val="49DA307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61">
    <w:nsid w:val="7055A5F5"/>
    <w:multiLevelType w:val="hybridMultilevel"/>
    <w:lvl w:ilvl="0">
      <w:lvlJc w:val="left"/>
      <w:lvlText w:val="(%1)"/>
      <w:numFmt w:val="decimal"/>
      <w:start w:val="4"/>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66">
    <w:nsid w:val="6AA78F7F"/>
    <w:multiLevelType w:val="hybridMultilevel"/>
    <w:lvl w:ilvl="0">
      <w:lvlJc w:val="left"/>
      <w:lvlText w:val="(%1)"/>
      <w:numFmt w:val="decimal"/>
      <w:start w:val="1"/>
    </w:lvl>
  </w:abstractNum>
  <w:abstractNum w:abstractNumId="67">
    <w:nsid w:val="7672BD23"/>
    <w:multiLevelType w:val="hybridMultilevel"/>
    <w:lvl w:ilvl="0">
      <w:lvlJc w:val="left"/>
      <w:lvlText w:val="(%1)"/>
      <w:numFmt w:val="decimal"/>
      <w:start w:val="5"/>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1"/>
    </w:lvl>
    <w:lvl w:ilvl="1">
      <w:lvlJc w:val="left"/>
      <w:lvlText w:val="(%2)"/>
      <w:numFmt w:val="lowerLetter"/>
      <w:start w:val="1"/>
    </w:lvl>
  </w:abstractNum>
  <w:abstractNum w:abstractNumId="71">
    <w:nsid w:val="5F3534A4"/>
    <w:multiLevelType w:val="hybridMultilevel"/>
    <w:lvl w:ilvl="0">
      <w:lvlJc w:val="left"/>
      <w:lvlText w:val="(%1)"/>
      <w:numFmt w:val="decimal"/>
      <w:start w:val="4"/>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2"/>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1)"/>
      <w:numFmt w:val="decimal"/>
      <w:start w:val="4"/>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2"/>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2"/>
      <w:numFmt w:val="bullet"/>
      <w:start w:val="1"/>
    </w:lvl>
  </w:abstractNum>
  <w:abstractNum w:abstractNumId="81">
    <w:nsid w:val="1FBFE8E0"/>
    <w:multiLevelType w:val="hybridMultilevel"/>
    <w:lvl w:ilvl="0">
      <w:lvlJc w:val="left"/>
      <w:lvlText w:val="1"/>
      <w:numFmt w:val="bullet"/>
      <w:start w:val="1"/>
    </w:lvl>
  </w:abstractNum>
  <w:abstractNum w:abstractNumId="82">
    <w:nsid w:val="5092CA79"/>
    <w:multiLevelType w:val="hybridMultilevel"/>
    <w:lvl w:ilvl="0">
      <w:lvlJc w:val="left"/>
      <w:lvlText w:val="(%1)"/>
      <w:numFmt w:val="decimal"/>
      <w:start w:val="1"/>
    </w:lvl>
  </w:abstractNum>
  <w:abstractNum w:abstractNumId="83">
    <w:nsid w:val="1D545C4D"/>
    <w:multiLevelType w:val="hybridMultilevel"/>
    <w:lvl w:ilvl="0">
      <w:lvlJc w:val="left"/>
      <w:lvlText w:val="(%1)"/>
      <w:numFmt w:val="decimal"/>
      <w:start w:val="1"/>
    </w:lvl>
    <w:lvl w:ilvl="1">
      <w:lvlJc w:val="left"/>
      <w:lvlText w:val="(%2)"/>
      <w:numFmt w:val="lowerLetter"/>
      <w:start w:val="1"/>
    </w:lvl>
  </w:abstractNum>
  <w:abstractNum w:abstractNumId="84">
    <w:nsid w:val="59ADEA3D"/>
    <w:multiLevelType w:val="hybridMultilevel"/>
    <w:lvl w:ilvl="0">
      <w:lvlJc w:val="left"/>
      <w:lvlText w:val="(%1)"/>
      <w:numFmt w:val="lowerLetter"/>
      <w:start w:val="12"/>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1)"/>
      <w:numFmt w:val="decimal"/>
      <w:start w:val="2"/>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decimal"/>
      <w:start w:val="3"/>
    </w:lvl>
  </w:abstractNum>
  <w:abstractNum w:abstractNumId="89">
    <w:nsid w:val="51088277"/>
    <w:multiLevelType w:val="hybridMultilevel"/>
    <w:lvl w:ilvl="0">
      <w:lvlJc w:val="left"/>
      <w:lvlText w:val="%1"/>
      <w:numFmt w:val="lowerRoman"/>
      <w:start w:val="1"/>
    </w:lvl>
    <w:lvl w:ilvl="1">
      <w:lvlJc w:val="left"/>
      <w:lvlText w:val="(%2)"/>
      <w:numFmt w:val="decimal"/>
      <w:start w:val="1"/>
    </w:lvl>
  </w:abstractNum>
  <w:abstractNum w:abstractNumId="90">
    <w:nsid w:val="1CA0C5FA"/>
    <w:multiLevelType w:val="hybridMultilevel"/>
    <w:lvl w:ilvl="0">
      <w:lvlJc w:val="left"/>
      <w:lvlText w:val="(%1)"/>
      <w:numFmt w:val="lowerRoman"/>
      <w:start w:val="4"/>
    </w:lvl>
    <w:lvl w:ilvl="1">
      <w:lvlJc w:val="left"/>
      <w:lvlText w:val="(%2)"/>
      <w:numFmt w:val="decimal"/>
      <w:start w:val="2"/>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1)"/>
      <w:numFmt w:val="decimal"/>
      <w:start w:val="2"/>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1)"/>
      <w:numFmt w:val="lowerRoman"/>
      <w:start w:val="2"/>
    </w:lvl>
  </w:abstractNum>
  <w:abstractNum w:abstractNumId="95">
    <w:nsid w:val="45E6D486"/>
    <w:multiLevelType w:val="hybridMultilevel"/>
    <w:lvl w:ilvl="0">
      <w:lvlJc w:val="left"/>
      <w:lvlText w:val="(%1)"/>
      <w:numFmt w:val="decimal"/>
      <w:start w:val="1"/>
    </w:lvl>
    <w:lvl w:ilvl="1">
      <w:lvlJc w:val="left"/>
      <w:lvlText w:val="(%2)"/>
      <w:numFmt w:val="lowerLetter"/>
      <w:start w:val="1"/>
    </w:lvl>
  </w:abstractNum>
  <w:abstractNum w:abstractNumId="96">
    <w:nsid w:val="5C10FE21"/>
    <w:multiLevelType w:val="hybridMultilevel"/>
    <w:lvl w:ilvl="0">
      <w:lvlJc w:val="left"/>
      <w:lvlText w:val="(%1)"/>
      <w:numFmt w:val="decimal"/>
      <w:start w:val="3"/>
    </w:lvl>
  </w:abstractNum>
  <w:abstractNum w:abstractNumId="97">
    <w:nsid w:val="E7FFA2B"/>
    <w:multiLevelType w:val="hybridMultilevel"/>
    <w:lvl w:ilvl="0">
      <w:lvlJc w:val="left"/>
      <w:lvlText w:val="(%1)"/>
      <w:numFmt w:val="decimal"/>
      <w:start w:val="1"/>
    </w:lvl>
  </w:abstractNum>
  <w:abstractNum w:abstractNumId="98">
    <w:nsid w:val="3C5991AA"/>
    <w:multiLevelType w:val="hybridMultilevel"/>
    <w:lvl w:ilvl="0">
      <w:lvlJc w:val="left"/>
      <w:lvlText w:val="(%1)"/>
      <w:numFmt w:val="decimal"/>
      <w:start w:val="1"/>
    </w:lvl>
  </w:abstractNum>
  <w:abstractNum w:abstractNumId="99">
    <w:nsid w:val="4BD8591A"/>
    <w:multiLevelType w:val="hybridMultilevel"/>
    <w:lvl w:ilvl="0">
      <w:lvlJc w:val="left"/>
      <w:lvlText w:val="%1"/>
      <w:numFmt w:val="decimal"/>
      <w:start w:val="1"/>
    </w:lvl>
    <w:lvl w:ilvl="1">
      <w:lvlJc w:val="left"/>
      <w:lvlText w:val="(%2)"/>
      <w:numFmt w:val="decimal"/>
      <w:start w:val="1"/>
    </w:lvl>
  </w:abstractNum>
  <w:abstractNum w:abstractNumId="100">
    <w:nsid w:val="78DF6A55"/>
    <w:multiLevelType w:val="hybridMultilevel"/>
    <w:lvl w:ilvl="0">
      <w:lvlJc w:val="left"/>
      <w:lvlText w:val="(%1)"/>
      <w:numFmt w:val="decimal"/>
      <w:start w:val="3"/>
    </w:lvl>
    <w:lvl w:ilvl="1">
      <w:lvlJc w:val="left"/>
      <w:lvlText w:val="%2"/>
      <w:numFmt w:val="decimal"/>
      <w:start w:val="1"/>
    </w:lvl>
  </w:abstractNum>
  <w:abstractNum w:abstractNumId="101">
    <w:nsid w:val="39B7AAA2"/>
    <w:multiLevelType w:val="hybridMultilevel"/>
    <w:lvl w:ilvl="0">
      <w:lvlJc w:val="left"/>
      <w:lvlText w:val="(%1)"/>
      <w:numFmt w:val="decimal"/>
      <w:start w:val="1"/>
    </w:lvl>
    <w:lvl w:ilvl="1">
      <w:lvlJc w:val="left"/>
      <w:lvlText w:val="(%2)"/>
      <w:numFmt w:val="lowerLetter"/>
      <w:start w:val="1"/>
    </w:lvl>
  </w:abstractNum>
  <w:abstractNum w:abstractNumId="102">
    <w:nsid w:val="2B0D8DB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03">
    <w:nsid w:val="6C80EC70"/>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104">
    <w:nsid w:val="379E21B5"/>
    <w:multiLevelType w:val="hybridMultilevel"/>
    <w:lvl w:ilvl="0">
      <w:lvlJc w:val="left"/>
      <w:lvlText w:val="(%1)"/>
      <w:numFmt w:val="decimal"/>
      <w:start w:val="4"/>
    </w:lvl>
  </w:abstractNum>
  <w:abstractNum w:abstractNumId="105">
    <w:nsid w:val="69E373"/>
    <w:multiLevelType w:val="hybridMultilevel"/>
    <w:lvl w:ilvl="0">
      <w:lvlJc w:val="left"/>
      <w:lvlText w:val="(%1)"/>
      <w:numFmt w:val="decimal"/>
      <w:start w:val="1"/>
    </w:lvl>
  </w:abstractNum>
  <w:abstractNum w:abstractNumId="106">
    <w:nsid w:val="2C27173B"/>
    <w:multiLevelType w:val="hybridMultilevel"/>
    <w:lvl w:ilvl="0">
      <w:lvlJc w:val="left"/>
      <w:lvlText w:val="(%1)"/>
      <w:numFmt w:val="decimal"/>
      <w:start w:val="2"/>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09">
    <w:nsid w:val="1DF029D3"/>
    <w:multiLevelType w:val="hybridMultilevel"/>
    <w:lvl w:ilvl="0">
      <w:lvlJc w:val="left"/>
      <w:lvlText w:val="(%1)"/>
      <w:numFmt w:val="lowerLetter"/>
      <w:start w:val="2"/>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decimal"/>
      <w:start w:val="7"/>
    </w:lvl>
  </w:abstractNum>
  <w:abstractNum w:abstractNumId="112">
    <w:nsid w:val="3DB012B3"/>
    <w:multiLevelType w:val="hybridMultilevel"/>
    <w:lvl w:ilvl="0">
      <w:lvlJc w:val="left"/>
      <w:lvlText w:val="(%1)"/>
      <w:numFmt w:val="decimal"/>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lvl w:ilvl="1">
      <w:lvlJc w:val="left"/>
      <w:lvlText w:val="(%2)"/>
      <w:numFmt w:val="lowerLetter"/>
      <w:start w:val="1"/>
    </w:lvl>
  </w:abstractNum>
  <w:abstractNum w:abstractNumId="115">
    <w:nsid w:val="175DFCF0"/>
    <w:multiLevelType w:val="hybridMultilevel"/>
    <w:lvl w:ilvl="0">
      <w:lvlJc w:val="left"/>
      <w:lvlText w:val="(%1)"/>
      <w:numFmt w:val="decimal"/>
      <w:start w:val="3"/>
    </w:lvl>
  </w:abstractNum>
  <w:abstractNum w:abstractNumId="116">
    <w:nsid w:val="4F97E3E4"/>
    <w:multiLevelType w:val="hybridMultilevel"/>
    <w:lvl w:ilvl="0">
      <w:lvlJc w:val="left"/>
      <w:lvlText w:val="(%1)"/>
      <w:numFmt w:val="decimal"/>
      <w:start w:val="5"/>
    </w:lvl>
  </w:abstractNum>
  <w:abstractNum w:abstractNumId="117">
    <w:nsid w:val="53B0A9E"/>
    <w:multiLevelType w:val="hybridMultilevel"/>
    <w:lvl w:ilvl="0">
      <w:lvlJc w:val="left"/>
      <w:lvlText w:val="(%1)"/>
      <w:numFmt w:val="decimal"/>
      <w:start w:val="1"/>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1"/>
    </w:lvl>
  </w:abstractNum>
  <w:abstractNum w:abstractNumId="120">
    <w:nsid w:val="56438D15"/>
    <w:multiLevelType w:val="hybridMultilevel"/>
    <w:lvl w:ilvl="0">
      <w:lvlJc w:val="left"/>
      <w:lvlText w:val="(%1)"/>
      <w:numFmt w:val="lowerLetter"/>
      <w:start w:val="2"/>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decimal"/>
      <w:start w:val="1"/>
    </w:lvl>
  </w:abstractNum>
  <w:abstractNum w:abstractNumId="123">
    <w:nsid w:val="17A1B582"/>
    <w:multiLevelType w:val="hybridMultilevel"/>
    <w:lvl w:ilvl="0">
      <w:lvlJc w:val="left"/>
      <w:lvlText w:val="(%1)"/>
      <w:numFmt w:val="decimal"/>
      <w:start w:val="2"/>
    </w:lvl>
  </w:abstractNum>
  <w:abstractNum w:abstractNumId="124">
    <w:nsid w:val="4DF72E4E"/>
    <w:multiLevelType w:val="hybridMultilevel"/>
    <w:lvl w:ilvl="0">
      <w:lvlJc w:val="left"/>
      <w:lvlText w:val="2"/>
      <w:numFmt w:val="bullet"/>
      <w:start w:val="1"/>
    </w:lvl>
  </w:abstractNum>
  <w:abstractNum w:abstractNumId="125">
    <w:nsid w:val="5046B5A9"/>
    <w:multiLevelType w:val="hybridMultilevel"/>
    <w:lvl w:ilvl="0">
      <w:lvlJc w:val="left"/>
      <w:lvlText w:val="(%1)"/>
      <w:numFmt w:val="lowerRoman"/>
      <w:start w:val="4"/>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decimal"/>
      <w:start w:val="4"/>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jpe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14"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27" Type="http://schemas.openxmlformats.org/officeDocument/2006/relationships/hyperlink" Target="http://www.sec.gov/ix?doc=/Archives/edgar/data/1816736/000095017022003288/gmtx-20211231.htm" TargetMode="External"/><Relationship Id="rId28" Type="http://schemas.openxmlformats.org/officeDocument/2006/relationships/hyperlink" Target="http://www.sec.gov/ix?doc=/Archives/edgar/data/1816736/000095017023011139/iron-20221231.htm" TargetMode="External"/><Relationship Id="rId29" Type="http://schemas.openxmlformats.org/officeDocument/2006/relationships/hyperlink" Target="http://www.sec.gov/ix?doc=/Archives/edgar/data/1816736/000095017022024195/gmtx-20220930.htm" TargetMode="External"/><Relationship Id="rId30" Type="http://schemas.openxmlformats.org/officeDocument/2006/relationships/hyperlink" Target="http://www.sec.gov/ix?doc=/Archives/edgar/data/1816736/000095017023021963/iron-20230331.htm" TargetMode="External"/><Relationship Id="rId31" Type="http://schemas.openxmlformats.org/officeDocument/2006/relationships/hyperlink" Target="http://www.sec.gov/ix?doc=/Archives/edgar/data/1816736/000095017023041594/iron-20230630.htm" TargetMode="External"/><Relationship Id="rId32" Type="http://schemas.openxmlformats.org/officeDocument/2006/relationships/hyperlink" Target="http://www.sec.gov/ix?doc=/Archives/edgar/data/1816736/000095017023061572/iron-20230930.htm" TargetMode="External"/><Relationship Id="rId33" Type="http://schemas.openxmlformats.org/officeDocument/2006/relationships/hyperlink" Target="http://www.sec.gov/ix?doc=/Archives/edgar/data/1816736/000114036122047453/brhc10045896_8k.htm" TargetMode="External"/><Relationship Id="rId34" Type="http://schemas.openxmlformats.org/officeDocument/2006/relationships/hyperlink" Target="http://www.sec.gov/ix?doc=/Archives/edgar/data/1816736/000119312523012530/d447304d8k.htm" TargetMode="External"/><Relationship Id="rId35" Type="http://schemas.openxmlformats.org/officeDocument/2006/relationships/hyperlink" Target="http://www.sec.gov/ix?doc=/Archives/edgar/data/1816736/000119312523015225/d456405d8k.htm" TargetMode="External"/><Relationship Id="rId36" Type="http://schemas.openxmlformats.org/officeDocument/2006/relationships/hyperlink" Target="http://www.sec.gov/ix?doc=/Archives/edgar/data/1816736/000119312523037151/d289637d8k.htm" TargetMode="External"/><Relationship Id="rId37" Type="http://schemas.openxmlformats.org/officeDocument/2006/relationships/hyperlink" Target="http://www.sec.gov/ix?doc=/Archives/edgar/data/1816736/000119312523086710/d463005d8k.htm" TargetMode="External"/><Relationship Id="rId38" Type="http://schemas.openxmlformats.org/officeDocument/2006/relationships/hyperlink" Target="http://www.sec.gov/ix?doc=/Archives/edgar/data/1816736/000119312523164532/d477797d8k.htm" TargetMode="External"/><Relationship Id="rId39" Type="http://schemas.openxmlformats.org/officeDocument/2006/relationships/hyperlink" Target="http://www.sec.gov/ix?doc=/Archives/edgar/data/1816736/000119312523165366/d431921d8k.htm" TargetMode="External"/><Relationship Id="rId40" Type="http://schemas.openxmlformats.org/officeDocument/2006/relationships/hyperlink" Target="http://www.sec.gov/ix?doc=/Archives/edgar/data/1816736/000119312523168460/d481795d8k.htm" TargetMode="External"/><Relationship Id="rId41" Type="http://schemas.openxmlformats.org/officeDocument/2006/relationships/hyperlink" Target="http://www.sec.gov/ix?doc=/Archives/edgar/data/1816736/000119312523247379/d856602d8k.htm" TargetMode="External"/><Relationship Id="rId42" Type="http://schemas.openxmlformats.org/officeDocument/2006/relationships/hyperlink" Target="http://www.sec.gov/ix?doc=/Archives/edgar/data/1816736/000119312523253519/d555586d8k.htm" TargetMode="External"/><Relationship Id="rId43" Type="http://schemas.openxmlformats.org/officeDocument/2006/relationships/hyperlink" Target="http://www.sec.gov/ix?doc=/Archives/edgar/data/1816736/000119312523260418/d561595d8k.htm" TargetMode="External"/><Relationship Id="rId44" Type="http://schemas.openxmlformats.org/officeDocument/2006/relationships/hyperlink" Target="http://www.sec.gov/ix?doc=/Archives/edgar/data/1816736/000119312523268935/d569217d8k.htm" TargetMode="External"/><Relationship Id="rId45" Type="http://schemas.openxmlformats.org/officeDocument/2006/relationships/hyperlink" Target="http://www.sec.gov/Archives/edgar/data/1816736/000121390020021145/ea125295-8a12b_fsdevelop.htm" TargetMode="External"/><Relationship Id="rId46" Type="http://schemas.openxmlformats.org/officeDocument/2006/relationships/hyperlink" Target="http://www.sec.gov/Archives/edgar/data/1816736/000095017022003288/gmtx-ex4_4.htm" TargetMode="External"/><Relationship Id="rId47" Type="http://schemas.openxmlformats.org/officeDocument/2006/relationships/hyperlink" Target="http://www.sec.gov/Archives/edgar/data/1816736/000114036122043943/ny20005172x8_s4a.htm" TargetMode="External"/><Relationship Id="rId109" Type="http://schemas.openxmlformats.org/officeDocument/2006/relationships/hyperlink" Target="http://www.sec.gov/Archives/edgar/data/1816736/000114036122032239/ny20005172x1_s4.htm#tANNEXA" TargetMode="External"/><Relationship Id="rId110" Type="http://schemas.openxmlformats.org/officeDocument/2006/relationships/hyperlink" Target="http://www.sec.gov/Archives/edgar/data/1816736/000121390020034347/fs42020_geminifsdevcorp.htm#T52" TargetMode="External"/><Relationship Id="rId111" Type="http://schemas.openxmlformats.org/officeDocument/2006/relationships/hyperlink" Target="http://www.sec.gov/Archives/edgar/data/1816736/000114036122047453/brhc10045896_ex3-1.htm" TargetMode="External"/><Relationship Id="rId112" Type="http://schemas.openxmlformats.org/officeDocument/2006/relationships/hyperlink" Target="http://www.sec.gov/Archives/edgar/data/1816736/000114036122047453/brhc10045896_ex3-2.htm" TargetMode="External"/><Relationship Id="rId113" Type="http://schemas.openxmlformats.org/officeDocument/2006/relationships/hyperlink" Target="http://www.sec.gov/Archives/edgar/data/1816736/000121390020034347/fs42020_geminifsdevcorp.htm#T53" TargetMode="External"/><Relationship Id="rId115" Type="http://schemas.openxmlformats.org/officeDocument/2006/relationships/hyperlink" Target="http://www.sec.gov/Archives/edgar/data/1816736/000121390021002636/fs42021a5ex4-1_fsdevelop.htm" TargetMode="External"/><Relationship Id="rId116" Type="http://schemas.openxmlformats.org/officeDocument/2006/relationships/hyperlink" Target="http://www.sec.gov/Archives/edgar/data/1816736/000114036122047453/brhc10045896_ex10-1.htm" TargetMode="External"/><Relationship Id="rId117"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2023-11-20T05:22:28Z</dcterms:created>
  <dcterms:modified xsi:type="dcterms:W3CDTF">2023-11-20T05:22:28Z</dcterms:modified>
</cp:coreProperties>
</file>