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Attention: Ommer Chohan, CFO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Atlas Venture, 300 Technology Square, 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Cambridge, MA, 02139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(857) 201-2700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1,084,527.00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1,084,527.00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1,084,527.00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ASSOCIATES X,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1,084,527.00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1,084,527.00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1,084,527.00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Associates X,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1,084,527.00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1,084,527.00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1,084,527.00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Fund XII,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51,000.00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51,000.00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Associates XII,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51,000.00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51,000.00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Associates XII,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51,000.00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51,000.00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592,908.00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592,908.00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592,908.00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Associates Opportunity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592,908.00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592,908.00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592,908.00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Associates Opportunity 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592,908.00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592,908.00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592,908.00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369"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Opportunity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420,549.00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420,549.00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420,549.00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Associates Opportunity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08" w:right="1440" w:bottom="0" w:gutter="0" w:footer="0" w:header="0"/>
          <w:type w:val="continuous"/>
        </w:sectPr>
      </w:pPr>
    </w:p>
    <w:bookmarkStart w:id="9" w:name="page10"/>
    <w:bookmarkEnd w:id="9"/>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420,549.00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420,549.00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420,549.00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3"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Associates Opportunity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420,549.00</w:t>
            </w: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903" w:orient="portrait"/>
          <w:cols w:equalWidth="0" w:num="1">
            <w:col w:w="10099"/>
          </w:cols>
          <w:pgMar w:left="360" w:top="111" w:right="1440" w:bottom="0" w:gutter="0" w:footer="0" w:header="0"/>
          <w:type w:val="continuous"/>
        </w:sectPr>
      </w:pPr>
    </w:p>
    <w:bookmarkStart w:id="10" w:name="page11"/>
    <w:bookmarkEnd w:id="10"/>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420,549.00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420,549.00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321 ARSENAL STREET, SUITE 101, WATERTOWN, MASSACHUSETTS , 02472.</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to Schedule 13D ("Amendment No. 4") is being filed as an amendment to the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relating to common stock, par value $0.0001 per share of Disc Medicine, Inc., a Delaware corporation,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as filed with the Securities and Exchange Commission (the "SEC") on February 16, 2021 (the "Initial Schedule 13D") and later amended on February 14, 2023 ("Amendment No. 1") , September 21, 2023 ("Amendment No. 2") and January 24, 2024 ("Amendment No. 3" and together with the Initial Schedule 13D, Amendment No. 1 and Amendment No. 2 the "Prior Schedule 13D"). All capitalized terms not otherwise defined herein shall have the meanings ascribed to the terms in the Prior Schedule 13D. The Prior Schedule 13D is hereby amended and supplemented as follows and, except as expressly amended below, the Prior Schedule 13D remains in full force and</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effect.</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hanging="912"/>
        <w:spacing w:after="0" w:line="243" w:lineRule="auto"/>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hereof, Atlas X is the record owner of 1,084,527 shares of Common Stock. AVA X LP is the general partner of Atlas X and AVA X LLC is the general partner of AVA X LP. Each of Atlas X, AVA X LP and AVA X LLC has shared voting and dispositive power over the shares held by Atlas X. As such, each of Atlas X, AVA X LP and AVA X LLC may be deemed to beneficially own the shares held by Atlas X. As of the date hereof, Atlas XII is the record owner of 51,000 shares of Common Stock. AVA XII LP is the general partner of Atlas XII and AVA XII LLC is the general partner of AVA XII LP. Each of Atlas XII, AVA XII LP and AVA XII LLC has shared voting and dispositive power over the shares held by Atlas XII. As such, each of Atlas XII, AVA XII LP and AVA XII LLC may be deemed to beneficially own the shares held by Atlas XII. As of the date hereof, AVOF is the record owner of 592,908 shares of Common Stock. AVAO LP is the general partner of AVOF and AVAO LLC is the general partner of AVAO LP. Each of AVOF, AVAO LP and AVAO LLC has shared voting and dispositive power over the shares held by AVOF. As such, each of AVOF, AVAO LP and AVAO LLC may be deemed to beneficially own the shares held by AVOF. As of the date hereof, AVOF II is the record owner of 420,549 shares of Common Stock. AVAO II LP is the general partner of AVOF II and AVAO II LLC is the general partner of AVAO II LP. Each of AVOF II, AVAO II LP and AVAO II LLC has shared voting and dispositive power over the shares held by AVOF II. As such, each of AVOF II, AVAO II LP and AVAO II LLC may be deemed to beneficially own the shares held by AVOF II. Each of the Fund X Reporting Persons, Fund XII Reporting Persons, Opportunity Fund Reporting Persons and Opportunity Fund II Reporting Persons may be deemed to beneficially own 3.1%, 0.1%, 1.7% and 1.2%, respectively, of the Issuer's outstanding Common Stock, which percentages are calculated based upon 34,765,581 shares of Common Stock outstanding as of July 31, 2025, as reported in the Issuer's Quarterly Report pursuant to Section 13 or 15(d) of the Securities Exchange Act of 1934 for the quarterly period ended June 30 on Form 10-Q, filed with the Securities and Exchange Commission on August 7, 2025. Collectively, the Reporting Persons beneficially own an aggregate of 2,148,984 shares of Common Stock, which represents an estimated 6.2% of the Issuer's outstanding Common Stock.</w:t>
      </w:r>
    </w:p>
    <w:p>
      <w:pPr>
        <w:sectPr>
          <w:pgSz w:w="11900" w:h="16897" w:orient="portrait"/>
          <w:cols w:equalWidth="0" w:num="1">
            <w:col w:w="11160"/>
          </w:cols>
          <w:pgMar w:left="360" w:top="112" w:right="379" w:bottom="0" w:gutter="0" w:footer="0" w:header="0"/>
        </w:sectPr>
      </w:pPr>
    </w:p>
    <w:bookmarkStart w:id="11" w:name="page12"/>
    <w:bookmarkEnd w:id="11"/>
    <w:p>
      <w:pPr>
        <w:ind w:left="920" w:right="220"/>
        <w:spacing w:after="0" w:line="238" w:lineRule="auto"/>
        <w:rPr>
          <w:sz w:val="20"/>
          <w:szCs w:val="20"/>
          <w:color w:val="auto"/>
        </w:rPr>
      </w:pPr>
      <w:r>
        <w:rPr>
          <w:rFonts w:ascii="Times New Roman" w:cs="Times New Roman" w:eastAsia="Times New Roman" w:hAnsi="Times New Roman"/>
          <w:sz w:val="22"/>
          <w:szCs w:val="22"/>
          <w:color w:val="auto"/>
        </w:rPr>
        <w:t>The Fund X Reporting Persons, Fund XII Reporting Persons, Opportunity Fund Reporting Persons and the Opportunity Fund II Reporting Persons are under common control and as a result, the Reporting Persons may be deemed to be members of a group. However, the Reporting Persons disclaim such group membership, and this Schedule 13D shall not be deemed an admission that the Reporting Persons are members of a group for purposes of Section 13 or for any other purposes.</w:t>
      </w:r>
    </w:p>
    <w:p>
      <w:pPr>
        <w:spacing w:after="0" w:line="15" w:lineRule="exact"/>
        <w:rPr>
          <w:sz w:val="20"/>
          <w:szCs w:val="20"/>
          <w:color w:val="auto"/>
        </w:rPr>
      </w:pPr>
    </w:p>
    <w:p>
      <w:pPr>
        <w:ind w:left="920" w:right="160"/>
        <w:spacing w:after="0" w:line="253" w:lineRule="auto"/>
        <w:rPr>
          <w:sz w:val="20"/>
          <w:szCs w:val="20"/>
          <w:color w:val="auto"/>
        </w:rPr>
      </w:pPr>
      <w:r>
        <w:rPr>
          <w:rFonts w:ascii="Times New Roman" w:cs="Times New Roman" w:eastAsia="Times New Roman" w:hAnsi="Times New Roman"/>
          <w:sz w:val="21"/>
          <w:szCs w:val="21"/>
          <w:color w:val="auto"/>
        </w:rPr>
        <w:t>As of the date hereof, each of Atlas X, AVA X LP and AVA X LLC have shared voting power and shared dispositive power over 1,084,527 shares of Common Stock. As of the date hereof, each of Atlas XII, AVA XII LP and AVA XII</w:t>
      </w:r>
    </w:p>
    <w:p>
      <w:pPr>
        <w:spacing w:after="0" w:line="1" w:lineRule="exact"/>
        <w:rPr>
          <w:sz w:val="20"/>
          <w:szCs w:val="20"/>
          <w:color w:val="auto"/>
        </w:rPr>
      </w:pPr>
    </w:p>
    <w:p>
      <w:pPr>
        <w:ind w:left="920" w:right="320" w:hanging="912"/>
        <w:spacing w:after="0" w:line="189"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LLC have shared voting power and shared dispositive power over 51,000 shares of Common Stock. As of the date hereof, each of AVOF, AVAO LP and AVAO LLC have shared voting power and shared dispositive power over 592,908 shares of Common Stock. As of the date hereof, each of AVOF II, AVAO II LP and AVAO II LLC have shared voting power and shared dispositive power over 420,549 shares of Common Stock.</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in the common stock by the Reporting Persons during the past sixty days are set forth in Exhibit 99.1 and are incorporated herein by reference.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Atlas Venture Associates X, L.P., its general</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partner, By: Atlas Venture Associates X, LLC, its</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Ommer Chohan, CFO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ATLAS VENTURE ASSOCIATES X,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Atlas Venture Associates X,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By Ommer Chohan, CFO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Atlas Venture Associates X, LLC</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Ommer Chohan, CFO</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Atlas Venture Fund XII,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Atlas Venture Associates XII, L.P., its general</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Atlas Venture Associates XII, LLC,</w:t>
      </w:r>
    </w:p>
    <w:p>
      <w:pPr>
        <w:ind w:left="6740"/>
        <w:spacing w:after="0"/>
        <w:rPr>
          <w:sz w:val="20"/>
          <w:szCs w:val="20"/>
          <w:color w:val="auto"/>
        </w:rPr>
      </w:pPr>
      <w:r>
        <w:rPr>
          <w:rFonts w:ascii="Times New Roman" w:cs="Times New Roman" w:eastAsia="Times New Roman" w:hAnsi="Times New Roman"/>
          <w:sz w:val="22"/>
          <w:szCs w:val="22"/>
          <w:color w:val="auto"/>
        </w:rPr>
        <w:t>its general partner, By Ommer Chohan, CFO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Atlas Venture Associates XII,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Atlas Venture Associates XII,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Ommer Chohan, CFO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Atlas Venture Associates XII, LLC</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Ommer Chohan, CFO</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22"/>
          <w:szCs w:val="22"/>
          <w:color w:val="auto"/>
        </w:rPr>
        <w:t>Name/Title: By: Atlas Venture Associates Opportunity I, L.P.,</w:t>
      </w:r>
    </w:p>
    <w:p>
      <w:pPr>
        <w:spacing w:after="0" w:line="1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22"/>
          <w:szCs w:val="22"/>
          <w:color w:val="auto"/>
        </w:rPr>
        <w:t>its GP, By: Atlas Venture Associates Opportunity</w:t>
      </w:r>
    </w:p>
    <w:p>
      <w:pPr>
        <w:sectPr>
          <w:pgSz w:w="11900" w:h="16838" w:orient="portrait"/>
          <w:cols w:equalWidth="0" w:num="1">
            <w:col w:w="11140"/>
          </w:cols>
          <w:pgMar w:left="360" w:top="112" w:right="399" w:bottom="0" w:gutter="0" w:footer="0" w:header="0"/>
        </w:sectPr>
      </w:pPr>
    </w:p>
    <w:bookmarkStart w:id="12" w:name="page13"/>
    <w:bookmarkEnd w:id="12"/>
    <w:p>
      <w:pPr>
        <w:ind w:left="5660"/>
        <w:spacing w:after="0"/>
        <w:rPr>
          <w:sz w:val="20"/>
          <w:szCs w:val="20"/>
          <w:color w:val="auto"/>
        </w:rPr>
      </w:pPr>
      <w:r>
        <w:rPr>
          <w:rFonts w:ascii="Times New Roman" w:cs="Times New Roman" w:eastAsia="Times New Roman" w:hAnsi="Times New Roman"/>
          <w:sz w:val="22"/>
          <w:szCs w:val="22"/>
          <w:color w:val="auto"/>
        </w:rPr>
        <w:t>I, LLC, its GP, By Ommer Chohan, CFO</w:t>
      </w:r>
    </w:p>
    <w:p>
      <w:pPr>
        <w:spacing w:after="0" w:line="45"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Atlas Venture Associates Opportunity 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29" w:lineRule="exact"/>
        <w:rPr>
          <w:sz w:val="20"/>
          <w:szCs w:val="20"/>
          <w:color w:val="auto"/>
        </w:rPr>
      </w:pPr>
    </w:p>
    <w:p>
      <w:pPr>
        <w:ind w:left="5660" w:hanging="1093"/>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By: Atlas Venture Associates Opportunity I, LLC, its GP, By Ommer Chohan, CFO</w:t>
      </w:r>
    </w:p>
    <w:p>
      <w:pPr>
        <w:spacing w:after="0" w:line="1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Atlas Venture Associates Opportunity I, LLC</w:t>
      </w:r>
    </w:p>
    <w:p>
      <w:pPr>
        <w:spacing w:after="0" w:line="152" w:lineRule="exact"/>
        <w:rPr>
          <w:sz w:val="20"/>
          <w:szCs w:val="20"/>
          <w:color w:val="auto"/>
        </w:rPr>
      </w:pPr>
    </w:p>
    <w:p>
      <w:pPr>
        <w:ind w:left="212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Name/Title: Ommer Chohan, CFO</w:t>
      </w:r>
    </w:p>
    <w:p>
      <w:pPr>
        <w:spacing w:after="0" w:line="44" w:lineRule="exact"/>
        <w:rPr>
          <w:sz w:val="20"/>
          <w:szCs w:val="20"/>
          <w:color w:val="auto"/>
        </w:rPr>
      </w:pPr>
    </w:p>
    <w:p>
      <w:pPr>
        <w:ind w:left="212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Atlas Venture Opportunity Fund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By: Atlas Venture Associates Opportunity II, L.P.,</w:t>
      </w:r>
    </w:p>
    <w:p>
      <w:pPr>
        <w:spacing w:after="0" w:line="2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its GP, By: Atlas Venture Associates Opportunity</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II, LLC, its GP, By Ommer Chohan, CFO</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Atlas Venture Associates Opportunity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Atlas Venture Associates Opportunity II,</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 its GP, By Ommer Chohan, CFO</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Atlas Venture Associates Opportunity II, LLC</w:t>
      </w:r>
    </w:p>
    <w:p>
      <w:pPr>
        <w:spacing w:after="0" w:line="152" w:lineRule="exact"/>
        <w:rPr>
          <w:sz w:val="20"/>
          <w:szCs w:val="20"/>
          <w:color w:val="auto"/>
        </w:rPr>
      </w:pPr>
    </w:p>
    <w:p>
      <w:pPr>
        <w:ind w:left="212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Name/Title: Ommer Chohan, CFO</w:t>
      </w:r>
    </w:p>
    <w:p>
      <w:pPr>
        <w:spacing w:after="0" w:line="44" w:lineRule="exact"/>
        <w:rPr>
          <w:sz w:val="20"/>
          <w:szCs w:val="20"/>
          <w:color w:val="auto"/>
        </w:rPr>
      </w:pPr>
    </w:p>
    <w:p>
      <w:pPr>
        <w:ind w:left="212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ectPr>
          <w:pgSz w:w="11900" w:h="16838" w:orient="portrait"/>
          <w:cols w:equalWidth="0" w:num="1">
            <w:col w:w="10000"/>
          </w:cols>
          <w:pgMar w:left="1440" w:top="112" w:right="4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7"/>
        </w:trPr>
        <w:tc>
          <w:tcPr>
            <w:tcW w:w="1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96"/>
              </w:rPr>
              <w:t>Exhibit 99.1</w:t>
            </w:r>
          </w:p>
        </w:tc>
      </w:tr>
      <w:tr>
        <w:trPr>
          <w:trHeight w:val="486"/>
        </w:trPr>
        <w:tc>
          <w:tcPr>
            <w:tcW w:w="1180" w:type="dxa"/>
            <w:vAlign w:val="bottom"/>
          </w:tcPr>
          <w:p>
            <w:pPr>
              <w:spacing w:after="0"/>
              <w:rPr>
                <w:sz w:val="24"/>
                <w:szCs w:val="24"/>
                <w:color w:val="auto"/>
              </w:rPr>
            </w:pPr>
          </w:p>
        </w:tc>
        <w:tc>
          <w:tcPr>
            <w:tcW w:w="7700" w:type="dxa"/>
            <w:vAlign w:val="bottom"/>
            <w:gridSpan w:val="4"/>
          </w:tcPr>
          <w:p>
            <w:pPr>
              <w:ind w:left="1820"/>
              <w:spacing w:after="0"/>
              <w:rPr>
                <w:sz w:val="20"/>
                <w:szCs w:val="20"/>
                <w:color w:val="auto"/>
              </w:rPr>
            </w:pPr>
            <w:r>
              <w:rPr>
                <w:rFonts w:ascii="Times New Roman" w:cs="Times New Roman" w:eastAsia="Times New Roman" w:hAnsi="Times New Roman"/>
                <w:sz w:val="22"/>
                <w:szCs w:val="22"/>
                <w:color w:val="auto"/>
              </w:rPr>
              <w:t>Transactions in Common Stock Durning the Past Sixty Days</w:t>
            </w: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9"/>
        </w:trPr>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Reporting</w:t>
            </w:r>
          </w:p>
        </w:tc>
        <w:tc>
          <w:tcPr>
            <w:tcW w:w="2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Nature of the</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Amount of Securities</w:t>
            </w:r>
          </w:p>
        </w:tc>
        <w:tc>
          <w:tcPr>
            <w:tcW w:w="1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Weighted Average</w:t>
            </w:r>
          </w:p>
        </w:tc>
        <w:tc>
          <w:tcPr>
            <w:tcW w:w="1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Date of</w:t>
            </w: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Low Price</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High Price</w:t>
            </w:r>
          </w:p>
        </w:tc>
      </w:tr>
      <w:tr>
        <w:trPr>
          <w:trHeight w:val="234"/>
        </w:trPr>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w:t>
            </w:r>
          </w:p>
        </w:tc>
        <w:tc>
          <w:tcPr>
            <w:tcW w:w="2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Purchased/Sold</w:t>
            </w:r>
          </w:p>
        </w:tc>
        <w:tc>
          <w:tcPr>
            <w:tcW w:w="19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Price ($)</w:t>
            </w:r>
          </w:p>
        </w:tc>
        <w:tc>
          <w:tcPr>
            <w:tcW w:w="1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Purchase/Sale</w:t>
            </w: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11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Atlas X</w:t>
            </w:r>
          </w:p>
        </w:tc>
        <w:tc>
          <w:tcPr>
            <w:tcW w:w="2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 of Common Stock</w:t>
            </w:r>
          </w:p>
        </w:tc>
        <w:tc>
          <w:tcPr>
            <w:tcW w:w="20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1,184</w:t>
            </w:r>
          </w:p>
        </w:tc>
        <w:tc>
          <w:tcPr>
            <w:tcW w:w="19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61.13</w:t>
            </w:r>
          </w:p>
        </w:tc>
        <w:tc>
          <w:tcPr>
            <w:tcW w:w="16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7/18/2025</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60.96</w:t>
            </w:r>
          </w:p>
        </w:tc>
        <w:tc>
          <w:tcPr>
            <w:tcW w:w="1240" w:type="dxa"/>
            <w:vAlign w:val="bottom"/>
          </w:tcPr>
          <w:p>
            <w:pPr>
              <w:jc w:val="center"/>
              <w:ind w:left="29"/>
              <w:spacing w:after="0"/>
              <w:rPr>
                <w:sz w:val="20"/>
                <w:szCs w:val="20"/>
                <w:color w:val="auto"/>
              </w:rPr>
            </w:pPr>
            <w:r>
              <w:rPr>
                <w:rFonts w:ascii="Times New Roman" w:cs="Times New Roman" w:eastAsia="Times New Roman" w:hAnsi="Times New Roman"/>
                <w:sz w:val="18"/>
                <w:szCs w:val="18"/>
                <w:color w:val="auto"/>
                <w:w w:val="98"/>
              </w:rPr>
              <w:t>61.33</w:t>
            </w:r>
          </w:p>
        </w:tc>
      </w:tr>
      <w:tr>
        <w:trPr>
          <w:trHeight w:val="94"/>
        </w:trPr>
        <w:tc>
          <w:tcPr>
            <w:tcW w:w="11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16"/>
        </w:trPr>
        <w:tc>
          <w:tcPr>
            <w:tcW w:w="1180" w:type="dxa"/>
            <w:vAlign w:val="bottom"/>
            <w:shd w:val="clear" w:color="auto" w:fill="DBE5F1"/>
          </w:tcPr>
          <w:p>
            <w:pPr>
              <w:jc w:val="center"/>
              <w:ind w:left="90"/>
              <w:spacing w:after="0"/>
              <w:rPr>
                <w:sz w:val="20"/>
                <w:szCs w:val="20"/>
                <w:color w:val="auto"/>
              </w:rPr>
            </w:pPr>
            <w:r>
              <w:rPr>
                <w:rFonts w:ascii="Times New Roman" w:cs="Times New Roman" w:eastAsia="Times New Roman" w:hAnsi="Times New Roman"/>
                <w:sz w:val="18"/>
                <w:szCs w:val="18"/>
                <w:color w:val="auto"/>
                <w:w w:val="97"/>
              </w:rPr>
              <w:t>AVOF</w:t>
            </w:r>
          </w:p>
        </w:tc>
        <w:tc>
          <w:tcPr>
            <w:tcW w:w="2020" w:type="dxa"/>
            <w:vAlign w:val="bottom"/>
            <w:shd w:val="clear" w:color="auto" w:fill="DBE5F1"/>
          </w:tcPr>
          <w:p>
            <w:pPr>
              <w:ind w:left="280"/>
              <w:spacing w:after="0"/>
              <w:rPr>
                <w:sz w:val="20"/>
                <w:szCs w:val="20"/>
                <w:color w:val="auto"/>
              </w:rPr>
            </w:pPr>
            <w:r>
              <w:rPr>
                <w:rFonts w:ascii="Times New Roman" w:cs="Times New Roman" w:eastAsia="Times New Roman" w:hAnsi="Times New Roman"/>
                <w:sz w:val="18"/>
                <w:szCs w:val="18"/>
                <w:color w:val="auto"/>
              </w:rPr>
              <w:t>Sale of Common Stock</w:t>
            </w:r>
          </w:p>
        </w:tc>
        <w:tc>
          <w:tcPr>
            <w:tcW w:w="2040" w:type="dxa"/>
            <w:vAlign w:val="bottom"/>
            <w:shd w:val="clear" w:color="auto" w:fill="DBE5F1"/>
          </w:tcPr>
          <w:p>
            <w:pPr>
              <w:jc w:val="center"/>
              <w:ind w:left="290"/>
              <w:spacing w:after="0"/>
              <w:rPr>
                <w:sz w:val="20"/>
                <w:szCs w:val="20"/>
                <w:color w:val="auto"/>
              </w:rPr>
            </w:pPr>
            <w:r>
              <w:rPr>
                <w:rFonts w:ascii="Times New Roman" w:cs="Times New Roman" w:eastAsia="Times New Roman" w:hAnsi="Times New Roman"/>
                <w:sz w:val="18"/>
                <w:szCs w:val="18"/>
                <w:color w:val="auto"/>
                <w:w w:val="96"/>
              </w:rPr>
              <w:t>664</w:t>
            </w:r>
          </w:p>
        </w:tc>
        <w:tc>
          <w:tcPr>
            <w:tcW w:w="1980" w:type="dxa"/>
            <w:vAlign w:val="bottom"/>
            <w:shd w:val="clear" w:color="auto" w:fill="DBE5F1"/>
          </w:tcPr>
          <w:p>
            <w:pPr>
              <w:jc w:val="right"/>
              <w:ind w:right="430"/>
              <w:spacing w:after="0"/>
              <w:rPr>
                <w:sz w:val="20"/>
                <w:szCs w:val="20"/>
                <w:color w:val="auto"/>
              </w:rPr>
            </w:pPr>
            <w:r>
              <w:rPr>
                <w:rFonts w:ascii="Times New Roman" w:cs="Times New Roman" w:eastAsia="Times New Roman" w:hAnsi="Times New Roman"/>
                <w:sz w:val="18"/>
                <w:szCs w:val="18"/>
                <w:color w:val="auto"/>
              </w:rPr>
              <w:t>61.13</w:t>
            </w:r>
          </w:p>
        </w:tc>
        <w:tc>
          <w:tcPr>
            <w:tcW w:w="1660" w:type="dxa"/>
            <w:vAlign w:val="bottom"/>
            <w:shd w:val="clear" w:color="auto" w:fill="DBE5F1"/>
          </w:tcPr>
          <w:p>
            <w:pPr>
              <w:jc w:val="center"/>
              <w:ind w:left="290"/>
              <w:spacing w:after="0"/>
              <w:rPr>
                <w:sz w:val="20"/>
                <w:szCs w:val="20"/>
                <w:color w:val="auto"/>
              </w:rPr>
            </w:pPr>
            <w:r>
              <w:rPr>
                <w:rFonts w:ascii="Times New Roman" w:cs="Times New Roman" w:eastAsia="Times New Roman" w:hAnsi="Times New Roman"/>
                <w:sz w:val="18"/>
                <w:szCs w:val="18"/>
                <w:color w:val="auto"/>
                <w:w w:val="98"/>
              </w:rPr>
              <w:t>7/18/2025</w:t>
            </w:r>
          </w:p>
        </w:tc>
        <w:tc>
          <w:tcPr>
            <w:tcW w:w="1120" w:type="dxa"/>
            <w:vAlign w:val="bottom"/>
            <w:shd w:val="clear" w:color="auto" w:fill="DBE5F1"/>
          </w:tcPr>
          <w:p>
            <w:pPr>
              <w:jc w:val="right"/>
              <w:ind w:right="110"/>
              <w:spacing w:after="0"/>
              <w:rPr>
                <w:sz w:val="20"/>
                <w:szCs w:val="20"/>
                <w:color w:val="auto"/>
              </w:rPr>
            </w:pPr>
            <w:r>
              <w:rPr>
                <w:rFonts w:ascii="Times New Roman" w:cs="Times New Roman" w:eastAsia="Times New Roman" w:hAnsi="Times New Roman"/>
                <w:sz w:val="18"/>
                <w:szCs w:val="18"/>
                <w:color w:val="auto"/>
              </w:rPr>
              <w:t>60.96</w:t>
            </w:r>
          </w:p>
        </w:tc>
        <w:tc>
          <w:tcPr>
            <w:tcW w:w="1240" w:type="dxa"/>
            <w:vAlign w:val="bottom"/>
            <w:shd w:val="clear" w:color="auto" w:fill="DBE5F1"/>
          </w:tcPr>
          <w:p>
            <w:pPr>
              <w:jc w:val="center"/>
              <w:ind w:left="29"/>
              <w:spacing w:after="0"/>
              <w:rPr>
                <w:sz w:val="20"/>
                <w:szCs w:val="20"/>
                <w:color w:val="auto"/>
              </w:rPr>
            </w:pPr>
            <w:r>
              <w:rPr>
                <w:rFonts w:ascii="Times New Roman" w:cs="Times New Roman" w:eastAsia="Times New Roman" w:hAnsi="Times New Roman"/>
                <w:sz w:val="18"/>
                <w:szCs w:val="18"/>
                <w:color w:val="auto"/>
                <w:w w:val="98"/>
              </w:rPr>
              <w:t>61.33</w:t>
            </w:r>
          </w:p>
        </w:tc>
      </w:tr>
      <w:tr>
        <w:trPr>
          <w:trHeight w:val="234"/>
        </w:trPr>
        <w:tc>
          <w:tcPr>
            <w:tcW w:w="11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Atlas X</w:t>
            </w:r>
          </w:p>
        </w:tc>
        <w:tc>
          <w:tcPr>
            <w:tcW w:w="2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 of Common Stock</w:t>
            </w:r>
          </w:p>
        </w:tc>
        <w:tc>
          <w:tcPr>
            <w:tcW w:w="20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53,215</w:t>
            </w:r>
          </w:p>
        </w:tc>
        <w:tc>
          <w:tcPr>
            <w:tcW w:w="19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60.97</w:t>
            </w:r>
          </w:p>
        </w:tc>
        <w:tc>
          <w:tcPr>
            <w:tcW w:w="16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7/23/2025</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60.95</w:t>
            </w:r>
          </w:p>
        </w:tc>
        <w:tc>
          <w:tcPr>
            <w:tcW w:w="1240" w:type="dxa"/>
            <w:vAlign w:val="bottom"/>
          </w:tcPr>
          <w:p>
            <w:pPr>
              <w:jc w:val="center"/>
              <w:ind w:left="29"/>
              <w:spacing w:after="0"/>
              <w:rPr>
                <w:sz w:val="20"/>
                <w:szCs w:val="20"/>
                <w:color w:val="auto"/>
              </w:rPr>
            </w:pPr>
            <w:r>
              <w:rPr>
                <w:rFonts w:ascii="Times New Roman" w:cs="Times New Roman" w:eastAsia="Times New Roman" w:hAnsi="Times New Roman"/>
                <w:sz w:val="18"/>
                <w:szCs w:val="18"/>
                <w:color w:val="auto"/>
                <w:w w:val="98"/>
              </w:rPr>
              <w:t>61.10</w:t>
            </w:r>
          </w:p>
        </w:tc>
      </w:tr>
      <w:tr>
        <w:trPr>
          <w:trHeight w:val="76"/>
        </w:trPr>
        <w:tc>
          <w:tcPr>
            <w:tcW w:w="11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216"/>
        </w:trPr>
        <w:tc>
          <w:tcPr>
            <w:tcW w:w="1180" w:type="dxa"/>
            <w:vAlign w:val="bottom"/>
            <w:shd w:val="clear" w:color="auto" w:fill="DBE5F1"/>
          </w:tcPr>
          <w:p>
            <w:pPr>
              <w:jc w:val="center"/>
              <w:ind w:left="90"/>
              <w:spacing w:after="0"/>
              <w:rPr>
                <w:sz w:val="20"/>
                <w:szCs w:val="20"/>
                <w:color w:val="auto"/>
              </w:rPr>
            </w:pPr>
            <w:r>
              <w:rPr>
                <w:rFonts w:ascii="Times New Roman" w:cs="Times New Roman" w:eastAsia="Times New Roman" w:hAnsi="Times New Roman"/>
                <w:sz w:val="18"/>
                <w:szCs w:val="18"/>
                <w:color w:val="auto"/>
                <w:w w:val="97"/>
              </w:rPr>
              <w:t>AVOF</w:t>
            </w:r>
          </w:p>
        </w:tc>
        <w:tc>
          <w:tcPr>
            <w:tcW w:w="2020" w:type="dxa"/>
            <w:vAlign w:val="bottom"/>
            <w:shd w:val="clear" w:color="auto" w:fill="DBE5F1"/>
          </w:tcPr>
          <w:p>
            <w:pPr>
              <w:ind w:left="280"/>
              <w:spacing w:after="0"/>
              <w:rPr>
                <w:sz w:val="20"/>
                <w:szCs w:val="20"/>
                <w:color w:val="auto"/>
              </w:rPr>
            </w:pPr>
            <w:r>
              <w:rPr>
                <w:rFonts w:ascii="Times New Roman" w:cs="Times New Roman" w:eastAsia="Times New Roman" w:hAnsi="Times New Roman"/>
                <w:sz w:val="18"/>
                <w:szCs w:val="18"/>
                <w:color w:val="auto"/>
              </w:rPr>
              <w:t>Sale of Common Stock</w:t>
            </w:r>
          </w:p>
        </w:tc>
        <w:tc>
          <w:tcPr>
            <w:tcW w:w="2040" w:type="dxa"/>
            <w:vAlign w:val="bottom"/>
            <w:shd w:val="clear" w:color="auto" w:fill="DBE5F1"/>
          </w:tcPr>
          <w:p>
            <w:pPr>
              <w:jc w:val="center"/>
              <w:ind w:left="290"/>
              <w:spacing w:after="0"/>
              <w:rPr>
                <w:sz w:val="20"/>
                <w:szCs w:val="20"/>
                <w:color w:val="auto"/>
              </w:rPr>
            </w:pPr>
            <w:r>
              <w:rPr>
                <w:rFonts w:ascii="Times New Roman" w:cs="Times New Roman" w:eastAsia="Times New Roman" w:hAnsi="Times New Roman"/>
                <w:sz w:val="18"/>
                <w:szCs w:val="18"/>
                <w:color w:val="auto"/>
              </w:rPr>
              <w:t>29,837</w:t>
            </w:r>
          </w:p>
        </w:tc>
        <w:tc>
          <w:tcPr>
            <w:tcW w:w="1980" w:type="dxa"/>
            <w:vAlign w:val="bottom"/>
            <w:shd w:val="clear" w:color="auto" w:fill="DBE5F1"/>
          </w:tcPr>
          <w:p>
            <w:pPr>
              <w:jc w:val="right"/>
              <w:ind w:right="430"/>
              <w:spacing w:after="0"/>
              <w:rPr>
                <w:sz w:val="20"/>
                <w:szCs w:val="20"/>
                <w:color w:val="auto"/>
              </w:rPr>
            </w:pPr>
            <w:r>
              <w:rPr>
                <w:rFonts w:ascii="Times New Roman" w:cs="Times New Roman" w:eastAsia="Times New Roman" w:hAnsi="Times New Roman"/>
                <w:sz w:val="18"/>
                <w:szCs w:val="18"/>
                <w:color w:val="auto"/>
              </w:rPr>
              <w:t>60.97</w:t>
            </w:r>
          </w:p>
        </w:tc>
        <w:tc>
          <w:tcPr>
            <w:tcW w:w="1660" w:type="dxa"/>
            <w:vAlign w:val="bottom"/>
            <w:shd w:val="clear" w:color="auto" w:fill="DBE5F1"/>
          </w:tcPr>
          <w:p>
            <w:pPr>
              <w:jc w:val="center"/>
              <w:ind w:left="290"/>
              <w:spacing w:after="0"/>
              <w:rPr>
                <w:sz w:val="20"/>
                <w:szCs w:val="20"/>
                <w:color w:val="auto"/>
              </w:rPr>
            </w:pPr>
            <w:r>
              <w:rPr>
                <w:rFonts w:ascii="Times New Roman" w:cs="Times New Roman" w:eastAsia="Times New Roman" w:hAnsi="Times New Roman"/>
                <w:sz w:val="18"/>
                <w:szCs w:val="18"/>
                <w:color w:val="auto"/>
                <w:w w:val="98"/>
              </w:rPr>
              <w:t>7/23/2025</w:t>
            </w:r>
          </w:p>
        </w:tc>
        <w:tc>
          <w:tcPr>
            <w:tcW w:w="1120" w:type="dxa"/>
            <w:vAlign w:val="bottom"/>
            <w:shd w:val="clear" w:color="auto" w:fill="DBE5F1"/>
          </w:tcPr>
          <w:p>
            <w:pPr>
              <w:jc w:val="right"/>
              <w:ind w:right="110"/>
              <w:spacing w:after="0"/>
              <w:rPr>
                <w:sz w:val="20"/>
                <w:szCs w:val="20"/>
                <w:color w:val="auto"/>
              </w:rPr>
            </w:pPr>
            <w:r>
              <w:rPr>
                <w:rFonts w:ascii="Times New Roman" w:cs="Times New Roman" w:eastAsia="Times New Roman" w:hAnsi="Times New Roman"/>
                <w:sz w:val="18"/>
                <w:szCs w:val="18"/>
                <w:color w:val="auto"/>
              </w:rPr>
              <w:t>60.95</w:t>
            </w:r>
          </w:p>
        </w:tc>
        <w:tc>
          <w:tcPr>
            <w:tcW w:w="1240" w:type="dxa"/>
            <w:vAlign w:val="bottom"/>
            <w:shd w:val="clear" w:color="auto" w:fill="DBE5F1"/>
          </w:tcPr>
          <w:p>
            <w:pPr>
              <w:jc w:val="center"/>
              <w:ind w:left="29"/>
              <w:spacing w:after="0"/>
              <w:rPr>
                <w:sz w:val="20"/>
                <w:szCs w:val="20"/>
                <w:color w:val="auto"/>
              </w:rPr>
            </w:pPr>
            <w:r>
              <w:rPr>
                <w:rFonts w:ascii="Times New Roman" w:cs="Times New Roman" w:eastAsia="Times New Roman" w:hAnsi="Times New Roman"/>
                <w:sz w:val="18"/>
                <w:szCs w:val="18"/>
                <w:color w:val="auto"/>
                <w:w w:val="98"/>
              </w:rPr>
              <w:t>61.10</w:t>
            </w:r>
          </w:p>
        </w:tc>
      </w:tr>
      <w:tr>
        <w:trPr>
          <w:trHeight w:val="216"/>
        </w:trPr>
        <w:tc>
          <w:tcPr>
            <w:tcW w:w="11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Atlas X</w:t>
            </w:r>
          </w:p>
        </w:tc>
        <w:tc>
          <w:tcPr>
            <w:tcW w:w="2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 of Common Stock</w:t>
            </w:r>
          </w:p>
        </w:tc>
        <w:tc>
          <w:tcPr>
            <w:tcW w:w="20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23,245</w:t>
            </w:r>
          </w:p>
        </w:tc>
        <w:tc>
          <w:tcPr>
            <w:tcW w:w="19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61.17</w:t>
            </w:r>
          </w:p>
        </w:tc>
        <w:tc>
          <w:tcPr>
            <w:tcW w:w="16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7/24/2025</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60.95</w:t>
            </w:r>
          </w:p>
        </w:tc>
        <w:tc>
          <w:tcPr>
            <w:tcW w:w="1240" w:type="dxa"/>
            <w:vAlign w:val="bottom"/>
          </w:tcPr>
          <w:p>
            <w:pPr>
              <w:jc w:val="center"/>
              <w:ind w:left="29"/>
              <w:spacing w:after="0"/>
              <w:rPr>
                <w:sz w:val="20"/>
                <w:szCs w:val="20"/>
                <w:color w:val="auto"/>
              </w:rPr>
            </w:pPr>
            <w:r>
              <w:rPr>
                <w:rFonts w:ascii="Times New Roman" w:cs="Times New Roman" w:eastAsia="Times New Roman" w:hAnsi="Times New Roman"/>
                <w:sz w:val="18"/>
                <w:szCs w:val="18"/>
                <w:color w:val="auto"/>
                <w:w w:val="98"/>
              </w:rPr>
              <w:t>61.55</w:t>
            </w:r>
          </w:p>
        </w:tc>
      </w:tr>
      <w:tr>
        <w:trPr>
          <w:trHeight w:val="216"/>
        </w:trPr>
        <w:tc>
          <w:tcPr>
            <w:tcW w:w="1180" w:type="dxa"/>
            <w:vAlign w:val="bottom"/>
            <w:shd w:val="clear" w:color="auto" w:fill="DBE5F1"/>
          </w:tcPr>
          <w:p>
            <w:pPr>
              <w:jc w:val="center"/>
              <w:ind w:left="90"/>
              <w:spacing w:after="0"/>
              <w:rPr>
                <w:sz w:val="20"/>
                <w:szCs w:val="20"/>
                <w:color w:val="auto"/>
              </w:rPr>
            </w:pPr>
            <w:r>
              <w:rPr>
                <w:rFonts w:ascii="Times New Roman" w:cs="Times New Roman" w:eastAsia="Times New Roman" w:hAnsi="Times New Roman"/>
                <w:sz w:val="18"/>
                <w:szCs w:val="18"/>
                <w:color w:val="auto"/>
                <w:w w:val="97"/>
              </w:rPr>
              <w:t>AVOF</w:t>
            </w:r>
          </w:p>
        </w:tc>
        <w:tc>
          <w:tcPr>
            <w:tcW w:w="2020" w:type="dxa"/>
            <w:vAlign w:val="bottom"/>
            <w:shd w:val="clear" w:color="auto" w:fill="DBE5F1"/>
          </w:tcPr>
          <w:p>
            <w:pPr>
              <w:ind w:left="280"/>
              <w:spacing w:after="0"/>
              <w:rPr>
                <w:sz w:val="20"/>
                <w:szCs w:val="20"/>
                <w:color w:val="auto"/>
              </w:rPr>
            </w:pPr>
            <w:r>
              <w:rPr>
                <w:rFonts w:ascii="Times New Roman" w:cs="Times New Roman" w:eastAsia="Times New Roman" w:hAnsi="Times New Roman"/>
                <w:sz w:val="18"/>
                <w:szCs w:val="18"/>
                <w:color w:val="auto"/>
              </w:rPr>
              <w:t>Sale of Common Stock</w:t>
            </w:r>
          </w:p>
        </w:tc>
        <w:tc>
          <w:tcPr>
            <w:tcW w:w="2040" w:type="dxa"/>
            <w:vAlign w:val="bottom"/>
            <w:shd w:val="clear" w:color="auto" w:fill="DBE5F1"/>
          </w:tcPr>
          <w:p>
            <w:pPr>
              <w:jc w:val="center"/>
              <w:ind w:left="290"/>
              <w:spacing w:after="0"/>
              <w:rPr>
                <w:sz w:val="20"/>
                <w:szCs w:val="20"/>
                <w:color w:val="auto"/>
              </w:rPr>
            </w:pPr>
            <w:r>
              <w:rPr>
                <w:rFonts w:ascii="Times New Roman" w:cs="Times New Roman" w:eastAsia="Times New Roman" w:hAnsi="Times New Roman"/>
                <w:sz w:val="18"/>
                <w:szCs w:val="18"/>
                <w:color w:val="auto"/>
              </w:rPr>
              <w:t>13,033</w:t>
            </w:r>
          </w:p>
        </w:tc>
        <w:tc>
          <w:tcPr>
            <w:tcW w:w="1980" w:type="dxa"/>
            <w:vAlign w:val="bottom"/>
            <w:shd w:val="clear" w:color="auto" w:fill="DBE5F1"/>
          </w:tcPr>
          <w:p>
            <w:pPr>
              <w:jc w:val="right"/>
              <w:ind w:right="430"/>
              <w:spacing w:after="0"/>
              <w:rPr>
                <w:sz w:val="20"/>
                <w:szCs w:val="20"/>
                <w:color w:val="auto"/>
              </w:rPr>
            </w:pPr>
            <w:r>
              <w:rPr>
                <w:rFonts w:ascii="Times New Roman" w:cs="Times New Roman" w:eastAsia="Times New Roman" w:hAnsi="Times New Roman"/>
                <w:sz w:val="18"/>
                <w:szCs w:val="18"/>
                <w:color w:val="auto"/>
              </w:rPr>
              <w:t>61.17</w:t>
            </w:r>
          </w:p>
        </w:tc>
        <w:tc>
          <w:tcPr>
            <w:tcW w:w="1660" w:type="dxa"/>
            <w:vAlign w:val="bottom"/>
            <w:shd w:val="clear" w:color="auto" w:fill="DBE5F1"/>
          </w:tcPr>
          <w:p>
            <w:pPr>
              <w:jc w:val="center"/>
              <w:ind w:left="290"/>
              <w:spacing w:after="0"/>
              <w:rPr>
                <w:sz w:val="20"/>
                <w:szCs w:val="20"/>
                <w:color w:val="auto"/>
              </w:rPr>
            </w:pPr>
            <w:r>
              <w:rPr>
                <w:rFonts w:ascii="Times New Roman" w:cs="Times New Roman" w:eastAsia="Times New Roman" w:hAnsi="Times New Roman"/>
                <w:sz w:val="18"/>
                <w:szCs w:val="18"/>
                <w:color w:val="auto"/>
                <w:w w:val="98"/>
              </w:rPr>
              <w:t>7/24/2025</w:t>
            </w:r>
          </w:p>
        </w:tc>
        <w:tc>
          <w:tcPr>
            <w:tcW w:w="1120" w:type="dxa"/>
            <w:vAlign w:val="bottom"/>
            <w:shd w:val="clear" w:color="auto" w:fill="DBE5F1"/>
          </w:tcPr>
          <w:p>
            <w:pPr>
              <w:jc w:val="right"/>
              <w:ind w:right="110"/>
              <w:spacing w:after="0"/>
              <w:rPr>
                <w:sz w:val="20"/>
                <w:szCs w:val="20"/>
                <w:color w:val="auto"/>
              </w:rPr>
            </w:pPr>
            <w:r>
              <w:rPr>
                <w:rFonts w:ascii="Times New Roman" w:cs="Times New Roman" w:eastAsia="Times New Roman" w:hAnsi="Times New Roman"/>
                <w:sz w:val="18"/>
                <w:szCs w:val="18"/>
                <w:color w:val="auto"/>
              </w:rPr>
              <w:t>60.95</w:t>
            </w:r>
          </w:p>
        </w:tc>
        <w:tc>
          <w:tcPr>
            <w:tcW w:w="1240" w:type="dxa"/>
            <w:vAlign w:val="bottom"/>
            <w:shd w:val="clear" w:color="auto" w:fill="DBE5F1"/>
          </w:tcPr>
          <w:p>
            <w:pPr>
              <w:jc w:val="center"/>
              <w:ind w:left="29"/>
              <w:spacing w:after="0"/>
              <w:rPr>
                <w:sz w:val="20"/>
                <w:szCs w:val="20"/>
                <w:color w:val="auto"/>
              </w:rPr>
            </w:pPr>
            <w:r>
              <w:rPr>
                <w:rFonts w:ascii="Times New Roman" w:cs="Times New Roman" w:eastAsia="Times New Roman" w:hAnsi="Times New Roman"/>
                <w:sz w:val="18"/>
                <w:szCs w:val="18"/>
                <w:color w:val="auto"/>
                <w:w w:val="98"/>
              </w:rPr>
              <w:t>61.55</w:t>
            </w:r>
          </w:p>
        </w:tc>
      </w:tr>
      <w:tr>
        <w:trPr>
          <w:trHeight w:val="234"/>
        </w:trPr>
        <w:tc>
          <w:tcPr>
            <w:tcW w:w="11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Atlas X</w:t>
            </w:r>
          </w:p>
        </w:tc>
        <w:tc>
          <w:tcPr>
            <w:tcW w:w="2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 of Common Stock</w:t>
            </w:r>
          </w:p>
        </w:tc>
        <w:tc>
          <w:tcPr>
            <w:tcW w:w="20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15,146</w:t>
            </w:r>
          </w:p>
        </w:tc>
        <w:tc>
          <w:tcPr>
            <w:tcW w:w="19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61.04</w:t>
            </w:r>
          </w:p>
        </w:tc>
        <w:tc>
          <w:tcPr>
            <w:tcW w:w="16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7/30/2025</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60.95</w:t>
            </w:r>
          </w:p>
        </w:tc>
        <w:tc>
          <w:tcPr>
            <w:tcW w:w="1240" w:type="dxa"/>
            <w:vAlign w:val="bottom"/>
          </w:tcPr>
          <w:p>
            <w:pPr>
              <w:jc w:val="center"/>
              <w:ind w:left="29"/>
              <w:spacing w:after="0"/>
              <w:rPr>
                <w:sz w:val="20"/>
                <w:szCs w:val="20"/>
                <w:color w:val="auto"/>
              </w:rPr>
            </w:pPr>
            <w:r>
              <w:rPr>
                <w:rFonts w:ascii="Times New Roman" w:cs="Times New Roman" w:eastAsia="Times New Roman" w:hAnsi="Times New Roman"/>
                <w:sz w:val="18"/>
                <w:szCs w:val="18"/>
                <w:color w:val="auto"/>
                <w:w w:val="98"/>
              </w:rPr>
              <w:t>61.35</w:t>
            </w:r>
          </w:p>
        </w:tc>
      </w:tr>
      <w:tr>
        <w:trPr>
          <w:trHeight w:val="76"/>
        </w:trPr>
        <w:tc>
          <w:tcPr>
            <w:tcW w:w="11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216"/>
        </w:trPr>
        <w:tc>
          <w:tcPr>
            <w:tcW w:w="1180" w:type="dxa"/>
            <w:vAlign w:val="bottom"/>
            <w:shd w:val="clear" w:color="auto" w:fill="DBE5F1"/>
          </w:tcPr>
          <w:p>
            <w:pPr>
              <w:jc w:val="center"/>
              <w:ind w:left="90"/>
              <w:spacing w:after="0"/>
              <w:rPr>
                <w:sz w:val="20"/>
                <w:szCs w:val="20"/>
                <w:color w:val="auto"/>
              </w:rPr>
            </w:pPr>
            <w:r>
              <w:rPr>
                <w:rFonts w:ascii="Times New Roman" w:cs="Times New Roman" w:eastAsia="Times New Roman" w:hAnsi="Times New Roman"/>
                <w:sz w:val="18"/>
                <w:szCs w:val="18"/>
                <w:color w:val="auto"/>
                <w:w w:val="97"/>
              </w:rPr>
              <w:t>AVOF</w:t>
            </w:r>
          </w:p>
        </w:tc>
        <w:tc>
          <w:tcPr>
            <w:tcW w:w="2020" w:type="dxa"/>
            <w:vAlign w:val="bottom"/>
            <w:shd w:val="clear" w:color="auto" w:fill="DBE5F1"/>
          </w:tcPr>
          <w:p>
            <w:pPr>
              <w:ind w:left="280"/>
              <w:spacing w:after="0"/>
              <w:rPr>
                <w:sz w:val="20"/>
                <w:szCs w:val="20"/>
                <w:color w:val="auto"/>
              </w:rPr>
            </w:pPr>
            <w:r>
              <w:rPr>
                <w:rFonts w:ascii="Times New Roman" w:cs="Times New Roman" w:eastAsia="Times New Roman" w:hAnsi="Times New Roman"/>
                <w:sz w:val="18"/>
                <w:szCs w:val="18"/>
                <w:color w:val="auto"/>
              </w:rPr>
              <w:t>Sale of Common Stock</w:t>
            </w:r>
          </w:p>
        </w:tc>
        <w:tc>
          <w:tcPr>
            <w:tcW w:w="2040" w:type="dxa"/>
            <w:vAlign w:val="bottom"/>
            <w:shd w:val="clear" w:color="auto" w:fill="DBE5F1"/>
          </w:tcPr>
          <w:p>
            <w:pPr>
              <w:jc w:val="center"/>
              <w:ind w:left="290"/>
              <w:spacing w:after="0"/>
              <w:rPr>
                <w:sz w:val="20"/>
                <w:szCs w:val="20"/>
                <w:color w:val="auto"/>
              </w:rPr>
            </w:pPr>
            <w:r>
              <w:rPr>
                <w:rFonts w:ascii="Times New Roman" w:cs="Times New Roman" w:eastAsia="Times New Roman" w:hAnsi="Times New Roman"/>
                <w:sz w:val="18"/>
                <w:szCs w:val="18"/>
                <w:color w:val="auto"/>
              </w:rPr>
              <w:t>8,492</w:t>
            </w:r>
          </w:p>
        </w:tc>
        <w:tc>
          <w:tcPr>
            <w:tcW w:w="1980" w:type="dxa"/>
            <w:vAlign w:val="bottom"/>
            <w:shd w:val="clear" w:color="auto" w:fill="DBE5F1"/>
          </w:tcPr>
          <w:p>
            <w:pPr>
              <w:jc w:val="right"/>
              <w:ind w:right="430"/>
              <w:spacing w:after="0"/>
              <w:rPr>
                <w:sz w:val="20"/>
                <w:szCs w:val="20"/>
                <w:color w:val="auto"/>
              </w:rPr>
            </w:pPr>
            <w:r>
              <w:rPr>
                <w:rFonts w:ascii="Times New Roman" w:cs="Times New Roman" w:eastAsia="Times New Roman" w:hAnsi="Times New Roman"/>
                <w:sz w:val="18"/>
                <w:szCs w:val="18"/>
                <w:color w:val="auto"/>
              </w:rPr>
              <w:t>61.04</w:t>
            </w:r>
          </w:p>
        </w:tc>
        <w:tc>
          <w:tcPr>
            <w:tcW w:w="1660" w:type="dxa"/>
            <w:vAlign w:val="bottom"/>
            <w:shd w:val="clear" w:color="auto" w:fill="DBE5F1"/>
          </w:tcPr>
          <w:p>
            <w:pPr>
              <w:jc w:val="center"/>
              <w:ind w:left="290"/>
              <w:spacing w:after="0"/>
              <w:rPr>
                <w:sz w:val="20"/>
                <w:szCs w:val="20"/>
                <w:color w:val="auto"/>
              </w:rPr>
            </w:pPr>
            <w:r>
              <w:rPr>
                <w:rFonts w:ascii="Times New Roman" w:cs="Times New Roman" w:eastAsia="Times New Roman" w:hAnsi="Times New Roman"/>
                <w:sz w:val="18"/>
                <w:szCs w:val="18"/>
                <w:color w:val="auto"/>
                <w:w w:val="98"/>
              </w:rPr>
              <w:t>7/30/2025</w:t>
            </w:r>
          </w:p>
        </w:tc>
        <w:tc>
          <w:tcPr>
            <w:tcW w:w="1120" w:type="dxa"/>
            <w:vAlign w:val="bottom"/>
            <w:shd w:val="clear" w:color="auto" w:fill="DBE5F1"/>
          </w:tcPr>
          <w:p>
            <w:pPr>
              <w:jc w:val="right"/>
              <w:ind w:right="110"/>
              <w:spacing w:after="0"/>
              <w:rPr>
                <w:sz w:val="20"/>
                <w:szCs w:val="20"/>
                <w:color w:val="auto"/>
              </w:rPr>
            </w:pPr>
            <w:r>
              <w:rPr>
                <w:rFonts w:ascii="Times New Roman" w:cs="Times New Roman" w:eastAsia="Times New Roman" w:hAnsi="Times New Roman"/>
                <w:sz w:val="18"/>
                <w:szCs w:val="18"/>
                <w:color w:val="auto"/>
              </w:rPr>
              <w:t>60.95</w:t>
            </w:r>
          </w:p>
        </w:tc>
        <w:tc>
          <w:tcPr>
            <w:tcW w:w="1240" w:type="dxa"/>
            <w:vAlign w:val="bottom"/>
            <w:shd w:val="clear" w:color="auto" w:fill="DBE5F1"/>
          </w:tcPr>
          <w:p>
            <w:pPr>
              <w:jc w:val="center"/>
              <w:ind w:left="29"/>
              <w:spacing w:after="0"/>
              <w:rPr>
                <w:sz w:val="20"/>
                <w:szCs w:val="20"/>
                <w:color w:val="auto"/>
              </w:rPr>
            </w:pPr>
            <w:r>
              <w:rPr>
                <w:rFonts w:ascii="Times New Roman" w:cs="Times New Roman" w:eastAsia="Times New Roman" w:hAnsi="Times New Roman"/>
                <w:sz w:val="18"/>
                <w:szCs w:val="18"/>
                <w:color w:val="auto"/>
                <w:w w:val="98"/>
              </w:rPr>
              <w:t>61.35</w:t>
            </w:r>
          </w:p>
        </w:tc>
      </w:tr>
      <w:tr>
        <w:trPr>
          <w:trHeight w:val="216"/>
        </w:trPr>
        <w:tc>
          <w:tcPr>
            <w:tcW w:w="11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Atlas X</w:t>
            </w:r>
          </w:p>
        </w:tc>
        <w:tc>
          <w:tcPr>
            <w:tcW w:w="2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 of Common Stock</w:t>
            </w:r>
          </w:p>
        </w:tc>
        <w:tc>
          <w:tcPr>
            <w:tcW w:w="20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705</w:t>
            </w:r>
          </w:p>
        </w:tc>
        <w:tc>
          <w:tcPr>
            <w:tcW w:w="19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60.95</w:t>
            </w:r>
          </w:p>
        </w:tc>
        <w:tc>
          <w:tcPr>
            <w:tcW w:w="16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8/5/2025</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60.95</w:t>
            </w:r>
          </w:p>
        </w:tc>
        <w:tc>
          <w:tcPr>
            <w:tcW w:w="1240" w:type="dxa"/>
            <w:vAlign w:val="bottom"/>
          </w:tcPr>
          <w:p>
            <w:pPr>
              <w:jc w:val="center"/>
              <w:ind w:left="29"/>
              <w:spacing w:after="0"/>
              <w:rPr>
                <w:sz w:val="20"/>
                <w:szCs w:val="20"/>
                <w:color w:val="auto"/>
              </w:rPr>
            </w:pPr>
            <w:r>
              <w:rPr>
                <w:rFonts w:ascii="Times New Roman" w:cs="Times New Roman" w:eastAsia="Times New Roman" w:hAnsi="Times New Roman"/>
                <w:sz w:val="18"/>
                <w:szCs w:val="18"/>
                <w:color w:val="auto"/>
                <w:w w:val="98"/>
              </w:rPr>
              <w:t>60.95</w:t>
            </w:r>
          </w:p>
        </w:tc>
      </w:tr>
      <w:tr>
        <w:trPr>
          <w:trHeight w:val="216"/>
        </w:trPr>
        <w:tc>
          <w:tcPr>
            <w:tcW w:w="1180" w:type="dxa"/>
            <w:vAlign w:val="bottom"/>
            <w:shd w:val="clear" w:color="auto" w:fill="DBE5F1"/>
          </w:tcPr>
          <w:p>
            <w:pPr>
              <w:jc w:val="center"/>
              <w:ind w:left="90"/>
              <w:spacing w:after="0"/>
              <w:rPr>
                <w:sz w:val="20"/>
                <w:szCs w:val="20"/>
                <w:color w:val="auto"/>
              </w:rPr>
            </w:pPr>
            <w:r>
              <w:rPr>
                <w:rFonts w:ascii="Times New Roman" w:cs="Times New Roman" w:eastAsia="Times New Roman" w:hAnsi="Times New Roman"/>
                <w:sz w:val="18"/>
                <w:szCs w:val="18"/>
                <w:color w:val="auto"/>
                <w:w w:val="97"/>
              </w:rPr>
              <w:t>AVOF</w:t>
            </w:r>
          </w:p>
        </w:tc>
        <w:tc>
          <w:tcPr>
            <w:tcW w:w="2020" w:type="dxa"/>
            <w:vAlign w:val="bottom"/>
            <w:shd w:val="clear" w:color="auto" w:fill="DBE5F1"/>
          </w:tcPr>
          <w:p>
            <w:pPr>
              <w:ind w:left="280"/>
              <w:spacing w:after="0"/>
              <w:rPr>
                <w:sz w:val="20"/>
                <w:szCs w:val="20"/>
                <w:color w:val="auto"/>
              </w:rPr>
            </w:pPr>
            <w:r>
              <w:rPr>
                <w:rFonts w:ascii="Times New Roman" w:cs="Times New Roman" w:eastAsia="Times New Roman" w:hAnsi="Times New Roman"/>
                <w:sz w:val="18"/>
                <w:szCs w:val="18"/>
                <w:color w:val="auto"/>
              </w:rPr>
              <w:t>Sale of Common Stock</w:t>
            </w:r>
          </w:p>
        </w:tc>
        <w:tc>
          <w:tcPr>
            <w:tcW w:w="2040" w:type="dxa"/>
            <w:vAlign w:val="bottom"/>
            <w:shd w:val="clear" w:color="auto" w:fill="DBE5F1"/>
          </w:tcPr>
          <w:p>
            <w:pPr>
              <w:jc w:val="center"/>
              <w:ind w:left="290"/>
              <w:spacing w:after="0"/>
              <w:rPr>
                <w:sz w:val="20"/>
                <w:szCs w:val="20"/>
                <w:color w:val="auto"/>
              </w:rPr>
            </w:pPr>
            <w:r>
              <w:rPr>
                <w:rFonts w:ascii="Times New Roman" w:cs="Times New Roman" w:eastAsia="Times New Roman" w:hAnsi="Times New Roman"/>
                <w:sz w:val="18"/>
                <w:szCs w:val="18"/>
                <w:color w:val="auto"/>
                <w:w w:val="96"/>
              </w:rPr>
              <w:t>395</w:t>
            </w:r>
          </w:p>
        </w:tc>
        <w:tc>
          <w:tcPr>
            <w:tcW w:w="1980" w:type="dxa"/>
            <w:vAlign w:val="bottom"/>
            <w:shd w:val="clear" w:color="auto" w:fill="DBE5F1"/>
          </w:tcPr>
          <w:p>
            <w:pPr>
              <w:jc w:val="right"/>
              <w:ind w:right="430"/>
              <w:spacing w:after="0"/>
              <w:rPr>
                <w:sz w:val="20"/>
                <w:szCs w:val="20"/>
                <w:color w:val="auto"/>
              </w:rPr>
            </w:pPr>
            <w:r>
              <w:rPr>
                <w:rFonts w:ascii="Times New Roman" w:cs="Times New Roman" w:eastAsia="Times New Roman" w:hAnsi="Times New Roman"/>
                <w:sz w:val="18"/>
                <w:szCs w:val="18"/>
                <w:color w:val="auto"/>
              </w:rPr>
              <w:t>60.95</w:t>
            </w:r>
          </w:p>
        </w:tc>
        <w:tc>
          <w:tcPr>
            <w:tcW w:w="1660" w:type="dxa"/>
            <w:vAlign w:val="bottom"/>
            <w:shd w:val="clear" w:color="auto" w:fill="DBE5F1"/>
          </w:tcPr>
          <w:p>
            <w:pPr>
              <w:jc w:val="center"/>
              <w:ind w:left="290"/>
              <w:spacing w:after="0"/>
              <w:rPr>
                <w:sz w:val="20"/>
                <w:szCs w:val="20"/>
                <w:color w:val="auto"/>
              </w:rPr>
            </w:pPr>
            <w:r>
              <w:rPr>
                <w:rFonts w:ascii="Times New Roman" w:cs="Times New Roman" w:eastAsia="Times New Roman" w:hAnsi="Times New Roman"/>
                <w:sz w:val="18"/>
                <w:szCs w:val="18"/>
                <w:color w:val="auto"/>
                <w:w w:val="99"/>
              </w:rPr>
              <w:t>8/5/2025</w:t>
            </w:r>
          </w:p>
        </w:tc>
        <w:tc>
          <w:tcPr>
            <w:tcW w:w="1120" w:type="dxa"/>
            <w:vAlign w:val="bottom"/>
            <w:shd w:val="clear" w:color="auto" w:fill="DBE5F1"/>
          </w:tcPr>
          <w:p>
            <w:pPr>
              <w:jc w:val="right"/>
              <w:ind w:right="110"/>
              <w:spacing w:after="0"/>
              <w:rPr>
                <w:sz w:val="20"/>
                <w:szCs w:val="20"/>
                <w:color w:val="auto"/>
              </w:rPr>
            </w:pPr>
            <w:r>
              <w:rPr>
                <w:rFonts w:ascii="Times New Roman" w:cs="Times New Roman" w:eastAsia="Times New Roman" w:hAnsi="Times New Roman"/>
                <w:sz w:val="18"/>
                <w:szCs w:val="18"/>
                <w:color w:val="auto"/>
              </w:rPr>
              <w:t>60.95</w:t>
            </w:r>
          </w:p>
        </w:tc>
        <w:tc>
          <w:tcPr>
            <w:tcW w:w="1240" w:type="dxa"/>
            <w:vAlign w:val="bottom"/>
            <w:shd w:val="clear" w:color="auto" w:fill="DBE5F1"/>
          </w:tcPr>
          <w:p>
            <w:pPr>
              <w:jc w:val="center"/>
              <w:ind w:left="29"/>
              <w:spacing w:after="0"/>
              <w:rPr>
                <w:sz w:val="20"/>
                <w:szCs w:val="20"/>
                <w:color w:val="auto"/>
              </w:rPr>
            </w:pPr>
            <w:r>
              <w:rPr>
                <w:rFonts w:ascii="Times New Roman" w:cs="Times New Roman" w:eastAsia="Times New Roman" w:hAnsi="Times New Roman"/>
                <w:sz w:val="18"/>
                <w:szCs w:val="18"/>
                <w:color w:val="auto"/>
                <w:w w:val="98"/>
              </w:rPr>
              <w:t>60.95</w:t>
            </w:r>
          </w:p>
        </w:tc>
      </w:tr>
      <w:tr>
        <w:trPr>
          <w:trHeight w:val="216"/>
        </w:trPr>
        <w:tc>
          <w:tcPr>
            <w:tcW w:w="11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Atlas X</w:t>
            </w:r>
          </w:p>
        </w:tc>
        <w:tc>
          <w:tcPr>
            <w:tcW w:w="2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 of Common Stock</w:t>
            </w:r>
          </w:p>
        </w:tc>
        <w:tc>
          <w:tcPr>
            <w:tcW w:w="20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44,520</w:t>
            </w:r>
          </w:p>
        </w:tc>
        <w:tc>
          <w:tcPr>
            <w:tcW w:w="19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61.15</w:t>
            </w:r>
          </w:p>
        </w:tc>
        <w:tc>
          <w:tcPr>
            <w:tcW w:w="16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8/13/2025</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60.95</w:t>
            </w:r>
          </w:p>
        </w:tc>
        <w:tc>
          <w:tcPr>
            <w:tcW w:w="1240" w:type="dxa"/>
            <w:vAlign w:val="bottom"/>
          </w:tcPr>
          <w:p>
            <w:pPr>
              <w:jc w:val="center"/>
              <w:ind w:left="29"/>
              <w:spacing w:after="0"/>
              <w:rPr>
                <w:sz w:val="20"/>
                <w:szCs w:val="20"/>
                <w:color w:val="auto"/>
              </w:rPr>
            </w:pPr>
            <w:r>
              <w:rPr>
                <w:rFonts w:ascii="Times New Roman" w:cs="Times New Roman" w:eastAsia="Times New Roman" w:hAnsi="Times New Roman"/>
                <w:sz w:val="18"/>
                <w:szCs w:val="18"/>
                <w:color w:val="auto"/>
                <w:w w:val="96"/>
              </w:rPr>
              <w:t>61.615</w:t>
            </w:r>
          </w:p>
        </w:tc>
      </w:tr>
      <w:tr>
        <w:trPr>
          <w:trHeight w:val="216"/>
        </w:trPr>
        <w:tc>
          <w:tcPr>
            <w:tcW w:w="1180" w:type="dxa"/>
            <w:vAlign w:val="bottom"/>
            <w:shd w:val="clear" w:color="auto" w:fill="DBE5F1"/>
          </w:tcPr>
          <w:p>
            <w:pPr>
              <w:jc w:val="center"/>
              <w:ind w:left="90"/>
              <w:spacing w:after="0"/>
              <w:rPr>
                <w:sz w:val="20"/>
                <w:szCs w:val="20"/>
                <w:color w:val="auto"/>
              </w:rPr>
            </w:pPr>
            <w:r>
              <w:rPr>
                <w:rFonts w:ascii="Times New Roman" w:cs="Times New Roman" w:eastAsia="Times New Roman" w:hAnsi="Times New Roman"/>
                <w:sz w:val="18"/>
                <w:szCs w:val="18"/>
                <w:color w:val="auto"/>
                <w:w w:val="97"/>
              </w:rPr>
              <w:t>AVOF</w:t>
            </w:r>
          </w:p>
        </w:tc>
        <w:tc>
          <w:tcPr>
            <w:tcW w:w="2020" w:type="dxa"/>
            <w:vAlign w:val="bottom"/>
            <w:shd w:val="clear" w:color="auto" w:fill="DBE5F1"/>
          </w:tcPr>
          <w:p>
            <w:pPr>
              <w:ind w:left="280"/>
              <w:spacing w:after="0"/>
              <w:rPr>
                <w:sz w:val="20"/>
                <w:szCs w:val="20"/>
                <w:color w:val="auto"/>
              </w:rPr>
            </w:pPr>
            <w:r>
              <w:rPr>
                <w:rFonts w:ascii="Times New Roman" w:cs="Times New Roman" w:eastAsia="Times New Roman" w:hAnsi="Times New Roman"/>
                <w:sz w:val="18"/>
                <w:szCs w:val="18"/>
                <w:color w:val="auto"/>
              </w:rPr>
              <w:t>Sale of Common Stock</w:t>
            </w:r>
          </w:p>
        </w:tc>
        <w:tc>
          <w:tcPr>
            <w:tcW w:w="2040" w:type="dxa"/>
            <w:vAlign w:val="bottom"/>
            <w:shd w:val="clear" w:color="auto" w:fill="DBE5F1"/>
          </w:tcPr>
          <w:p>
            <w:pPr>
              <w:jc w:val="center"/>
              <w:ind w:left="290"/>
              <w:spacing w:after="0"/>
              <w:rPr>
                <w:sz w:val="20"/>
                <w:szCs w:val="20"/>
                <w:color w:val="auto"/>
              </w:rPr>
            </w:pPr>
            <w:r>
              <w:rPr>
                <w:rFonts w:ascii="Times New Roman" w:cs="Times New Roman" w:eastAsia="Times New Roman" w:hAnsi="Times New Roman"/>
                <w:sz w:val="18"/>
                <w:szCs w:val="18"/>
                <w:color w:val="auto"/>
              </w:rPr>
              <w:t>24,962</w:t>
            </w:r>
          </w:p>
        </w:tc>
        <w:tc>
          <w:tcPr>
            <w:tcW w:w="1980" w:type="dxa"/>
            <w:vAlign w:val="bottom"/>
            <w:shd w:val="clear" w:color="auto" w:fill="DBE5F1"/>
          </w:tcPr>
          <w:p>
            <w:pPr>
              <w:jc w:val="right"/>
              <w:ind w:right="430"/>
              <w:spacing w:after="0"/>
              <w:rPr>
                <w:sz w:val="20"/>
                <w:szCs w:val="20"/>
                <w:color w:val="auto"/>
              </w:rPr>
            </w:pPr>
            <w:r>
              <w:rPr>
                <w:rFonts w:ascii="Times New Roman" w:cs="Times New Roman" w:eastAsia="Times New Roman" w:hAnsi="Times New Roman"/>
                <w:sz w:val="18"/>
                <w:szCs w:val="18"/>
                <w:color w:val="auto"/>
              </w:rPr>
              <w:t>61.15</w:t>
            </w:r>
          </w:p>
        </w:tc>
        <w:tc>
          <w:tcPr>
            <w:tcW w:w="1660" w:type="dxa"/>
            <w:vAlign w:val="bottom"/>
            <w:shd w:val="clear" w:color="auto" w:fill="DBE5F1"/>
          </w:tcPr>
          <w:p>
            <w:pPr>
              <w:jc w:val="center"/>
              <w:ind w:left="290"/>
              <w:spacing w:after="0"/>
              <w:rPr>
                <w:sz w:val="20"/>
                <w:szCs w:val="20"/>
                <w:color w:val="auto"/>
              </w:rPr>
            </w:pPr>
            <w:r>
              <w:rPr>
                <w:rFonts w:ascii="Times New Roman" w:cs="Times New Roman" w:eastAsia="Times New Roman" w:hAnsi="Times New Roman"/>
                <w:sz w:val="18"/>
                <w:szCs w:val="18"/>
                <w:color w:val="auto"/>
                <w:w w:val="98"/>
              </w:rPr>
              <w:t>8/13/2025</w:t>
            </w:r>
          </w:p>
        </w:tc>
        <w:tc>
          <w:tcPr>
            <w:tcW w:w="1120" w:type="dxa"/>
            <w:vAlign w:val="bottom"/>
            <w:shd w:val="clear" w:color="auto" w:fill="DBE5F1"/>
          </w:tcPr>
          <w:p>
            <w:pPr>
              <w:jc w:val="right"/>
              <w:ind w:right="110"/>
              <w:spacing w:after="0"/>
              <w:rPr>
                <w:sz w:val="20"/>
                <w:szCs w:val="20"/>
                <w:color w:val="auto"/>
              </w:rPr>
            </w:pPr>
            <w:r>
              <w:rPr>
                <w:rFonts w:ascii="Times New Roman" w:cs="Times New Roman" w:eastAsia="Times New Roman" w:hAnsi="Times New Roman"/>
                <w:sz w:val="18"/>
                <w:szCs w:val="18"/>
                <w:color w:val="auto"/>
              </w:rPr>
              <w:t>60.95</w:t>
            </w:r>
          </w:p>
        </w:tc>
        <w:tc>
          <w:tcPr>
            <w:tcW w:w="1240" w:type="dxa"/>
            <w:vAlign w:val="bottom"/>
            <w:shd w:val="clear" w:color="auto" w:fill="DBE5F1"/>
          </w:tcPr>
          <w:p>
            <w:pPr>
              <w:jc w:val="center"/>
              <w:ind w:left="29"/>
              <w:spacing w:after="0"/>
              <w:rPr>
                <w:sz w:val="20"/>
                <w:szCs w:val="20"/>
                <w:color w:val="auto"/>
              </w:rPr>
            </w:pPr>
            <w:r>
              <w:rPr>
                <w:rFonts w:ascii="Times New Roman" w:cs="Times New Roman" w:eastAsia="Times New Roman" w:hAnsi="Times New Roman"/>
                <w:sz w:val="18"/>
                <w:szCs w:val="18"/>
                <w:color w:val="auto"/>
                <w:w w:val="96"/>
              </w:rPr>
              <w:t>61.615</w:t>
            </w:r>
          </w:p>
        </w:tc>
      </w:tr>
      <w:tr>
        <w:trPr>
          <w:trHeight w:val="216"/>
        </w:trPr>
        <w:tc>
          <w:tcPr>
            <w:tcW w:w="11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Atlas X</w:t>
            </w:r>
          </w:p>
        </w:tc>
        <w:tc>
          <w:tcPr>
            <w:tcW w:w="2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 of Common Stock</w:t>
            </w:r>
          </w:p>
        </w:tc>
        <w:tc>
          <w:tcPr>
            <w:tcW w:w="20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12,862</w:t>
            </w:r>
          </w:p>
        </w:tc>
        <w:tc>
          <w:tcPr>
            <w:tcW w:w="19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60.99</w:t>
            </w:r>
          </w:p>
        </w:tc>
        <w:tc>
          <w:tcPr>
            <w:tcW w:w="16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8/14/2025</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60.95</w:t>
            </w:r>
          </w:p>
        </w:tc>
        <w:tc>
          <w:tcPr>
            <w:tcW w:w="1240" w:type="dxa"/>
            <w:vAlign w:val="bottom"/>
          </w:tcPr>
          <w:p>
            <w:pPr>
              <w:jc w:val="center"/>
              <w:ind w:left="29"/>
              <w:spacing w:after="0"/>
              <w:rPr>
                <w:sz w:val="20"/>
                <w:szCs w:val="20"/>
                <w:color w:val="auto"/>
              </w:rPr>
            </w:pPr>
            <w:r>
              <w:rPr>
                <w:rFonts w:ascii="Times New Roman" w:cs="Times New Roman" w:eastAsia="Times New Roman" w:hAnsi="Times New Roman"/>
                <w:sz w:val="18"/>
                <w:szCs w:val="18"/>
                <w:color w:val="auto"/>
                <w:w w:val="98"/>
              </w:rPr>
              <w:t>61.11</w:t>
            </w:r>
          </w:p>
        </w:tc>
      </w:tr>
      <w:tr>
        <w:trPr>
          <w:trHeight w:val="216"/>
        </w:trPr>
        <w:tc>
          <w:tcPr>
            <w:tcW w:w="1180" w:type="dxa"/>
            <w:vAlign w:val="bottom"/>
            <w:shd w:val="clear" w:color="auto" w:fill="DBE5F1"/>
          </w:tcPr>
          <w:p>
            <w:pPr>
              <w:jc w:val="center"/>
              <w:ind w:left="90"/>
              <w:spacing w:after="0"/>
              <w:rPr>
                <w:sz w:val="20"/>
                <w:szCs w:val="20"/>
                <w:color w:val="auto"/>
              </w:rPr>
            </w:pPr>
            <w:r>
              <w:rPr>
                <w:rFonts w:ascii="Times New Roman" w:cs="Times New Roman" w:eastAsia="Times New Roman" w:hAnsi="Times New Roman"/>
                <w:sz w:val="18"/>
                <w:szCs w:val="18"/>
                <w:color w:val="auto"/>
                <w:w w:val="97"/>
              </w:rPr>
              <w:t>AVOF</w:t>
            </w:r>
          </w:p>
        </w:tc>
        <w:tc>
          <w:tcPr>
            <w:tcW w:w="2020" w:type="dxa"/>
            <w:vAlign w:val="bottom"/>
            <w:shd w:val="clear" w:color="auto" w:fill="DBE5F1"/>
          </w:tcPr>
          <w:p>
            <w:pPr>
              <w:ind w:left="280"/>
              <w:spacing w:after="0"/>
              <w:rPr>
                <w:sz w:val="20"/>
                <w:szCs w:val="20"/>
                <w:color w:val="auto"/>
              </w:rPr>
            </w:pPr>
            <w:r>
              <w:rPr>
                <w:rFonts w:ascii="Times New Roman" w:cs="Times New Roman" w:eastAsia="Times New Roman" w:hAnsi="Times New Roman"/>
                <w:sz w:val="18"/>
                <w:szCs w:val="18"/>
                <w:color w:val="auto"/>
              </w:rPr>
              <w:t>Sale of Common Stock</w:t>
            </w:r>
          </w:p>
        </w:tc>
        <w:tc>
          <w:tcPr>
            <w:tcW w:w="2040" w:type="dxa"/>
            <w:vAlign w:val="bottom"/>
            <w:shd w:val="clear" w:color="auto" w:fill="DBE5F1"/>
          </w:tcPr>
          <w:p>
            <w:pPr>
              <w:jc w:val="center"/>
              <w:ind w:left="290"/>
              <w:spacing w:after="0"/>
              <w:rPr>
                <w:sz w:val="20"/>
                <w:szCs w:val="20"/>
                <w:color w:val="auto"/>
              </w:rPr>
            </w:pPr>
            <w:r>
              <w:rPr>
                <w:rFonts w:ascii="Times New Roman" w:cs="Times New Roman" w:eastAsia="Times New Roman" w:hAnsi="Times New Roman"/>
                <w:sz w:val="18"/>
                <w:szCs w:val="18"/>
                <w:color w:val="auto"/>
              </w:rPr>
              <w:t>7,212</w:t>
            </w:r>
          </w:p>
        </w:tc>
        <w:tc>
          <w:tcPr>
            <w:tcW w:w="1980" w:type="dxa"/>
            <w:vAlign w:val="bottom"/>
            <w:shd w:val="clear" w:color="auto" w:fill="DBE5F1"/>
          </w:tcPr>
          <w:p>
            <w:pPr>
              <w:jc w:val="right"/>
              <w:ind w:right="430"/>
              <w:spacing w:after="0"/>
              <w:rPr>
                <w:sz w:val="20"/>
                <w:szCs w:val="20"/>
                <w:color w:val="auto"/>
              </w:rPr>
            </w:pPr>
            <w:r>
              <w:rPr>
                <w:rFonts w:ascii="Times New Roman" w:cs="Times New Roman" w:eastAsia="Times New Roman" w:hAnsi="Times New Roman"/>
                <w:sz w:val="18"/>
                <w:szCs w:val="18"/>
                <w:color w:val="auto"/>
              </w:rPr>
              <w:t>60.99</w:t>
            </w:r>
          </w:p>
        </w:tc>
        <w:tc>
          <w:tcPr>
            <w:tcW w:w="1660" w:type="dxa"/>
            <w:vAlign w:val="bottom"/>
            <w:shd w:val="clear" w:color="auto" w:fill="DBE5F1"/>
          </w:tcPr>
          <w:p>
            <w:pPr>
              <w:jc w:val="center"/>
              <w:ind w:left="290"/>
              <w:spacing w:after="0"/>
              <w:rPr>
                <w:sz w:val="20"/>
                <w:szCs w:val="20"/>
                <w:color w:val="auto"/>
              </w:rPr>
            </w:pPr>
            <w:r>
              <w:rPr>
                <w:rFonts w:ascii="Times New Roman" w:cs="Times New Roman" w:eastAsia="Times New Roman" w:hAnsi="Times New Roman"/>
                <w:sz w:val="18"/>
                <w:szCs w:val="18"/>
                <w:color w:val="auto"/>
                <w:w w:val="98"/>
              </w:rPr>
              <w:t>8/14/2025</w:t>
            </w:r>
          </w:p>
        </w:tc>
        <w:tc>
          <w:tcPr>
            <w:tcW w:w="1120" w:type="dxa"/>
            <w:vAlign w:val="bottom"/>
            <w:shd w:val="clear" w:color="auto" w:fill="DBE5F1"/>
          </w:tcPr>
          <w:p>
            <w:pPr>
              <w:jc w:val="right"/>
              <w:ind w:right="110"/>
              <w:spacing w:after="0"/>
              <w:rPr>
                <w:sz w:val="20"/>
                <w:szCs w:val="20"/>
                <w:color w:val="auto"/>
              </w:rPr>
            </w:pPr>
            <w:r>
              <w:rPr>
                <w:rFonts w:ascii="Times New Roman" w:cs="Times New Roman" w:eastAsia="Times New Roman" w:hAnsi="Times New Roman"/>
                <w:sz w:val="18"/>
                <w:szCs w:val="18"/>
                <w:color w:val="auto"/>
              </w:rPr>
              <w:t>60.95</w:t>
            </w:r>
          </w:p>
        </w:tc>
        <w:tc>
          <w:tcPr>
            <w:tcW w:w="1240" w:type="dxa"/>
            <w:vAlign w:val="bottom"/>
            <w:shd w:val="clear" w:color="auto" w:fill="DBE5F1"/>
          </w:tcPr>
          <w:p>
            <w:pPr>
              <w:jc w:val="center"/>
              <w:ind w:left="29"/>
              <w:spacing w:after="0"/>
              <w:rPr>
                <w:sz w:val="20"/>
                <w:szCs w:val="20"/>
                <w:color w:val="auto"/>
              </w:rPr>
            </w:pPr>
            <w:r>
              <w:rPr>
                <w:rFonts w:ascii="Times New Roman" w:cs="Times New Roman" w:eastAsia="Times New Roman" w:hAnsi="Times New Roman"/>
                <w:sz w:val="18"/>
                <w:szCs w:val="18"/>
                <w:color w:val="auto"/>
                <w:w w:val="98"/>
              </w:rPr>
              <w:t>61.11</w:t>
            </w:r>
          </w:p>
        </w:tc>
      </w:tr>
    </w:tbl>
    <w:p>
      <w:pPr>
        <w:sectPr>
          <w:pgSz w:w="11900" w:h="16838" w:orient="portrait"/>
          <w:cols w:equalWidth="0" w:num="1">
            <w:col w:w="11240"/>
          </w:cols>
          <w:pgMar w:left="320" w:top="108"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JOINT FILING AGREEMENT</w:t>
      </w:r>
    </w:p>
    <w:p>
      <w:pPr>
        <w:spacing w:after="0" w:line="262"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Pursuant to Rule 13d-1(k)(1) promulgated pursuant to the Securities Exchange Act of 1934, as amended, the undersigned agree that the attached Schedule 13D is being filed on behalf of each of the undersigned.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15, 2025</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Atlas Venture Fund X, L.P.</w:t>
      </w:r>
    </w:p>
    <w:p>
      <w:pPr>
        <w:spacing w:after="0" w:line="277"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38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X, L.P., its general partner</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38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X, LLC, its general partner</w:t>
            </w:r>
          </w:p>
        </w:tc>
      </w:tr>
      <w:tr>
        <w:trPr>
          <w:trHeight w:val="397"/>
        </w:trPr>
        <w:tc>
          <w:tcPr>
            <w:tcW w:w="46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By: /s/ Ommer Chohan</w:t>
            </w: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44"/>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38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38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59"/>
        </w:trPr>
        <w:tc>
          <w:tcPr>
            <w:tcW w:w="4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Atlas Venture Associates X, L.P.</w:t>
            </w:r>
          </w:p>
        </w:tc>
      </w:tr>
      <w:tr>
        <w:trPr>
          <w:trHeight w:val="45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38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X, LLC, its general partner</w:t>
            </w:r>
          </w:p>
        </w:tc>
      </w:tr>
      <w:tr>
        <w:trPr>
          <w:trHeight w:val="398"/>
        </w:trPr>
        <w:tc>
          <w:tcPr>
            <w:tcW w:w="46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By: /s/ Ommer Chohan</w:t>
            </w: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44"/>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38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38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2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Atlas Venture Associates X, LLC</w:t>
      </w: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Ommer Chohan</w:t>
      </w:r>
    </w:p>
    <w:p>
      <w:pPr>
        <w:spacing w:after="0" w:line="46"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39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45"/>
        </w:trPr>
        <w:tc>
          <w:tcPr>
            <w:tcW w:w="47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Atlas Venture Fund XII, L.P.</w:t>
            </w:r>
          </w:p>
        </w:tc>
      </w:tr>
      <w:tr>
        <w:trPr>
          <w:trHeight w:val="45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XII, L.P., its general partner</w:t>
            </w: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XII, LLC, its general partner</w:t>
            </w:r>
          </w:p>
        </w:tc>
      </w:tr>
      <w:tr>
        <w:trPr>
          <w:trHeight w:val="398"/>
        </w:trPr>
        <w:tc>
          <w:tcPr>
            <w:tcW w:w="4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By: /s/ Ommer Chohan</w:t>
            </w: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44"/>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39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59"/>
        </w:trPr>
        <w:tc>
          <w:tcPr>
            <w:tcW w:w="47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Atlas Venture Associates XII, L.P.</w:t>
            </w:r>
          </w:p>
        </w:tc>
      </w:tr>
      <w:tr>
        <w:trPr>
          <w:trHeight w:val="45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XII, LLC, its general partner</w:t>
            </w:r>
          </w:p>
        </w:tc>
      </w:tr>
      <w:tr>
        <w:trPr>
          <w:trHeight w:val="398"/>
        </w:trPr>
        <w:tc>
          <w:tcPr>
            <w:tcW w:w="4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By: /s/ Ommer Chohan</w:t>
            </w: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44"/>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39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2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Atlas Venture Associates XII, LLC</w:t>
      </w: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Ommer Chohan</w:t>
      </w:r>
    </w:p>
    <w:p>
      <w:pPr>
        <w:spacing w:after="0" w:line="46"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45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689"/>
        </w:trPr>
        <w:tc>
          <w:tcPr>
            <w:tcW w:w="53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Atlas Venture Opportunity Fund I, L.P.</w:t>
            </w:r>
          </w:p>
        </w:tc>
      </w:tr>
      <w:tr>
        <w:trPr>
          <w:trHeight w:val="45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Opportunity I, L.P., its general partner</w:t>
            </w: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Opportunity I, LLC, its general partner</w:t>
            </w:r>
          </w:p>
        </w:tc>
      </w:tr>
      <w:tr>
        <w:trPr>
          <w:trHeight w:val="398"/>
        </w:trPr>
        <w:tc>
          <w:tcPr>
            <w:tcW w:w="53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By: /s/ Ommer Chohan</w:t>
            </w: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44"/>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45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59"/>
        </w:trPr>
        <w:tc>
          <w:tcPr>
            <w:tcW w:w="53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Atlas Venture Associates Opportunity I, L.P.</w:t>
            </w:r>
          </w:p>
        </w:tc>
      </w:tr>
      <w:tr>
        <w:trPr>
          <w:trHeight w:val="45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Opportunity I, LLC, its general partner</w:t>
            </w:r>
          </w:p>
        </w:tc>
      </w:tr>
      <w:tr>
        <w:trPr>
          <w:trHeight w:val="398"/>
        </w:trPr>
        <w:tc>
          <w:tcPr>
            <w:tcW w:w="53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By: /s/ Ommer Chohan</w:t>
            </w: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44"/>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45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38" w:orient="portrait"/>
          <w:cols w:equalWidth="0" w:num="1">
            <w:col w:w="11240"/>
          </w:cols>
          <w:pgMar w:left="320" w:top="124" w:right="339" w:bottom="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Atlas Venture Associates Opportunity I, LLC</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Ommer Chohan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46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4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46"/>
        </w:trPr>
        <w:tc>
          <w:tcPr>
            <w:tcW w:w="54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Atlas Venture Opportunity Fund II, L.P.</w:t>
            </w:r>
          </w:p>
        </w:tc>
      </w:tr>
      <w:tr>
        <w:trPr>
          <w:trHeight w:val="45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4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Opportunity II, L.P., its general partner</w:t>
            </w: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4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Opportunity II, LLC, its general partner</w:t>
            </w:r>
          </w:p>
        </w:tc>
      </w:tr>
      <w:tr>
        <w:trPr>
          <w:trHeight w:val="397"/>
        </w:trPr>
        <w:tc>
          <w:tcPr>
            <w:tcW w:w="54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By: /s/ Ommer Chohan</w:t>
            </w: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44"/>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46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4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59"/>
        </w:trPr>
        <w:tc>
          <w:tcPr>
            <w:tcW w:w="54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Atlas Venture Associates Opportunity II, L.P.</w:t>
            </w:r>
          </w:p>
        </w:tc>
      </w:tr>
      <w:tr>
        <w:trPr>
          <w:trHeight w:val="45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4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Opportunity II, LLC, its general partner</w:t>
            </w:r>
          </w:p>
        </w:tc>
      </w:tr>
      <w:tr>
        <w:trPr>
          <w:trHeight w:val="397"/>
        </w:trPr>
        <w:tc>
          <w:tcPr>
            <w:tcW w:w="54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By: /s/ Ommer Chohan</w:t>
            </w: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44"/>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46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4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Atlas Venture Associates Opportunity II, LLC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Ommer Chohan</w:t>
      </w:r>
    </w:p>
    <w:p>
      <w:pPr>
        <w:sectPr>
          <w:pgSz w:w="11900" w:h="16838" w:orient="portrait"/>
          <w:cols w:equalWidth="0" w:num="1">
            <w:col w:w="9439"/>
          </w:cols>
          <w:pgMar w:left="1020" w:top="124" w:right="1440" w:bottom="1440" w:gutter="0" w:footer="0" w:header="0"/>
        </w:sectPr>
      </w:pP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Ommer Chohan</w:t>
      </w:r>
    </w:p>
    <w:p>
      <w:pPr>
        <w:spacing w:after="0" w:line="46" w:lineRule="exact"/>
        <w:rPr>
          <w:sz w:val="20"/>
          <w:szCs w:val="20"/>
          <w:color w:val="auto"/>
        </w:rPr>
      </w:pPr>
    </w:p>
    <w:p>
      <w:pPr>
        <w:sectPr>
          <w:pgSz w:w="11900" w:h="16838" w:orient="portrait"/>
          <w:cols w:equalWidth="0" w:num="2">
            <w:col w:w="500" w:space="720"/>
            <w:col w:w="8219"/>
          </w:cols>
          <w:pgMar w:left="1020" w:top="124"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Chief Financial Officer</w:t>
      </w:r>
    </w:p>
    <w:sectPr>
      <w:pgSz w:w="11900" w:h="16838" w:orient="portrait"/>
      <w:cols w:equalWidth="0" w:num="2">
        <w:col w:w="460" w:space="720"/>
        <w:col w:w="8259"/>
      </w:cols>
      <w:pgMar w:left="1020" w:top="12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3"/>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2025-08-15T18:22:05Z</dcterms:created>
  <dcterms:modified xsi:type="dcterms:W3CDTF">2025-08-15T18:22:05Z</dcterms:modified>
</cp:coreProperties>
</file>