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February 16, 2021</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GEMINI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133350</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6770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One Kendall Square, 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401-4400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 Meyenburg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300 One Kendall Square, 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401-4400 (Name,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Mitchell S. Bloom,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Laurie A. Burlingame,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134620</wp:posOffset>
            </wp:positionV>
            <wp:extent cx="25031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162"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4800" w:type="dxa"/>
            <w:vAlign w:val="bottom"/>
            <w:gridSpan w:val="7"/>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3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3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20" w:type="dxa"/>
            <w:vAlign w:val="bottom"/>
          </w:tcPr>
          <w:p>
            <w:pPr>
              <w:spacing w:after="0"/>
              <w:rPr>
                <w:sz w:val="18"/>
                <w:szCs w:val="18"/>
                <w:color w:val="auto"/>
              </w:rPr>
            </w:pPr>
          </w:p>
        </w:tc>
        <w:tc>
          <w:tcPr>
            <w:tcW w:w="13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45"/>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 of Securities to be Registered</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Registered(1)</w:t>
            </w:r>
          </w:p>
        </w:tc>
        <w:tc>
          <w:tcPr>
            <w:tcW w:w="120" w:type="dxa"/>
            <w:vAlign w:val="bottom"/>
          </w:tcPr>
          <w:p>
            <w:pPr>
              <w:spacing w:after="0"/>
              <w:rPr>
                <w:sz w:val="21"/>
                <w:szCs w:val="21"/>
                <w:color w:val="auto"/>
              </w:rPr>
            </w:pPr>
          </w:p>
        </w:tc>
        <w:tc>
          <w:tcPr>
            <w:tcW w:w="132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0" w:type="dxa"/>
            <w:vAlign w:val="bottom"/>
          </w:tcPr>
          <w:p>
            <w:pPr>
              <w:spacing w:after="0"/>
              <w:rPr>
                <w:sz w:val="21"/>
                <w:szCs w:val="21"/>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49"/>
        </w:trPr>
        <w:tc>
          <w:tcPr>
            <w:tcW w:w="38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9,506,000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3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118,159,580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12,891.21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w:t>
            </w: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9,506,000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5"/>
              </w:rPr>
              <w:t>(2)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118,159,580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12,891.21</w:t>
            </w:r>
          </w:p>
        </w:tc>
        <w:tc>
          <w:tcPr>
            <w:tcW w:w="200" w:type="dxa"/>
            <w:vAlign w:val="bottom"/>
          </w:tcPr>
          <w:p>
            <w:pPr>
              <w:spacing w:after="0"/>
              <w:rPr>
                <w:sz w:val="20"/>
                <w:szCs w:val="20"/>
                <w:color w:val="auto"/>
              </w:rPr>
            </w:pPr>
          </w:p>
        </w:tc>
      </w:tr>
      <w:tr>
        <w:trPr>
          <w:trHeight w:val="21"/>
        </w:trPr>
        <w:tc>
          <w:tcPr>
            <w:tcW w:w="3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(this “Registration Statement”) also covers an indeterminate number of additional shares of common stock, par value $0.0001 per share (the “Common Stock”) of Gemini Therapeutics, Inc. (the “Registrant”) that may be offered or issued to prevent dilution resulting from share splits, share dividends or similar transactions in accordance with Rule 416 under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9,506,000 shares of Common Stock registered for sale by the selling securityholders named in this Registration Statement.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$12.43 which is the average of the high and low prices of shares of the Registrant’s common stock on The Nasdaq Global Market (“Nasdaq”) on February 12, 2021 (such date being within five business days of the date that this Registration Statement was filed with the U.S. Securities and Exchange Commission (the “SEC”)).</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proposed maximum aggregate offering price of securities to be registered by 0.0001091.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18"/>
          <w:szCs w:val="18"/>
          <w:b w:val="1"/>
          <w:bCs w:val="1"/>
          <w:color w:val="FF0000"/>
        </w:rPr>
        <w:t>Information contained herein is subject to completion or amendment. A registration statement relating to these securities has been filed with the SEC. These securities may not be sold nor may offers to buy be accepted prior to the time the registration statement becomes effective. This prospectus shall not constitute an offer to sell or the solicitation of an offer to buy nor shall there be any sale of these securities in any jurisdiction in which such offer, solicitation or sale would be unlawful.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FEBRUARY 16,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7124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9,506,000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191135</wp:posOffset>
            </wp:positionV>
            <wp:extent cx="2503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or any of their pledgees, donees, assignees and successors-in-interest (“permitted transferees”), of up to an aggregate of 9,506,000 shares of our common stock that were issued to certain investors (collectively, the “PIPE Investors”) in a private placement in connection with the closing of the Business Combination (as defined below). This prospectus also covers any additional securities that may become issuable by reason of share splits, share dividends or other similar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offer and sale of the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“GMTX”. On February 12, 2021, the closing price of our common stock was $12.56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section beginning on page 10 of this prospectus.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The date of this prospectus is</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INTRODUCTORY NOTE AND FREQUENTLY USED TERMS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ABOUT THIS PROSPECTUS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PROSPECTUS SUMMARY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THE OFFERING</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CAUTIONARY NOTE REGARDING FORWARD-LOOKING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MARKET AND INDUSTRY DATA</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USE OF PROCEEDS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DIVIDEND POLICY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SUMMARY UNAUDITED PRO FORMA CONDENSED COMBINED FINANCIAL INFORMATION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BUSINESS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MANAGEMENT’S DISCUSSION AND ANALYSIS OF FINANCIAL CONDITION AND RESULTS OF OPERATIONS OF GEMINI</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CERTAIN RELATIONSHIPS AND RELATED PERSON TRANSACTIONS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MANAGEMENT AFTER THE BUSINESS COMBINATION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EXECUTIVE COMPENSATION OF GEMINI</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DESCRIPTION OF GEMINI’S SECURITIES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SELLING SECURITYHOLDERS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MATERIAL UNITED STATES FEDERAL INCOME TAX CONSIDERATIONS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PLAN OF DISTRIBUTION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ADDITIONAL INFORMATION</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240" w:type="dxa"/>
            <w:vAlign w:val="bottom"/>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WHERE YOU CAN FIND MORE INFORMATION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INDEX TO FINANCIAL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 AND FREQUENTLY USED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5, 2021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FS Development Corporation, a Delaware corporation (“</w:t>
      </w:r>
      <w:r>
        <w:rPr>
          <w:rFonts w:ascii="Times New Roman" w:cs="Times New Roman" w:eastAsia="Times New Roman" w:hAnsi="Times New Roman"/>
          <w:sz w:val="18"/>
          <w:szCs w:val="18"/>
          <w:u w:val="single" w:color="auto"/>
          <w:color w:val="auto"/>
        </w:rPr>
        <w:t>FSDC</w:t>
      </w:r>
      <w:r>
        <w:rPr>
          <w:rFonts w:ascii="Times New Roman" w:cs="Times New Roman" w:eastAsia="Times New Roman" w:hAnsi="Times New Roman"/>
          <w:sz w:val="18"/>
          <w:szCs w:val="18"/>
          <w:color w:val="auto"/>
        </w:rPr>
        <w:t>”), consummated the previously announced business combination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pursuant to the terms of the Agreement and Plan of Merger, dated as of October 15, 2020 (as may be further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Gemini Therapeutics, Inc., a Delaware corporation (“</w:t>
      </w:r>
      <w:r>
        <w:rPr>
          <w:rFonts w:ascii="Times New Roman" w:cs="Times New Roman" w:eastAsia="Times New Roman" w:hAnsi="Times New Roman"/>
          <w:sz w:val="18"/>
          <w:szCs w:val="18"/>
          <w:u w:val="single" w:color="auto"/>
          <w:color w:val="auto"/>
        </w:rPr>
        <w:t>Old Gemini</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FSDC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 and (ii) Old Gemini merged with and into Merger Sub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Old Gemini as the surviving company in the Merger and, after giving effect to such Merger, Old Gemini becoming a wholly-owned subsidiary of Gemini.</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(i) all shares of Old Gemini’s Series B Preferred Stock (including shares of Series B Preferred Stock issued upon conversion of outstanding convertible promissory notes), Series A Preferred Stock and Common Stock (collectively, “</w:t>
      </w:r>
      <w:r>
        <w:rPr>
          <w:rFonts w:ascii="Times New Roman" w:cs="Times New Roman" w:eastAsia="Times New Roman" w:hAnsi="Times New Roman"/>
          <w:sz w:val="18"/>
          <w:szCs w:val="18"/>
          <w:u w:val="single" w:color="auto"/>
          <w:color w:val="auto"/>
        </w:rPr>
        <w:t>Old Gemini Stock</w:t>
      </w:r>
      <w:r>
        <w:rPr>
          <w:rFonts w:ascii="Times New Roman" w:cs="Times New Roman" w:eastAsia="Times New Roman" w:hAnsi="Times New Roman"/>
          <w:sz w:val="18"/>
          <w:szCs w:val="18"/>
          <w:color w:val="auto"/>
        </w:rPr>
        <w:t>”) issued and outstanding immediately prior to the Effective Time, whether vested or unvested, was converted into the right to receive their pro rata portion of the 17,942,274 shares of FSDC Class A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as Merger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“we,” “us,” “our,” and the “Company” refer to Gemini and its consolidated subsidiaries. All references herein to the “Board” refer to the board of directors of Gemini. All references herein to the “Closing” refer to the closing of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the transactions contemplated by the subscription agreements entered into by FSDC and certain investors (the “</w:t>
      </w:r>
      <w:r>
        <w:rPr>
          <w:rFonts w:ascii="Times New Roman" w:cs="Times New Roman" w:eastAsia="Times New Roman" w:hAnsi="Times New Roman"/>
          <w:sz w:val="18"/>
          <w:szCs w:val="18"/>
          <w:u w:val="single" w:color="auto"/>
          <w:color w:val="auto"/>
        </w:rPr>
        <w:t>PIPE Investors</w:t>
      </w:r>
      <w:r>
        <w:rPr>
          <w:rFonts w:ascii="Times New Roman" w:cs="Times New Roman" w:eastAsia="Times New Roman" w:hAnsi="Times New Roman"/>
          <w:sz w:val="18"/>
          <w:szCs w:val="18"/>
          <w:color w:val="auto"/>
        </w:rPr>
        <w:t>”) pursuant to which the PIPE Investors collectively committed to subscribe for, and did subscribe for, an aggregate of 9,506,000 shares of Common Stock for an aggregate purchase price of $95,060,000 (the “</w:t>
      </w:r>
      <w:r>
        <w:rPr>
          <w:rFonts w:ascii="Times New Roman" w:cs="Times New Roman" w:eastAsia="Times New Roman" w:hAnsi="Times New Roman"/>
          <w:sz w:val="18"/>
          <w:szCs w:val="18"/>
          <w:u w:val="single" w:color="auto"/>
          <w:color w:val="auto"/>
        </w:rPr>
        <w:t>PIPE Investment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this document, unless otherwise stated or the context otherwise requires, references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Gemini.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Amended and Restated Bylaws of Gemini.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Amended and Restated Certificate of Incorporation of Gemini.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Gemini following the Closing.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Old Gemini in the aggregate principal amount of $14,000,000, issued on August 21, 2020 to certain Gemini Equityholders pursuant to the Convertible Promissory Note Purchase Agreement dated August 21, 2020 among Old Gemini and such Gemini Equityholders.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2021 Stock Option and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Class B Common Stock held by the FSDC Investors since June 30,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FSDC</w:t>
      </w:r>
      <w:r>
        <w:rPr>
          <w:rFonts w:ascii="Times New Roman" w:cs="Times New Roman" w:eastAsia="Times New Roman" w:hAnsi="Times New Roman"/>
          <w:sz w:val="18"/>
          <w:szCs w:val="18"/>
          <w:color w:val="auto"/>
        </w:rPr>
        <w:t>” means FS Development Corp., our predecessor.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FSDC Investors</w:t>
      </w:r>
      <w:r>
        <w:rPr>
          <w:rFonts w:ascii="Times New Roman" w:cs="Times New Roman" w:eastAsia="Times New Roman" w:hAnsi="Times New Roman"/>
          <w:sz w:val="18"/>
          <w:szCs w:val="18"/>
          <w:color w:val="auto"/>
        </w:rPr>
        <w:t>” means the Sponsor, Robert Carey, Daniel Dubin and Deepka Pakianathan.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FSDC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FSDC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FSDC IPO</w:t>
      </w:r>
      <w:r>
        <w:rPr>
          <w:rFonts w:ascii="Times New Roman" w:cs="Times New Roman" w:eastAsia="Times New Roman" w:hAnsi="Times New Roman"/>
          <w:sz w:val="18"/>
          <w:szCs w:val="18"/>
          <w:color w:val="auto"/>
        </w:rPr>
        <w:t>” means FSDC’s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(f/k/a FS Development Corp.) following the Closing of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Old Gemini as of the time immediately before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Gemini Stock</w:t>
      </w:r>
      <w:r>
        <w:rPr>
          <w:rFonts w:ascii="Times New Roman" w:cs="Times New Roman" w:eastAsia="Times New Roman" w:hAnsi="Times New Roman"/>
          <w:sz w:val="18"/>
          <w:szCs w:val="18"/>
          <w:color w:val="auto"/>
        </w:rPr>
        <w:t>” means, collectively, all shares of Old Gemini’s Series B Preferred Stock, Series A Preferred Stock and Common Stock.</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Gemini Investors</w:t>
      </w:r>
      <w:r>
        <w:rPr>
          <w:rFonts w:ascii="Times New Roman" w:cs="Times New Roman" w:eastAsia="Times New Roman" w:hAnsi="Times New Roman"/>
          <w:sz w:val="18"/>
          <w:szCs w:val="18"/>
          <w:color w:val="auto"/>
        </w:rPr>
        <w:t>” means Atlas Venture Fund X, L.P., Atlas Venture Opportunity Fund I, L.P., Lightstone Singapore L.P., Lightstone Ventures (A), L.P., Lightstone Ventures, L.P., OrbiMed Private Investments VI, LP and Wu Capital Investment LLC.</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FSDC, Merger Sub, Old Gemini and the Shareholders Representative.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Gemini</w:t>
      </w:r>
      <w:r>
        <w:rPr>
          <w:rFonts w:ascii="Times New Roman" w:cs="Times New Roman" w:eastAsia="Times New Roman" w:hAnsi="Times New Roman"/>
          <w:sz w:val="18"/>
          <w:szCs w:val="18"/>
          <w:color w:val="auto"/>
        </w:rPr>
        <w:t>” means Gemini Therapeutics Inc. prior to the Closing of the Business Combination.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Common Stock in a private placement concurrent with the Business Combination.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FSDC Class A Common Stock issued in the FSDC IPO.</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February 5, 2021 by and among Gemini, Old Gemini, the FSDC Investors and the Major Gemini Investors.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using a “shelf” registration process. Under this shelf registration process, we and the Selling Securityholders and their permitted transferees may, from time to time, issue, offer and sell, as applicable, any combination of the securities described in this prospectus in one or more offerings. We may use the shelf registration statement to issue up to an aggregate of 9,506,000 shares of our common stock that were issued to the PIPE Investors in a private placement in connection with the closing of the Business Combination. The Selling Securityholders and their permitted transferees may use the shelf registration statement to sell such securities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common stock being offered and the terms of the offering.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post-effective amendment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93280" cy="6587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280" cy="658749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of Gemini,” “Unaudited Pro Forma Condensed Combined Financial Information” and the financial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(FDA).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38"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93280" cy="693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6939280"/>
                    </a:xfrm>
                    <a:prstGeom prst="rect">
                      <a:avLst/>
                    </a:prstGeom>
                    <a:noFill/>
                  </pic:spPr>
                </pic:pic>
              </a:graphicData>
            </a:graphic>
          </wp:anchor>
        </w:drawing>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summary of our current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4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93280" cy="6450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280" cy="6450330"/>
                    </a:xfrm>
                    <a:prstGeom prst="rect">
                      <a:avLst/>
                    </a:prstGeom>
                    <a:noFill/>
                  </pic:spPr>
                </pic:pic>
              </a:graphicData>
            </a:graphic>
          </wp:anchor>
        </w:drawing>
        <w:t>Our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221" w:lineRule="exact"/>
        <w:rPr>
          <w:sz w:val="20"/>
          <w:szCs w:val="20"/>
          <w:color w:val="auto"/>
        </w:rPr>
      </w:pPr>
    </w:p>
    <w:p>
      <w:pPr>
        <w:jc w:val="both"/>
        <w:ind w:left="660" w:hanging="331"/>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 our differentiated approach focused on complement regulation through the administration of GEM103 will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82"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philosophy is that the best way to identify drug 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79" w:lineRule="exact"/>
        <w:rPr>
          <w:rFonts w:ascii="Times New Roman" w:cs="Times New Roman" w:eastAsia="Times New Roman" w:hAnsi="Times New Roman"/>
          <w:sz w:val="18"/>
          <w:szCs w:val="18"/>
          <w:color w:val="auto"/>
        </w:rPr>
      </w:pPr>
    </w:p>
    <w:p>
      <w:pPr>
        <w:jc w:val="both"/>
        <w:ind w:left="660" w:hanging="331"/>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 ultimately leads to blindness and for which there are no currently approved treatment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84" w:lineRule="exact"/>
        <w:rPr>
          <w:rFonts w:ascii="Times New Roman" w:cs="Times New Roman" w:eastAsia="Times New Roman" w:hAnsi="Times New Roman"/>
          <w:sz w:val="18"/>
          <w:szCs w:val="18"/>
          <w:color w:val="auto"/>
        </w:rPr>
      </w:pPr>
    </w:p>
    <w:p>
      <w:pPr>
        <w:jc w:val="both"/>
        <w:ind w:left="660" w:right="20" w:hanging="331"/>
        <w:spacing w:after="0" w:line="25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38"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93280" cy="6450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280" cy="6450330"/>
                    </a:xfrm>
                    <a:prstGeom prst="rect">
                      <a:avLst/>
                    </a:prstGeom>
                    <a:noFill/>
                  </pic:spPr>
                </pic:pic>
              </a:graphicData>
            </a:graphic>
          </wp:anchor>
        </w:drawing>
        <w:t>We will remain an emerging growth company until the earlier of: (i) the last day of the fiscal year (a) following the fifth anniversary of the closing of the FSDC initial public offering, (b) in which we have total annual gross revenue of at least $1.07 billion, or (c) in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among others:</w:t>
      </w:r>
    </w:p>
    <w:p>
      <w:pPr>
        <w:spacing w:after="0" w:line="158"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225"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225"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54"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54"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70"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225"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42" w:right="339" w:bottom="1440" w:gutter="0" w:footer="0" w:header="0"/>
        </w:sectPr>
      </w:pPr>
    </w:p>
    <w:bookmarkStart w:id="11" w:name="page12"/>
    <w:bookmarkEnd w:id="11"/>
    <w:p>
      <w:pPr>
        <w:ind w:left="660" w:hanging="331"/>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93280" cy="3201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280" cy="3201670"/>
                    </a:xfrm>
                    <a:prstGeom prst="rect">
                      <a:avLst/>
                    </a:prstGeom>
                    <a:noFill/>
                  </pic:spPr>
                </pic:pic>
              </a:graphicData>
            </a:graphic>
          </wp:anchor>
        </w:drawing>
        <w:t>Gemini’s disclosure controls and procedures may not prevent or detect all errors or acts of fraud.</w:t>
      </w:r>
    </w:p>
    <w:p>
      <w:pPr>
        <w:spacing w:after="0" w:line="225" w:lineRule="exact"/>
        <w:rPr>
          <w:rFonts w:ascii="Times New Roman" w:cs="Times New Roman" w:eastAsia="Times New Roman" w:hAnsi="Times New Roman"/>
          <w:sz w:val="18"/>
          <w:szCs w:val="18"/>
          <w:color w:val="auto"/>
        </w:rPr>
      </w:pPr>
    </w:p>
    <w:p>
      <w:pPr>
        <w:jc w:val="both"/>
        <w:ind w:left="66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81"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mailing address for our principal executive office is 300 One Kendall Square,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Cambridge, MA 02139, and our telephone number is 617-401-4400. Our website address is https://geminitherapeutics.com/.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93280" cy="3707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707130"/>
                    </a:xfrm>
                    <a:prstGeom prst="rect">
                      <a:avLst/>
                    </a:prstGeom>
                    <a:noFill/>
                  </pic:spPr>
                </pic:pic>
              </a:graphicData>
            </a:graphic>
          </wp:anchor>
        </w:drawing>
        <w:t>THE OFFERING</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Securities of Gemini.”</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or their permitted transferees, of up to an aggregate of 9,506,000 shares of our common stock that were issued to the PIPE Investors in a private placement in connection with the closing of the Business Combination.</w:t>
      </w:r>
    </w:p>
    <w:p>
      <w:pPr>
        <w:sectPr>
          <w:pgSz w:w="11900" w:h="16838" w:orient="portrait"/>
          <w:cols w:equalWidth="0" w:num="1">
            <w:col w:w="11120"/>
          </w:cols>
          <w:pgMar w:left="440" w:top="1238" w:right="339" w:bottom="1440" w:gutter="0" w:footer="0" w:header="0"/>
        </w:sectPr>
      </w:pP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Securities that may be offered and sold from time to time by the Selling Securityholders named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an aggregate of 9,506,000 held by the Selling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45,301,990 shares of Common Stock as of February 5,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is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“GMTX”.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investment in the Common Stock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prospectus.</w:t>
      </w:r>
    </w:p>
    <w:p>
      <w:pPr>
        <w:spacing w:after="0" w:line="200" w:lineRule="exact"/>
        <w:rPr>
          <w:sz w:val="20"/>
          <w:szCs w:val="20"/>
          <w:color w:val="auto"/>
        </w:rPr>
      </w:pPr>
    </w:p>
    <w:p>
      <w:pPr>
        <w:sectPr>
          <w:pgSz w:w="11900" w:h="16838" w:orient="portrait"/>
          <w:cols w:equalWidth="0" w:num="2">
            <w:col w:w="3000" w:space="340"/>
            <w:col w:w="7780"/>
          </w:cols>
          <w:pgMar w:left="440" w:top="1238" w:right="3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33020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38"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424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1840" cy="6424930"/>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Our forward-looking statements include, but are not limited to, statements regarding our or our management team’s expectations, hopes, beliefs, intentions or strategies regarding the future, including those relating to the Transactions and their expected benefits, Gemini’s performance following the Transactions, the success, cost and timing of Gemini’s product development activities and clinical trials, the potential attributes and benefits of Gemini’s product candidates, Gemini’s ability to obtain and maintain regulatory approval for its product candidates and Gemini’s ability to obtain funding for its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Gemini in this prospectus include, but are not limited to, statements about:</w:t>
      </w:r>
    </w:p>
    <w:p>
      <w:pPr>
        <w:spacing w:after="0" w:line="225" w:lineRule="exact"/>
        <w:rPr>
          <w:sz w:val="20"/>
          <w:szCs w:val="20"/>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161"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225"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161"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225"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14" w:name="page15"/>
    <w:bookmarkEnd w:id="14"/>
    <w:p>
      <w:pPr>
        <w:ind w:left="660" w:hanging="33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3681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1840" cy="3681730"/>
                    </a:xfrm>
                    <a:prstGeom prst="rect">
                      <a:avLst/>
                    </a:prstGeom>
                    <a:noFill/>
                  </pic:spPr>
                </pic:pic>
              </a:graphicData>
            </a:graphic>
          </wp:anchor>
        </w:drawing>
        <w:t>the possibility that Gemini may be adversely impacted by other economic, business, and/or competitive factors;</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223" w:lineRule="exact"/>
        <w:rPr>
          <w:rFonts w:ascii="Times New Roman" w:cs="Times New Roman" w:eastAsia="Times New Roman" w:hAnsi="Times New Roman"/>
          <w:sz w:val="18"/>
          <w:szCs w:val="18"/>
          <w:color w:val="auto"/>
        </w:rPr>
      </w:pPr>
    </w:p>
    <w:p>
      <w:pPr>
        <w:ind w:left="660" w:hanging="334"/>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Gemini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Gemini has conducted an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risks and uncertainties include, but are not limited to, those factors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1212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1840" cy="1212850"/>
                    </a:xfrm>
                    <a:prstGeom prst="rect">
                      <a:avLst/>
                    </a:prstGeom>
                    <a:noFill/>
                  </pic:spPr>
                </pic:pic>
              </a:graphicData>
            </a:graphic>
          </wp:anchor>
        </w:drawing>
        <w:t>MARKET AND INDUSTRY DATA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Gemini’s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prospectus, including our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the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into 2022.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87"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 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9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76"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Gemini had 28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focus and resources may be diverted from operational matters and other strategic opportunities as a result of the 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may place a significant burden on our management and other internal resources. The diversion of management’s attention and any difficulties encountered in the transition process could harm our financial condition, results of operations and prospects. In addition, uncertainty about the effect of the Business Combination on our systems, employees, customers, partners, and other third parties, including regulators, may have an adverse effect on us. These uncertainties may impair our ability to attract, retain and motivate key personnel for a period of time after the completion of the Business Combination.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in this prospectus is presented for illustrative purposes only and has been prepared based on a number of assumptions.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prospectus, including as a result of such assumptions not being accurate. Additionally, the final acquisition accounting adjustments could differ materially from the unaudited pro forma adjustments presented in this prospectus. The unaudited pro forma condensed combined financial information does not give effect to any anticipated synergies, operating efficiencies or cost savings that may be associated with the Business Combination. See “</w:t>
      </w:r>
      <w:r>
        <w:rPr>
          <w:rFonts w:ascii="Times New Roman" w:cs="Times New Roman" w:eastAsia="Times New Roman" w:hAnsi="Times New Roman"/>
          <w:sz w:val="18"/>
          <w:szCs w:val="18"/>
          <w:i w:val="1"/>
          <w:iCs w:val="1"/>
          <w:color w:val="auto"/>
        </w:rPr>
        <w:t>Summary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 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53"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 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Gemini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Its inability to obtain regulatory approval for GEM103 or any other product candidate would substantially harm its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have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83" w:lineRule="exact"/>
        <w:rPr>
          <w:sz w:val="20"/>
          <w:szCs w:val="20"/>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 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have a material adverse effect on its business, financial condition and results of operations.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 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its biological products.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 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comply with its obligations under any license, collaboration or other agreements, including the license agreement with Sanquin Blood Supply Foundation related to anti-CFH agonistic antibodies, it may be required to pay damages and could lose intellectual property rights that are necessary for developing and protecting its product candidates.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 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 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have to negotiate budgets and contracts with CROs and trial sites, which may result in delays to its development timelines and increased costs.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 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expects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 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Gemini could cause it to incur substantial liabilities and to limit commercialization of any products that Gemini may develop and insurance coverage may not be adequate.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8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 which may make it difficult to sell the shares of our common stock you purchase.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continue or, if developed, may not be sustained, which would make it difficult for you to sell your shares of our common stock at an attractive price (or at all). The market price of our common stock may decline below your purchase price, and you may not be able to sell your shares of our common stock at or above the price you paid for such shares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our and our customers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its operating performance and the performance of its competitors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the COVID-19 pandemic on the markets and the broader global economy;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its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its competitors to meet analysts’ projections or guidance that we or our competitors may give to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Gemini;</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line="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regardless of our operating performance.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Gemini.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Gemini’s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Gemini’s Common Stock in the public market could occur at any time. If Gemini’s stockholders sell, or the market perceives that Gemini’s stockholders intend to sell, substantial amounts of Gemini’s Common Stock in the public market, the market price of Gemini’s Common Stock could decline.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in connection with the Business Combination, certain stockholders of FSDC and Old Gemini can each demand that Gemini register their registrable securities under certain circumstances and each also have piggyback registration rights for these securities. The registration of these securities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Gemini’s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expects to incur significant additional costs as a result of being a public company, which may adversely affect its operating results and financial condition.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Gemini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Gemini expects these rules and regulations are expected to increase its accounting, legal and financial compliance costs and make some activities more</w:t>
      </w:r>
    </w:p>
    <w:p>
      <w:pPr>
        <w:sectPr>
          <w:pgSz w:w="11900" w:h="16909" w:orient="portrait"/>
          <w:cols w:equalWidth="0" w:num="1">
            <w:col w:w="11240"/>
          </w:cols>
          <w:pgMar w:left="320" w:top="904" w:right="339" w:bottom="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time-consuming and costly. In addition, Gemini will incur additional costs associated with its public company reporting requirements and Gemini expects those costs to increase in the future. For example, Gemini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To date, Gemini has not conducted a review of its internal control for the purpose of providing the reports required by these rules. During its review and testing, Gemini may identify deficiencies and be unable to remediate them before Gemini must provide the required reports. Furthermore, if Gemini fails to remediate its existing material weakness in its internal control over financial reporting or if new material weaknesses are identified or arise in the future, Gemini may not detect errors on a timely basis and its financial statements may be materially misstated. Gemini or its independent registered public accounting firm may not be able to conclude on an ongoing basis that Gemini has effective internal control over financial reporting, which could harm its operating results, cause investors to lose confidence in its reported financial information and cause the trading price of its stock to fall. In addition, as a public company Gemini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Gemini will incur significant costs to remediate any material weaknesses Gemini identifies through these efforts. The increased costs will increase its net loss and may require us to reduce costs in other areas of its business or increase the prices of its products or services. Gemini also expects these rules and regulations to make it more expensive for us to maintain directors’ and officers’ liability insurance and Gemini may be required to accept reduced policy limits and coverage or incur substantially higher costs to obtain the same or similar coverage. As a result, it may be more difficult for Gemini to attract and retain qualified persons to serve on its board of directors, its board committees, or as executive officers. Gemini cannot predict or estimate the amount of additional costs Gemini may incur or the timing of such costs.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Gemini responds to their requirements, which may adversely affect its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Charter and the Bylaws, as well as provisions of Delaware law, could impair a takeover attempt.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Charter contains provisions that may discourage unsolicited takeover proposals that stockholders may consider to be in their best interests. Gemini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Gemini’s stockholders. These provisions provide for, among other things:</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board of directors to issue one or more series of “blank check”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Gemini’s annual meetings;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Gemini’s then-outstanding shares of capital stock entitled to vote generally at an election of directors.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Gemini, even if the third party’s offer may be considered beneficial by many of Gemini’s stockholders. As a result, Gemini’s stockholders may be limited in their ability to obtain a premium for their shares. If prospective takeovers are not consummated for any reason, Gemini may experience negative reactions from the financial markets, including negative impacts on the price of Gemini Common Stock. These provisions could also discourage proxy contests and make it more difficult for Gemini’s stockholders to elect directors of their choosing and to cause Gemini to take other corporate actions that Gemini’s stockholders desire.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Bylaws provide that the Court of Chancery of the State of Delaware and the federal district courts of the District of Massachusetts will be the exclusive forums for substantially all disputes between Gemini and its stockholders, which could limit Gemini’s stockholders’ ability to obtain a favorable judicial forum for disputes with Gemini or its directors, officers, or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By-laws provide that the Court of Chancery of the State of Delaware is the exclusive forum for:</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Gemini arising under the DGCL, the Charter, or the By-laws;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Charter or the By-laws;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Gemini that is governed by the internal-affairs doctrine.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By-laws provides that the federal district courts of the District of Massachusetts will be the exclusive forum for resolving any complaint asserting a cause of action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Gemini or its directors, officers, or other employees, which may discourage lawsuits against Gemini and its directors, officers, and other employees. If a court were to find either exclusive-forum provision in the By-laws to be inapplicable or unenforceable in an action, it may incur additional costs associated with resolving the dispute in other jurisdictions, which could harm Gemini’s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for the Business Combination to be treated for U.S. federal income tax purposes as a reorganization within the meaning of Section 368(a) of the Code. However, we have not obtained a ruling from the Internal Revenue Service, or IRS, with respect to the tax consequences of the Business Combination and there can be no assurance that the our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The payment of cash dividends in the future will be dependent upon our revenues and earnings, if any, capital requirements and general financial condition.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FSDC and Old Gemini, including the accompanying notes, which are included elsewhere in this prospectus.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capitalization, with no goodwill or other intangible assets recorded, in accordance with GAAP. Under this method of accounting, FSDC is treated as the “acquired” company for financial reporting purposes. Accordingly, for accounting purposes, the financial statements of Gemini will represent a continuation of the financial statements of Old Gemini with the Business Combination being treated as the equivalent of Old Gemini issuing stock for the net assets of FSDC, accompanied by a recapitalization. The net assets of FSDC are stated at historical cost, with no goodwill or other intangible assets recorded. Operations prior to the Business Combination are those of Old Gemini.</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FSDC</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Operations-For the Nine Months Ended September 30, 2020</w:t>
            </w:r>
          </w:p>
        </w:tc>
        <w:tc>
          <w:tcPr>
            <w:tcW w:w="12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(24,748)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(33,938)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FSDC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Operations-Year Ended December 31, 2019</w:t>
            </w: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(41,225)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(41,400)</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4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FSDC</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Sheet-As of September 30, 2020</w:t>
            </w: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122,359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207,961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9,241</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subject to redemption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112,580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(88,727)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192,222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or FDA.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summary of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51755" cy="141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5175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221" w:lineRule="exact"/>
        <w:rPr>
          <w:sz w:val="20"/>
          <w:szCs w:val="20"/>
          <w:color w:val="auto"/>
        </w:rPr>
      </w:pPr>
    </w:p>
    <w:p>
      <w:pPr>
        <w:jc w:val="both"/>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 our differentiated approach focused on complement regulation through the administration of GEM103 will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328"/>
        <w:spacing w:after="0" w:line="259"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philosophy is that the best way to identify drug 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 ultimately leads to blindness and for which there are no currently approved treatment options, affects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 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to aid in identification of therapeutic candidates for indications within AMD and linked diseases. CLARITY was the largest study, to date, that screened dry AMD patients for high-risk genotypes to gain longitudinal clinical information.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spacing w:after="0" w:line="255"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72" w:lineRule="exact"/>
        <w:rPr>
          <w:sz w:val="20"/>
          <w:szCs w:val="20"/>
          <w:color w:val="auto"/>
        </w:rPr>
      </w:pPr>
    </w:p>
    <w:p>
      <w:pPr>
        <w:jc w:val="both"/>
        <w:ind w:left="660" w:hanging="328"/>
        <w:spacing w:after="0" w:line="26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 at all doses tested at one week post single dose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 (a marker of the amplification loop) and C3a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 powered for efficacy. In line with tolerability, visual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it contains the amino acids V62, Y402 and E936 which are those most frequently found in the Caucasian population.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April 2019, the parties engaged in 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 (ii) 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intellectual property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xml:space="preserve"> website.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160" w:lineRule="exact"/>
        <w:rPr>
          <w:sz w:val="20"/>
          <w:szCs w:val="20"/>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 healthy human volunteers or patients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83"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had 28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May 2023, subject to the right to extend the term for one additional three (3) year term. We believe that our current facilities are sufficient for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OF GEMINI</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elsewhere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18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following the Closing, Gemini expects to incur additional costs associated with operating as a public company, including significant legal, accounting, investor relations and other expenses that it did not incur as a private company.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Gemini’s future viability beyond that point is dependent on its ability to raise additional capital to finance its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FSDC. The Notes were intended to automatically convert into common stock shares issued in the PIPE at a per share conversion price equal to the lowest per share price paid for such shares of common stock in the PIPE. Per the Merger Agreement, the Notes were amended to allow for the principal and interest to be converted into Series B Preferred Stock at the per share conversion price of $1.3513 prior to the closing of the merger. On February 5, 2021, the Notes converted into 10,741,883 shares of Series B Preferred Stock at a per share conversion price of $1.3513.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Transaction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15, 2020, FSDC executed a definitive merger agreement among it, Merger Sub, Gemini and the Shareholders Representative. On February 5, 2021, FSDC consummated the previously announced Business Combination pursuant to the terms of the definitive merger agreement. As a result of the Business Combination, FSDC was renamed to Gemini Therapeutics, Inc., and Old Gemini became a wholly-owned subsidiary of Gemini. In connection with the Business Combination, the stockholders of Old Gemini exchanged their interests in Gemini for shares of Common Stock. In addition, Old Gemini’s existing equity incentive plan was terminated; awards issued under Old Gemini’s existing equity incentive plan were exchanged for awards issued under a new equity incentive plan to be adopted by Gemini. Lastly, in connection with the Business Combination, certain investors agreed to subscribe for and purchased an aggregate of $95,060,000 of Common Stock. Gemini received net proceeds of approximately $191.4 million consisting of proceeds of the PIPE Financing and proceeds of the Trust Account and will continue to operate under the Old Gemini management team, led by chief executive officer Jason Meyenburg.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Gemini’s product candidates. Gemini expenses research and development costs as incurred, which include:</w:t>
      </w:r>
    </w:p>
    <w:p>
      <w:pPr>
        <w:spacing w:after="0" w:line="20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8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 At the Closing, this warrant was converted into Common Stock.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70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3,774</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(24,246)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7,423</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 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19,821</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6,753</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(20,191)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(41,225)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(21,034)</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30,497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23,221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19,626</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34,106</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11,728</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(15,542)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8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completion of the Business Combination transaction, the stockholders of Old Gemini exchanged their equity interests in Old Gemini, which include the conversion prior to the Closing of the principal and interest of the outstanding Notes into Series B Preferred Stock at a per share conversion price of $1.3513, for shares of Common Stock. In connection with the Business Combination, certain investors agreed to subscribe for and purchased an aggregate of $95,060,000 of Common Stock in the PIPE Investment. Gemini received net proceeds of approximately $191.4 million following the closing of the transaction. Gemini may also pursue additional cash resources through public or private equity or debt financings.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76"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 to 3</w:t>
            </w:r>
          </w:p>
        </w:tc>
        <w:tc>
          <w:tcPr>
            <w:tcW w:w="2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4 to 5</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45"/>
        </w:trPr>
        <w:tc>
          <w:tcPr>
            <w:tcW w:w="2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0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1"/>
                <w:szCs w:val="21"/>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6"/>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440" w:type="dxa"/>
            <w:vAlign w:val="bottom"/>
            <w:tcBorders>
              <w:top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(i)</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(ii)</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14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(iii)</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(iv)</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jc w:val="both"/>
        <w:ind w:left="340" w:hanging="332"/>
        <w:spacing w:after="0" w:line="257"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an operating lease agreement for its office and laboratory space.</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is required to make license fee payments to its licensors. See Financial Statements, Note 13, Commitments and Contingencies for additional details regarding its payment obligations to these licensors.</w:t>
      </w:r>
    </w:p>
    <w:p>
      <w:pPr>
        <w:ind w:left="340" w:hanging="332"/>
        <w:spacing w:after="0" w:line="260"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SVB loan term, Gemini is required to pay a final end of term charge to SVB in the amount of 4.0% of the aggregate original principal amount borrowed.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8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Closing, Old Gemini measured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Old Gemini granted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Old Gemini estimated the probability that certain performance criteria will be met and does not recognize compensation expense until it is probable that the performance-based vesting condition will be achieved.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Closing, Old Gemini classified stock-based compensation expense in its statements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Closing, Old Gemini estimated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Prior to the Closing there was no public market for Gemini’s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Gemini’s common stock valuations were prepared using an option pricing method, or OPM, or a hybrid method, both of which used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62"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Gemini’s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Gemini’s common stock will be determined based on the quoted market price of its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prospectus, the per share purchase prices and exercise prices, the fair value of common stock per share on each grant date, and the per share estimated fair value of the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options or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restricted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 award on</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award</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award</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on grant date</w:t>
            </w:r>
          </w:p>
        </w:tc>
        <w:tc>
          <w:tcPr>
            <w:tcW w:w="10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0.31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9"/>
                <w:szCs w:val="29"/>
                <w:color w:val="auto"/>
                <w:vertAlign w:val="superscript"/>
              </w:rPr>
              <w:t>(1)</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5,723,737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56"/>
        </w:trPr>
        <w:tc>
          <w:tcPr>
            <w:tcW w:w="4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9"/>
                <w:szCs w:val="29"/>
                <w:color w:val="auto"/>
                <w:vertAlign w:val="superscript"/>
              </w:rPr>
              <w:t>(1)</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731,695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356,780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492,500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411,865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3,748,799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r>
      <w:tr>
        <w:trPr>
          <w:trHeight w:val="256"/>
        </w:trPr>
        <w:tc>
          <w:tcPr>
            <w:tcW w:w="4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9"/>
                <w:szCs w:val="29"/>
                <w:color w:val="auto"/>
                <w:vertAlign w:val="superscript"/>
              </w:rPr>
              <w:t>(2)</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1,182,200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16, 2020</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3,965,552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 2020</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306,222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08" w:lineRule="exact"/>
        <w:rPr>
          <w:sz w:val="20"/>
          <w:szCs w:val="20"/>
          <w:color w:val="auto"/>
        </w:rPr>
      </w:pPr>
    </w:p>
    <w:p>
      <w:pPr>
        <w:jc w:val="both"/>
        <w:ind w:left="340" w:right="20" w:hanging="332"/>
        <w:spacing w:after="0" w:line="257"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award was fully vested on the date of grant.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Hypothetical Change in Interest Rates</w:t>
            </w:r>
            <w:r>
              <w:rPr>
                <w:rFonts w:ascii="Times New Roman" w:cs="Times New Roman" w:eastAsia="Times New Roman" w:hAnsi="Times New Roman"/>
                <w:sz w:val="29"/>
                <w:szCs w:val="29"/>
                <w:b w:val="1"/>
                <w:bCs w:val="1"/>
                <w:color w:val="auto"/>
                <w:w w:val="98"/>
                <w:vertAlign w:val="superscript"/>
              </w:rPr>
              <w:t>(i)</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Impact to Interest Expense</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1-percent increase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1-percent decrease</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Impact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pays a floating rate per annum equal to the greater of 3.75% or the prime rate minus 1.5%. See Note 6 to Gemini’s financial statements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Gemini is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Gemini is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 (ii) Gemini’s annual revenues exceeded $100 million during such completed fiscal year and the market value of its common stock held by non-affiliates exceeds $700 million as of the prior June 30.</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“Gemini,” “we,” “us,” “our” and other similar terms refer to Old Gemini and its subsidiaries prior to the Business Combination and to Gemini and its consolidated subsidiaries after giving effect to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Gemini, Old Gemini, the FSDC Investors and the Major Gemini Investors entered into a Registration Rights Agreement (the “Registration Rights Agreement”), pursuant to which, among other things, the FSDC Investors and the Major Gemini Investors (collectively, the “Investors”) are granted certain registration rights with respect to registrable securities (as defined in the Registration Rights Agreement)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Registration Rights Agreement provides for the following registration rights:</w:t>
      </w:r>
    </w:p>
    <w:p>
      <w:pPr>
        <w:spacing w:after="0" w:line="223" w:lineRule="exact"/>
        <w:rPr>
          <w:sz w:val="20"/>
          <w:szCs w:val="20"/>
          <w:color w:val="auto"/>
        </w:rPr>
      </w:pPr>
    </w:p>
    <w:p>
      <w:pPr>
        <w:jc w:val="both"/>
        <w:ind w:left="660" w:hanging="328"/>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the Closing Date, and following the expiration of any lock-up to which an Investor may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Gemini will be required, to file a shelf registration statement pursuant to Rule 415 of Securities Act as soon as practicable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Closing Date and use reasonable best efforts to effect the registration of all of the registrable securities then held by Investors that are not covered by an effective registration statement as of the date that is 30 days after the Closing Date. At any time Gemini has an effective shelf registration statement, if the Company shall receive a request from Investors holding registrable securities with an estimated market value of at least $5,000,000, to effect an underwritten shelf takedown, Gemini shall use its reasonable best efforts to as expeditiously as possible to effect the underwritten shelf takedown.</w:t>
      </w:r>
    </w:p>
    <w:p>
      <w:pPr>
        <w:spacing w:after="0" w:line="209" w:lineRule="exact"/>
        <w:rPr>
          <w:rFonts w:ascii="Times New Roman" w:cs="Times New Roman" w:eastAsia="Times New Roman" w:hAnsi="Times New Roman"/>
          <w:sz w:val="18"/>
          <w:szCs w:val="18"/>
          <w:color w:val="auto"/>
        </w:rPr>
      </w:pPr>
    </w:p>
    <w:p>
      <w:pPr>
        <w:jc w:val="both"/>
        <w:ind w:left="660" w:right="20" w:hanging="328"/>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Gemini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Gemini proposes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Gemini and underwriting discounts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commissions will be borne by the holders of the shares being registered. The Registration Rights Agreement contains customary cross-indemnification provisions, under which Gemini is obligated to indemnify holders of registrable securities in the event of material misstatements or omissions in the registration statement attributable to Gemini, and holders of registrable securities are obligated to indemnify Gemini for material misstatements or omissions attributable to them.</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Gemini shall cease to be registrable securities upon the earlier of (i) tenth anniversary of the Closing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Each Investor shall not transfer any shares of Common Stock or any securities convertible into or exercisable or exchangeable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for Common Stock for one hundred eighty (180) days following the Closing Date.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day lock-up period.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the full text of the Registration Rights Agreement, a copy of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Gemini, the Sponsor and the Major Gemini Investors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 entered into a Voting Agreement, pursuant to which each Voting Party agrees to vote all voting securities of Gemini that it owns from time to time and that it may vote in an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the Voting Agreement, whether at a regular or special meeting of stockholders.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Gemini held in 2021; David Lubner, Dr. Tuyen Ong and Jason Rhodes shall constitute the initial members of Class II and shall be nominated in Class II, the members of which shall have an initial term that expires at the annual meeting of stockholders of Gemini held in 2022; and Jason Meyenburg and Dr. Jim Tananbaum shall constitute the initial members of Class III and shall be nominated in Class III, the members of which shall have an initial term that expires at the annual meeting of stockholders of Gemini held in 2023.</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Voting Agreement, until the earlier of (i) fifth anniversary of the Closing Date or (ii) the date on which Sponsor owns less than 1,217,563 shares of Common Stock, at each annual or special meeting of stockholders of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Voting Agreement, Old Gemini shall have the authority to appoint four directors to the Board, with such procedures as are determined by Old Gemini’s Board.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qualified in its entirety by the full text of the Voting Agreement, a copy of which is attached hereto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Gemini and certain of its stockholders and optionholders (the “</w:t>
      </w:r>
      <w:r>
        <w:rPr>
          <w:rFonts w:ascii="Times New Roman" w:cs="Times New Roman" w:eastAsia="Times New Roman" w:hAnsi="Times New Roman"/>
          <w:sz w:val="18"/>
          <w:szCs w:val="18"/>
          <w:u w:val="single" w:color="auto"/>
          <w:color w:val="auto"/>
        </w:rPr>
        <w:t>Stockholders Parties</w:t>
      </w:r>
      <w:r>
        <w:rPr>
          <w:rFonts w:ascii="Times New Roman" w:cs="Times New Roman" w:eastAsia="Times New Roman" w:hAnsi="Times New Roman"/>
          <w:sz w:val="18"/>
          <w:szCs w:val="18"/>
          <w:color w:val="auto"/>
        </w:rPr>
        <w:t>”) entered into a Lockup Agreement pursuant to which such Stockholder Parties agreed not to transfer any shares of Common Stock or options to purchase Common Stock received as Merger consideration (the “</w:t>
      </w:r>
      <w:r>
        <w:rPr>
          <w:rFonts w:ascii="Times New Roman" w:cs="Times New Roman" w:eastAsia="Times New Roman" w:hAnsi="Times New Roman"/>
          <w:sz w:val="18"/>
          <w:szCs w:val="18"/>
          <w:u w:val="single" w:color="auto"/>
          <w:color w:val="auto"/>
        </w:rPr>
        <w:t>Covered Equity Interest</w:t>
      </w:r>
      <w:r>
        <w:rPr>
          <w:rFonts w:ascii="Times New Roman" w:cs="Times New Roman" w:eastAsia="Times New Roman" w:hAnsi="Times New Roman"/>
          <w:sz w:val="18"/>
          <w:szCs w:val="18"/>
          <w:color w:val="auto"/>
        </w:rPr>
        <w:t>”) for a period of 180 days following the Closing Date. Notwithstanding the foregoing, any Stockholder Party that is an executive officer or director shall be allowed to establish a 10b5-1 trading plan during the lockup period, provided that no trades are made under the plan during the 180 day lock-up period.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 does not purport to be complete and is qualified in its entirety by the full text of the Lockup Agreement, a copy of which is attached hereto as Exhibit 10.3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Person Transactions - FSDC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FSDC effected a 1:1.05 stock split of FSDC Class B Common Stock, resulting in the Sponsor holding 2,928,750 Founders Shares and there being an aggregate of 3,018,750 Founders Shares outstanding. The number of Founders Shares outstanding was determined based on the expectation that the total size of the FSDC IPO would be a maximum of 12,075,000 FSDC Class A shares if the underwriters’ over-allotment option would be exercised in full, and therefore that such Founders Shares would represent 20% of the issued and outstanding shares of common stock (excluding the Private Placement Shares) after such offering.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FSDC IPO.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Closing, FSDC utilized office space at 600 Montgomery Street, Suite 4500, San Francisco, California 94111 from the Sponsor. Following the closing of the FSDC IPO, FSDC paid the Sponsor $10,000 per month for office space, secretarial and administrative services provided to members of its management team pursuant to the terms of an administrative services agreement between FSDC and the Sponsor.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Sponsor and FSDC’s executive officers and directors were reimbursed for any out-of-pocket expenses incurred in connection with activities on FSDC’s behalf, in connection with the completion of an initial business combination, such as identifying potential target businesses and performing due diligence on suitable business combinations. FSDC’s audit committee reviewed on a quarterly basis all payments that were made to the Sponsor, officers, directors or its or their affiliates.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Sponsor loaned FSDC $200,000 to be used for a portion of the expenses of the FSDC IPO. These loans were non-interest bearing, unsecured and were due at the earlier of December 31, 2020 or the closing of the FSDC IPO. These loans were fully repaid by FSDC on August 14, 2020.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as part of the PIPE Investment, an affiliate of Sponsor had entered into a subscription agreement to purchase 1,500,000 shares of Common Stock at a purchase price of $10 per share in a private placement. In connection with the Closing, the affiliate of Sponsor assigned to the Sponsor its obligation to purchase its shares under the subscription agreement so that the Sponsor purchased such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11, 2020, FSDC entered into a registration rights agreement (the “prior registration rights agreement”) with respect to the Founders Shares and Private Placement Shares. The holders of these securities were entitled to make up to three demands, excluding short form demands, that FSDC register such securities. In addition, the holders had certain “piggy-back” registration rights with respect to registration statements filed subsequent to the completion of FSDC’s initial business combination. FSDC bears the expenses incurred in connection with the filing of any such registration statements. As part of the prior registration rights agreement, certain holders of registrable securities agreed to a lock-up period of one year from the Closing of the Business Combination.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FSDC Investors and certain other stockholders entered into the Registration Rights Agreement with FSDC and Gemini that replaced the prior registration rights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FSDC Investors entered into support agreements with FSDC, Old Gemini and Sponsor. Under such support agreements, each such stockholder agreed to vote, at any meeting of the stockholders of FSDC , and in any action by written consent of the stockholders of FSDC, all of such stockholder’s Class B Common Stock of FSDC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entered into a Voting Agreement with Gemini. For more information on the Voting Agreement, see “Certain Relationships and Related Person Transactions - Voting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Person Transactions – Old Gemini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30, 2018, Old Gemini held the second closing of its Series A Preferred Stock financing, pursuant to its Series A Preferred Stock Purchase Agreement, as amended (the “Series A Purchase Agreement”), at which Old Gemini issued 9,243,696 shares of its Series A Preferred Stock for a per share price of $1.19, for aggregate gross proceeds in the amount of $11.0 million. On November 2, 2018, Old Gemini held the third closing of its Series A Preferred Stock financing, pursuant to the Series A Purchase Agreement, at which Old Gemini issued 16,386,555 shares of its Series A Preferred Stock for a per share price of $1.19, for aggregate gross proceeds in the amount of $19.5 million. The following holders of more than 5% of Old Gemini’s capital stock participated in the second closing and third closing of the Series A Preferred Stock financing.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Purchased –</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w:t>
            </w: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5% Gemini Stockholder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Third Closing</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Third Closing</w:t>
            </w:r>
          </w:p>
        </w:tc>
        <w:tc>
          <w:tcPr>
            <w:tcW w:w="100" w:type="dxa"/>
            <w:vAlign w:val="bottom"/>
            <w:tcBorders>
              <w:bottom w:val="single" w:sz="8" w:color="CCEEFF"/>
            </w:tcBorders>
          </w:tcPr>
          <w:p>
            <w:pPr>
              <w:spacing w:after="0"/>
              <w:rPr>
                <w:sz w:val="21"/>
                <w:szCs w:val="21"/>
                <w:color w:val="auto"/>
              </w:rPr>
            </w:pPr>
          </w:p>
        </w:tc>
      </w:tr>
      <w:tr>
        <w:trPr>
          <w:trHeight w:val="256"/>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Lightstone Ventures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3,081,232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3,666,666.08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5,462,185</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$ 6,500,000.15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3,081,232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3,666,666.08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5,462,185</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$ 6,500,000.15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3,081,232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3,666,666.08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5,462,185</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$ 6,500,000.15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26, 2019, Old Gemini held the initial closing of its Series B Preferred Stock financing, pursuant to its Series B Preferred Stock Purchase Agreement (the “Series B Purchase Agreement”), at which Old Gemini issued 9,916,375 shares of its Series B Preferred Stock for a per share price of $1.3513, for aggregate gross proceeds in the amount of $13.4 million. On January 21, 2020, Old Gemini held the second closing of its Series B Preferred Stock financing, pursuant to the Series B Purchase Agreement, at which Old Gemini issued 14,874,563 shares of its Series B Preferred Stock for a per share price of $1.3513, for aggregate gross proceeds in the amount of $20.1 million. The following holders of more than 5% of Old Gemini’s capital stock participated in the initial closing and second closing of the Series B Preferred Stock financing. At the Closing, the ancillary documents to the Series B Financing were terminated.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Purchased –</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Second</w:t>
            </w:r>
          </w:p>
        </w:tc>
      </w:tr>
      <w:tr>
        <w:trPr>
          <w:trHeight w:val="24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5% Gemini Stockholder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Initial Closing</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Initial Closing</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100" w:type="dxa"/>
            <w:vAlign w:val="bottom"/>
            <w:tcBorders>
              <w:bottom w:val="single" w:sz="8" w:color="CCEEFF"/>
            </w:tcBorders>
          </w:tcPr>
          <w:p>
            <w:pPr>
              <w:spacing w:after="0"/>
              <w:rPr>
                <w:sz w:val="21"/>
                <w:szCs w:val="2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Lightstone Ventures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1,924,073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2,886,109</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$ 3,899,999.09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2,960,112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3,999,999.35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4,440,168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$ 5,999,999.02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2,072,078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2,799,999.00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3,108,118</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$ 4,199,999.85</w:t>
            </w:r>
          </w:p>
        </w:tc>
      </w:tr>
      <w:tr>
        <w:trPr>
          <w:trHeight w:val="39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2,960,112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3,999,999.35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4,440,168</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$ 5,999,999.02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0712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189" w:lineRule="exact"/>
        <w:rPr>
          <w:sz w:val="20"/>
          <w:szCs w:val="20"/>
          <w:color w:val="auto"/>
        </w:rPr>
      </w:pPr>
    </w:p>
    <w:p>
      <w:pPr>
        <w:jc w:val="both"/>
        <w:ind w:left="340" w:hanging="332"/>
        <w:spacing w:after="0" w:line="257"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initially purchased by Wu Capital LLC and subsequently transferred to Wu Capital Investment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August 21, 2020, Old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Old Gemini and certain investors. The following holders of more than 5% of Old Gemini’s capital stock participated in the note financing. The Notes accrue simple interest at 8% per annum and mature on February 21, 2021. Prior to the Closing, all principal and accrued interest under the Notes converted into shares of Old Gemini’s Series B Preferred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5% Gemini Stockholder</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4,887,000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4,361,000</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Gemini Accounting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2020, Old Gemini engaged Danforth Advisors, an accounting and finance advisory company managed by Gregg Beloff, Gemini’s Interim Chief Financial Officer. Through January 31, 2021, Old Gemini has paid $365,911.25 to Danforth Advisors in exchange for professional services related to accounting, finance and other administrative functions.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the Business Combination,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Gemini adopted a written related person transaction policy that sets forth the following policies and procedures for the review and approval or ratification of related person transactions.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Gemini or any of its subsidiaries was, is or will be a participant, the amount of which involved exceeds $120,000, and in which any related person had, has or will have a direct or indirect material interest. A “Related Person” means:</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Gemini’s officers or one of Gemini’s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Gemini to be the beneficial owner of more than five percent (5%) of its voting stock;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Gemini’s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Gemini than terms generally available in a transaction with an unaffiliated third-party under the same or similar circumstances and the extent of the Related Person’s interest in the related person transaction.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information, as of the date of this prospectus, concerning the directors and officers of Gemini.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06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top w:val="single" w:sz="8" w:color="CCEEFF"/>
            </w:tcBorders>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4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9"/>
                <w:szCs w:val="29"/>
                <w:color w:val="auto"/>
                <w:vertAlign w:val="superscript"/>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9"/>
                <w:szCs w:val="29"/>
                <w:color w:val="auto"/>
                <w:vertAlign w:val="superscript"/>
              </w:rPr>
              <w:t>(1)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9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9"/>
                <w:szCs w:val="29"/>
                <w:color w:val="auto"/>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0712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189"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Designee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Designee</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 March 2018 to September 2019, Mr. Meyenburg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 Managing Director of Danforth Advisors,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 October 2016 to October 2017, Dr. Lauder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 served as Vice President and Head of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 Managing Director at Advanced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 founding member, Managing Partner,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 UCB S.A. in April 2020, Mr. Lubner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 Mr. Rhodes also served as the founding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Jim Tananbaum </w:t>
      </w:r>
      <w:r>
        <w:rPr>
          <w:rFonts w:ascii="Times New Roman" w:cs="Times New Roman" w:eastAsia="Times New Roman" w:hAnsi="Times New Roman"/>
          <w:sz w:val="18"/>
          <w:szCs w:val="18"/>
          <w:color w:val="auto"/>
        </w:rPr>
        <w:t>has been a director since June 2020. Prior to the Closing, Dr. Tananbaum also served as the President and Chief Executive Officer of FSDC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2020. 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Gemini’s board of directors consists of seven members following the Closing of the Business Combination. In accordance with the filed Charter, immediately after the Closing, the board of directors was divided into three classes. At each annual general meeting of stockholders, the successors to directors whose terms then expire will be elected to serve from the time of election and qualification until the third annual meeting following the election. The directors are divided among the three classes as follows:</w:t>
      </w:r>
    </w:p>
    <w:p>
      <w:pPr>
        <w:spacing w:after="0" w:line="180"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their terms will expire at the annual meeting of stockholders to be held in 2021;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rules of the Nasdaq require that a majority of the our Board be independent. An “independent director” is defined generally as a person other than an executive officer or employee of us or any other individual having a relationship which, in the opinion of the issuer’s board of directors, would interfere with the exercise of independent judgement in carrying out the responsibilities of a director. The Board has determined that each individual who serves on the Board, other than Mr. Meyenburg and Dr. Tananbaum, qualifies as an independent director under Nasdaq listing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Gemini’s board of directors has the authority to appoint committees to perform certain management and administration functions. Our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 this prospectus, and the inclusion of such website address in this prospectus is an inactive textual reference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audit committee consists of Dr. Carl Gordon, David Lubner and Jason Rhodes. The Board has determined each member of the audit committee is independent under the listing standards of the Nasdaq Stock Market, or the Listing Standards, and Rule 10A-3(b)(1) of the Exchange Act. The chairperson of the audit committee is David Lubner. The Board has determined that David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0" w:name="page101"/>
    <w:bookmarkEnd w:id="100"/>
    <w:p>
      <w:pPr>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Gemini’s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Gemini’s internal quality-control procedures, any material issues with such procedures, and any steps taken to deal with such issues when required by applicable law;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consists of Jean George, Dr. Tuyen Ong, and Dr. Jim Tananbaum. The Board has determined each member is a “non-employee director” as defined in Rule 16b-3 promulgated under the Exchange Act and an “outside director” as that term is defined in Section 162(m) of the Internal Revenue Code of 1986, as amended, or the Code. The Board has determined each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Jean George, Jason Rhodes and Dr. Jim Tananbaum. The Board has determined each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Jean George.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The audit committee will also have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will be responsible for periodically evaluating our company’s corporate governance policies and systems in light of the governance risks that our company faces and the adequacy of our company’s policies and procedures designed to address such risks. Our compensation committee will assess and monitor whether any of our compensation policies and programs is reasonably likely to have a material adverse effect on our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Gemini has adopted a Code of Business Conduct and Ethics that applies to all of its employees, officers and directors, including those officers responsible for financial reporting. The Code of Business Conduct and Ethics is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 prospectus, and the inclusion of the website address in this prospectus is an inactive textual reference only. Gemini intends to disclose any amendments to the Code of Business Conduct and Ethics, or any waivers of its requirements, on its website to the extent required by the applicable rules and exchange requirements.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Dr. Scott Lauder, its Chief Technology Officer, and Dr. Marc Uknis, its Chief Medical Officer, each of whom is an executive officer of Gemini. The following table presents information regarding the total compensation awarded to, earned by, and paid to our named executive officers for services rendered to us in all capacities for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0" w:type="dxa"/>
            <w:vAlign w:val="bottom"/>
          </w:tcPr>
          <w:p>
            <w:pPr>
              <w:spacing w:after="0"/>
              <w:rPr>
                <w:sz w:val="16"/>
                <w:szCs w:val="16"/>
                <w:color w:val="auto"/>
              </w:rPr>
            </w:pPr>
          </w:p>
        </w:tc>
        <w:tc>
          <w:tcPr>
            <w:tcW w:w="1380" w:type="dxa"/>
            <w:vAlign w:val="bottom"/>
            <w:gridSpan w:val="2"/>
          </w:tcPr>
          <w:p>
            <w:pPr>
              <w:jc w:val="center"/>
              <w:ind w:right="205"/>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00" w:type="dxa"/>
            <w:vAlign w:val="bottom"/>
            <w:gridSpan w:val="3"/>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ind w:right="13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437,800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1,539,362</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2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2,069,654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Dr. Marc Uknis</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328,542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1,223,507</w:t>
            </w: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5"/>
              <w:spacing w:after="0" w:line="239" w:lineRule="exact"/>
              <w:rPr>
                <w:sz w:val="20"/>
                <w:szCs w:val="20"/>
                <w:color w:val="auto"/>
              </w:rPr>
            </w:pPr>
            <w:r>
              <w:rPr>
                <w:rFonts w:ascii="Times New Roman" w:cs="Times New Roman" w:eastAsia="Times New Roman" w:hAnsi="Times New Roman"/>
                <w:sz w:val="17"/>
                <w:szCs w:val="17"/>
                <w:color w:val="auto"/>
              </w:rPr>
              <w:t>3,144</w:t>
            </w:r>
            <w:r>
              <w:rPr>
                <w:rFonts w:ascii="Times New Roman" w:cs="Times New Roman" w:eastAsia="Times New Roman" w:hAnsi="Times New Roman"/>
                <w:sz w:val="27"/>
                <w:szCs w:val="27"/>
                <w:color w:val="auto"/>
                <w:vertAlign w:val="superscript"/>
              </w:rPr>
              <w:t>(4)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1,555,193</w:t>
            </w:r>
          </w:p>
        </w:tc>
        <w:tc>
          <w:tcPr>
            <w:tcW w:w="0" w:type="dxa"/>
            <w:vAlign w:val="bottom"/>
          </w:tcPr>
          <w:p>
            <w:pPr>
              <w:spacing w:after="0"/>
              <w:rPr>
                <w:sz w:val="1"/>
                <w:szCs w:val="1"/>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Scott Lauder</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355,000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136,382</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5"/>
              <w:spacing w:after="0" w:line="256" w:lineRule="exact"/>
              <w:rPr>
                <w:sz w:val="20"/>
                <w:szCs w:val="20"/>
                <w:color w:val="auto"/>
              </w:rPr>
            </w:pPr>
            <w:r>
              <w:rPr>
                <w:rFonts w:ascii="Times New Roman" w:cs="Times New Roman" w:eastAsia="Times New Roman" w:hAnsi="Times New Roman"/>
                <w:sz w:val="18"/>
                <w:szCs w:val="18"/>
                <w:color w:val="auto"/>
              </w:rPr>
              <w:t>7,500</w:t>
            </w:r>
            <w:r>
              <w:rPr>
                <w:rFonts w:ascii="Times New Roman" w:cs="Times New Roman" w:eastAsia="Times New Roman" w:hAnsi="Times New Roman"/>
                <w:sz w:val="29"/>
                <w:szCs w:val="29"/>
                <w:color w:val="auto"/>
                <w:vertAlign w:val="superscript"/>
              </w:rPr>
              <w:t>(4)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616,682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 Officer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annual payments made to our named executive officers in cash in March 2020 for performance in 2019.</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prospectus regarding assumptions underlying the valuation of equity awards.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 for a living expense allowance to facilitate Mr. Meyenburg’s relocation to Cambridge, Massachusetts pursuant to the term of his offer letter agreement with Gemini.</w:t>
      </w: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Gemini’s portion of the executive’s 401k plan contribution.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At the Closing, the new employment agreements for each of Mr. Meyenburg, Dr. Uknis and Dr. Lauder became effective. Pursuant to the new employment agreements, the annual base salaries for each of Mr. Meyenburg, Dr. Uknis and Dr. Lauder are $515,000, $415,000 and $411,650,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Pursuant to the new employment agreements, the target bonus for Mr. Meyenburg was equal to 50% percent of his base salary. The target bonus for Dr. Lauder was 40% percent of his base salary. The target bonus for Dr. Uknis for 2020 was 40% percent of his 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entered into new employment agreements with each of our named executive officers in connection with the Closing, the material terms of which summarized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and Severance Agreements with Gemini’s Named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entered into a new employment agreement with Mr. Meyenburg on January 21, 2021, which became effective as of the Closing and replaces Mr. Meyenburg’s earlier employment agreement. Pursuant to this agreement we employ Mr. Meyenburg as our President and Chief Executive Officer. The employment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Meyenburg’s current annual base salary is $515,000, which is subject to periodic review and adjustment. Pursuant to the employment agreement, Mr. Meyenburg is eligible to participate in an annual bonus program as may be established from time to time by our board of directors or compensation committee. Under such bonus programs, Mr. Meyenburg is eligible to receive an annual bonus targeted 50% of his annual base salary. The actual amount of the bonus is determined by the board of directors based on its assessment of the performance of Mr. Meyenburg and that of the Company against pre-established goals determined by our board of directors.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such time as requested by the compensation committee of the board or the board of directors, following the ending of the COVID-19 pandemic, Mr. Meyenburg must be present in the Company’s offices for three to four days per week. Mr. Meyenburg is entitled to a living expense allowance (as such term is defined in his employment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Mr. Meyenburg’s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Mr. Meyenburg is entitled to (a) a lump sum in cash equal to the sum of one times the sum of one and half times (i) Mr. Meyenburg’s then current Base Salary plus (ii) Mr. Meyenburg’s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eighteen (18) month anniversary of the date of termination; (ii) the date Mr. Meyenburg becomes eligible for health insurance through another employer, or (iii) the cessation of Mr. Meyenburg’s continuation rights under COBRA.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until the earlier of: (i) the twelve (12) month anniversary of the date of termination; (ii) the date Mr. Meyenburg becomes eligible for health insurance through another employer, or (iii) the cessation of Mr. Meyenburg’s continuation rights under COBRA. Payment of the severance payments under the offer letter agreement shall cease in the event that Mr. Meyenburg breaches his obligations under the Employee Confidentiality, Assignment and Noncompetition Agreement entered into with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Uknis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Dr. Uknis dated December 24, 2020, which became effective as of the Closing, and replaces Dr. Uknis’ earlier employment agreement. Pursuant to the employment agreement Dr. Uknis serves as our Chief Medical Officer. The employment of Dr. Uknis is “at will” and the agreement endures until terminated by either party.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Uknis’s current annual base salary is $415,000, which is subject to periodic review and adjustment. Under the terms of the employment agreement, Dr. Uknis is eligible to participate in any annual bonus programs as may be established from time to time by our board of directors or compensation committee. Under such bonus programs, Dr. Uknis is eligible to receive an annual bonus targeted at 40% of his annual base salary. At such time as requested by the compensation committee of the board or the board of directors, following the ending of the COVID-19 pandemic, Dr. Uknis must be present in the Company’s offices for three to four days per week. Once Dr. Uknis is required to relocate to the Boston area, Dr. Uknis is entitled to a living expense allowance (as such term is defined in his employment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Uknis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Dr. Uknis becomes eligible for health insurance through another employer, or (iii) the cessation of Dr. Uknis’s continuation rights under COBRA.</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Uknis is entitled to (a) a lump sum in cash equal to the sum of one times the sum of (i) Dr. Uknis’s then current Base Salary plus (ii) Dr. Uknis’s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Uknis becomes eligible for health insurance through another employer, or (iii) the cessation of Dr. Uknis’s continuation rights under COBRA.</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Dr. Lauder dated January 11, 2021, which became effective as of the Closing, and replaces Dr. Lauder’s prior employment agreement. Pursuant to the agreement, Dr. Lauder serves as our Chief Technology Officer. The employment of Dr. Lauder is “at will” and the agreement endures until terminated by either party.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Lauder’s current annual base salary is $411,650, which is subject to periodic review and adjustment. Under the terms of the employment agreement, Dr. Lauder is eligible to participate in any annual bonus programs as may be established from time to time by our board of directors or compensation committee. Under such bonus programs, Dr. Lauder is eligible to receive an annual bonus targeted at 40% of his annual base salary.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Lauder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twelve (12) month anniversary of the date of termination (as such term is defined in his employment agreement); (ii) the date Dr. Lauder becomes eligible for health insurance through another employer, or (iii) the cessation of Dr. Lauder’s continuation rights under COBRA.</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Lauder is entitled to (a) a lump sum in cash equal to the sum of one times the sum of (i) Dr. Lauder’s then current Base Salary plus (ii) Dr. Lauder’s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Lauder becomes eligible for health insurance through another employer, or (iii) the cessation of Dr. Lauder’s continuation rights under COBRA.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agreements with each of Mr. Meyenburg, Dr. Uknis and Dr. Lauder does not purport to be complete and is qualified in its entirety by the terms and conditions of the employment agreements, which are filed herewith as Exhibits 10.9, 10.10 and 10.11, respectively, and incorporated herein by reference.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all equity awards set forth in the table below were granted under our 2017 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units of</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 that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2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commencement</w:t>
            </w:r>
          </w:p>
        </w:tc>
        <w:tc>
          <w:tcPr>
            <w:tcW w:w="28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77"/>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28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920" w:type="dxa"/>
            <w:vAlign w:val="bottom"/>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6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Jason Meyenburg</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9/23/2019</w:t>
            </w:r>
          </w:p>
        </w:tc>
        <w:tc>
          <w:tcPr>
            <w:tcW w:w="280" w:type="dxa"/>
            <w:vAlign w:val="bottom"/>
            <w:tcBorders>
              <w:top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840,698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1,849,541</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0.47</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11/12/2029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3/11/2020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575,700</w:t>
            </w:r>
          </w:p>
        </w:tc>
        <w:tc>
          <w:tcPr>
            <w:tcW w:w="1060" w:type="dxa"/>
            <w:vAlign w:val="bottom"/>
            <w:gridSpan w:val="2"/>
            <w:shd w:val="clear" w:color="auto" w:fill="CCEEFF"/>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0.55</w:t>
            </w:r>
          </w:p>
        </w:tc>
        <w:tc>
          <w:tcPr>
            <w:tcW w:w="116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3/11/2030</w:t>
            </w: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10/16/2020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1,178,043</w:t>
            </w:r>
          </w:p>
        </w:tc>
        <w:tc>
          <w:tcPr>
            <w:tcW w:w="1060" w:type="dxa"/>
            <w:vAlign w:val="bottom"/>
            <w:gridSpan w:val="2"/>
            <w:shd w:val="clear" w:color="auto" w:fill="CCEEFF"/>
          </w:tcPr>
          <w:p>
            <w:pPr>
              <w:jc w:val="right"/>
              <w:ind w:right="200"/>
              <w:spacing w:after="0" w:line="172" w:lineRule="exact"/>
              <w:rPr>
                <w:sz w:val="20"/>
                <w:szCs w:val="20"/>
                <w:color w:val="auto"/>
              </w:rPr>
            </w:pPr>
            <w:r>
              <w:rPr>
                <w:rFonts w:ascii="Times New Roman" w:cs="Times New Roman" w:eastAsia="Times New Roman" w:hAnsi="Times New Roman"/>
                <w:sz w:val="18"/>
                <w:szCs w:val="18"/>
                <w:color w:val="auto"/>
              </w:rPr>
              <w:t>1.66</w:t>
            </w:r>
          </w:p>
        </w:tc>
        <w:tc>
          <w:tcPr>
            <w:tcW w:w="116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10/16/2030</w:t>
            </w:r>
          </w:p>
        </w:tc>
        <w:tc>
          <w:tcPr>
            <w:tcW w:w="8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2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Dr. Marc Uknis</w:t>
            </w:r>
          </w:p>
        </w:tc>
        <w:tc>
          <w:tcPr>
            <w:tcW w:w="1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10/16/2020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1,093,980</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7"/>
                <w:szCs w:val="17"/>
                <w:color w:val="auto"/>
              </w:rPr>
              <w:t>1.66</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10/16/2030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29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Dr. Scott Lauder</w:t>
            </w:r>
          </w:p>
        </w:tc>
        <w:tc>
          <w:tcPr>
            <w:tcW w:w="1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11/5/2017</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7"/>
                <w:szCs w:val="17"/>
                <w:color w:val="auto"/>
              </w:rPr>
              <w:t>235,206</w:t>
            </w:r>
          </w:p>
        </w:tc>
        <w:tc>
          <w:tcPr>
            <w:tcW w:w="13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78,400</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7"/>
                <w:szCs w:val="17"/>
                <w:color w:val="auto"/>
              </w:rPr>
              <w:t>0.28</w:t>
            </w: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8/28/2028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3/11/2020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gridSpan w:val="2"/>
            <w:shd w:val="clear" w:color="auto" w:fill="CCEEFF"/>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75,000</w:t>
            </w:r>
          </w:p>
        </w:tc>
        <w:tc>
          <w:tcPr>
            <w:tcW w:w="1060" w:type="dxa"/>
            <w:vAlign w:val="bottom"/>
            <w:gridSpan w:val="2"/>
            <w:shd w:val="clear" w:color="auto" w:fill="CCEEFF"/>
          </w:tcPr>
          <w:p>
            <w:pPr>
              <w:jc w:val="right"/>
              <w:ind w:right="200"/>
              <w:spacing w:after="0" w:line="171" w:lineRule="exact"/>
              <w:rPr>
                <w:sz w:val="20"/>
                <w:szCs w:val="20"/>
                <w:color w:val="auto"/>
              </w:rPr>
            </w:pPr>
            <w:r>
              <w:rPr>
                <w:rFonts w:ascii="Times New Roman" w:cs="Times New Roman" w:eastAsia="Times New Roman" w:hAnsi="Times New Roman"/>
                <w:sz w:val="18"/>
                <w:szCs w:val="18"/>
                <w:color w:val="auto"/>
              </w:rPr>
              <w:t>0.55</w:t>
            </w:r>
          </w:p>
        </w:tc>
        <w:tc>
          <w:tcPr>
            <w:tcW w:w="1160" w:type="dxa"/>
            <w:vAlign w:val="bottom"/>
            <w:gridSpan w:val="2"/>
            <w:shd w:val="clear" w:color="auto" w:fill="CCEEFF"/>
          </w:tcPr>
          <w:p>
            <w:pPr>
              <w:jc w:val="right"/>
              <w:ind w:right="220"/>
              <w:spacing w:after="0" w:line="171" w:lineRule="exact"/>
              <w:rPr>
                <w:sz w:val="20"/>
                <w:szCs w:val="20"/>
                <w:color w:val="auto"/>
              </w:rPr>
            </w:pPr>
            <w:r>
              <w:rPr>
                <w:rFonts w:ascii="Times New Roman" w:cs="Times New Roman" w:eastAsia="Times New Roman" w:hAnsi="Times New Roman"/>
                <w:sz w:val="18"/>
                <w:szCs w:val="18"/>
                <w:color w:val="auto"/>
              </w:rPr>
              <w:t>3/11/2030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10/16/2020</w:t>
            </w:r>
          </w:p>
        </w:tc>
        <w:tc>
          <w:tcPr>
            <w:tcW w:w="2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0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96,971</w:t>
            </w:r>
          </w:p>
        </w:tc>
        <w:tc>
          <w:tcPr>
            <w:tcW w:w="1060" w:type="dxa"/>
            <w:vAlign w:val="bottom"/>
            <w:gridSpan w:val="2"/>
            <w:shd w:val="clear" w:color="auto" w:fill="CCEEFF"/>
          </w:tcPr>
          <w:p>
            <w:pPr>
              <w:jc w:val="right"/>
              <w:ind w:right="200"/>
              <w:spacing w:after="0" w:line="172" w:lineRule="exact"/>
              <w:rPr>
                <w:sz w:val="20"/>
                <w:szCs w:val="20"/>
                <w:color w:val="auto"/>
              </w:rPr>
            </w:pPr>
            <w:r>
              <w:rPr>
                <w:rFonts w:ascii="Times New Roman" w:cs="Times New Roman" w:eastAsia="Times New Roman" w:hAnsi="Times New Roman"/>
                <w:sz w:val="18"/>
                <w:szCs w:val="18"/>
                <w:color w:val="auto"/>
              </w:rPr>
              <w:t>1.66</w:t>
            </w:r>
          </w:p>
        </w:tc>
        <w:tc>
          <w:tcPr>
            <w:tcW w:w="116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10/16/2030</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vMerge w:val="continue"/>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line="17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46,250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1020" w:type="dxa"/>
            <w:vAlign w:val="bottom"/>
            <w:gridSpan w:val="3"/>
            <w:shd w:val="clear" w:color="auto" w:fill="CCEEFF"/>
          </w:tcPr>
          <w:p>
            <w:pPr>
              <w:jc w:val="right"/>
              <w:ind w:right="100"/>
              <w:spacing w:after="0" w:line="172" w:lineRule="exact"/>
              <w:rPr>
                <w:sz w:val="20"/>
                <w:szCs w:val="20"/>
                <w:color w:val="auto"/>
              </w:rPr>
            </w:pPr>
            <w:r>
              <w:rPr>
                <w:rFonts w:ascii="Times New Roman" w:cs="Times New Roman" w:eastAsia="Times New Roman" w:hAnsi="Times New Roman"/>
                <w:sz w:val="18"/>
                <w:szCs w:val="18"/>
                <w:color w:val="auto"/>
              </w:rPr>
              <w:t>$   76,775</w:t>
            </w:r>
          </w:p>
        </w:tc>
        <w:tc>
          <w:tcPr>
            <w:tcW w:w="0" w:type="dxa"/>
            <w:vAlign w:val="bottom"/>
          </w:tcPr>
          <w:p>
            <w:pPr>
              <w:spacing w:after="0"/>
              <w:rPr>
                <w:sz w:val="1"/>
                <w:szCs w:val="1"/>
                <w:color w:val="auto"/>
              </w:rPr>
            </w:pPr>
          </w:p>
        </w:tc>
      </w:tr>
      <w:tr>
        <w:trPr>
          <w:trHeight w:val="44"/>
        </w:trPr>
        <w:tc>
          <w:tcPr>
            <w:tcW w:w="2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line="261"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fair market value of our common stock as of December 31, 2020 of $1.66 as determined by the Gemini board of directors, after consideration of relevant factors, including third-party valuation report.</w:t>
      </w:r>
    </w:p>
    <w:p>
      <w:pPr>
        <w:jc w:val="both"/>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in 16 equal quarterly installments over the four years following vesting commencement date, subject to Dr. Lauder’s continued service, subject to full acceleration on a change of control.</w:t>
      </w:r>
    </w:p>
    <w:p>
      <w:pPr>
        <w:ind w:left="340" w:hanging="332"/>
        <w:spacing w:after="0" w:line="260"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Equity Incentive Plan was adopted by the Board on October 15, 2020 and became effective on February 4, 2021. The Equity Incentive Plan replaced the 2017 Plan as Old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Gemini will assure a closer alignment of the interests of such individuals with those of Gemini and its stockholders, thereby stimulating their efforts on Gemini’s behalf and strengthening their desire to remain with Gemini.</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spacing w:after="0" w:line="255"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$42,643,410.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Persons eligible to participate in our Equity Incentive Plan are those full or part-time officers, employees, non-employee directors, and consultants of Gemini as selected from time to time by our compensation committee in its discretion. Following the Closing, approximately 42 individuals will be eligible to participate in the Equity Incentive Plan, which includes approximately 5 officers, 26 employees who are not officers, 6 non-employee directors, and consultants.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Gemini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Gemini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Gemini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(i) who served as a non-employee member of our board of directors during 2020, (ii) who will serve as a director of Gemini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Gemini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2020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 w:type="dxa"/>
            <w:vAlign w:val="bottom"/>
          </w:tcPr>
          <w:p>
            <w:pPr>
              <w:spacing w:after="0"/>
              <w:rPr>
                <w:sz w:val="24"/>
                <w:szCs w:val="24"/>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9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258,296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Tuyen Ong</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11,358</w:t>
            </w:r>
          </w:p>
        </w:tc>
        <w:tc>
          <w:tcPr>
            <w:tcW w:w="18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258,296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0712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08" w:lineRule="exact"/>
        <w:rPr>
          <w:sz w:val="20"/>
          <w:szCs w:val="20"/>
          <w:color w:val="auto"/>
        </w:rPr>
      </w:pPr>
    </w:p>
    <w:p>
      <w:pPr>
        <w:jc w:val="both"/>
        <w:ind w:left="340" w:hanging="332"/>
        <w:spacing w:after="0" w:line="266"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financial statements appearing at the end of this prospectus regarding assumptions underlying the valuation of equity awards.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Transactions, pursuant to our non-employee director compensation policy, which is designed to enable us to attract and retain, on a long-term basis, highly qualified non-employee directors, each director who is not an employee will be paid cash compensation for serving on the Board, with such compensation to be paid on a quarterly basis in arrears: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non-employee elected or appointed to the Board following the Closing will be granted a one-time stock option award to purchase a number of shares of Common Stock equal to 0.08% of the total shares outstanding on the date of such director’s election or appointment to the Board,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0.04% of the total shares outstanding, which will vest in full of the earlier to occur of the first anniversary of the date of grant or the next annual meeting, subject to continued service as a director through such vesting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Gemini believes that although a portion of the compensation provided to its executive officers is performance- based, Gemini’s executive compensation program does not encourage excessive or unnecessary risk taking. This is primarily because its compensation programs are designed to create a greater focus on long-term value creation while balancing the need to meet shorter-term goals. The framework and goals of its annual performance-based incentive plan are consistent for all employees with a maximum cap for all payouts. Further all compensation decisions for its officers are approved by the compensation committee, while the chief executive officer’s compensation requires further approval by its board of directors.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following this transaction, the compensation committee will be responsible for reviewing and approving the design, goals and payouts under its annual bonus plan and equity incentive program for its named executive officers. The compensation committee directly engages an independent compensation consultant who advises on market competitive and best practices, as well as any potential risks related to its compensation programs. This includes pay mix, compensation vehicles, pay for performance alignment, performance measures and goals, payout maximums, vesting periods and compensation committee oversight and independence. Based on all the factors mentioned, Gemini believes its compensation policies, programs and practices do not create risks that are reasonably likely to have a material adverse effect on the company.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GEMINI’S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our securities does not purport to be complete and is subject to the Charter, the Bylaws and the provisions of applicable law. Copies of the Charter and the Bylaws are attached to this prospectus as Exhibits 3.1 and 3.2,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260,000,000 shares, consisting of 250,000,000 shares of Common Stock, $0.0001 par value per share, and 10,000,000 shares of preferred stock, $0.0001 par value. As of the date of this prospectus 45,301,990 shares of Common Stock and no shares of preferred stock are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Gemini’s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Gemini’s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Gemini Preferred Stock could have the effect of decreasing the trading price of Gemini Common Stock, restricting dividends on the capital stock of Gemini, diluting the voting power of the Gemini Common Stock, impairing the liquidation rights of the capital stock of Gemini, or delaying or preventing a change in control of Gemini.</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 and Vacancies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and the terms and conditions of the Voting Agreement, the number of directors of the Gemini board of directors shall be fixed solely and exclusively by resolution duly adopted from time to time by the Gemini board of directors, but shall initially consist of seven (7) directors, which shall be divided into three (3) classes, designated Class I, II and III, with Class I consisting of two (2) directors, Class II consisting of three (3) directors and Class III consisting of two (2)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Bylaws, at all meetings of stockholders called for the election of directors, a plurality of the votes properly cast will be sufficient to elect such directors to the Gemini Board.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as the DGCL or the Voting Agreement may otherwise require and subject to the rights, if any, of the holders of any series of Gemini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Gemini board of directors,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rights, if any, of any series of Gemini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Certificate of Incorporation. Subject to the terms and conditions of the Voting Agreement, in case the Gemini board of directors or any one or more directors should be so removed, new directors may be elected at the same time for the unexpired portion of the full term of the director or directors so removed.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powers and authorities hereinbefore or by statute expressly conferred upon them, the directors are hereby empowered to exercise all such powers and do all such acts and things as may be exercised or done by Gemini,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any director elected pursuant to the right, if any, of the holders of Gemini Preferred Stock to elect additional directors under specified circumstances will serve for such term or terms and pursuant to such other provisions as specified in the relevant certificate of designations related to the Gemini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Voting Agreement, see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225" w:lineRule="exact"/>
        <w:rPr>
          <w:sz w:val="20"/>
          <w:szCs w:val="20"/>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Gemini’s board of directors to issue up to 10,000,000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Gemini’s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Gemini’s stockholders may be called Gemini’s board of directors pursuant to a resolution adopted by a majority of the total number of authorized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Gemini’s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Gemini’s board of directors as well as for another party to obtain control of Gemini by replacing Gemini’s board of directors. Because Gemini’s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Gemini’s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Gemini’s board of directors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Gemini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 because Gemini’s principal executive offices are located in Cambridge, Massachusetts.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Common Stock immediately following the consummation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Gemini’s outstanding Common Stock immediately following the consummation of the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Gemini’s current executive officers and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Gemini as a group following the consummation of the Transaction.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Unless otherwise indicated, Gemini believes that all persons named in the table have sole voting and investment power with respect to all Common Stock beneficially owned by them. Unless otherwise noted, the business address of each of the executive officers and directors of Gemini is 300</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One Kendall Square,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Cambridge, MA 02139. The percentage of shares beneficially owned if based on 45,301,990 shares of Common Stock outstanding after giving effect to the Transactions.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Gregg Beloff</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Marc Uknis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4,870,250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(10 individuals)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5,376,806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4,870,250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Orbimed Private Investments VI, LP</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5,826,224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Atlas Ventures</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5,254,365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Lightstone Ventures</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56"/>
        </w:trPr>
        <w:tc>
          <w:tcPr>
            <w:tcW w:w="8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52"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exercisable as of February 5, 2021 or will become exercisable within 60 days of such date.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exercisable as of February 5, 2021 or will become exercisable within 60 days of such date.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issued as Merger consideration and shares of Common Stock that are exercisable as of February 5, 2021 or will become exercisable within 60 days of such date.</w:t>
      </w: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are exercisable as of February 5, 2021 or will become exercisable within 60 days of such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left="340" w:hanging="332"/>
        <w:spacing w:after="0" w:line="253"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Holdings, LLC is the record holder of 4,870,250 shares reported herein, including 1,500,000 shares issued in the PIPE Investment.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jc w:val="both"/>
        <w:ind w:left="340" w:hanging="332"/>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5,316,224 shares issued as Merger Consideration to OrbiMed Private Investments VI, LP pursuant to the Agreement and Plan of Merger, dated as of October 15, 2020, by and among Gemini Therapeutics, Inc., FS Development Corp., FSG Merger Sub Inc. and Shareholder Representative Services LLC. Also represents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4,744,365 shares issued as Merger consideration (4,015,045 shares to Atlas Venture Fund X, L.P. (“Atlas Fund X”) and 729,320 shares to Atlas Venture Opportunity Fund I, L.P. (“Atlas Fund I”)) pursuant to the Agreement and Plan of Merger, dated as of October 15, 2020, by and among Gemini Therapeutics, Inc., FS Development Corp., FSG Merger Sub Inc. and Shareholder Representative Services LLC.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Also 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2" w:lineRule="exact"/>
        <w:rPr>
          <w:rFonts w:ascii="Times New Roman" w:cs="Times New Roman" w:eastAsia="Times New Roman" w:hAnsi="Times New Roman"/>
          <w:sz w:val="17"/>
          <w:szCs w:val="17"/>
          <w:color w:val="auto"/>
        </w:rPr>
      </w:pPr>
    </w:p>
    <w:p>
      <w:pPr>
        <w:jc w:val="both"/>
        <w:ind w:left="340" w:hanging="332"/>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4,436,106 shares issued as Merger Consideration (1,308,198 shares to Lightstone Singapore, L.P. (“LV Singapore”), 375,040 shares to Lightstone Ventures (A), L.P. (“LV(A) LP”) and 2,752,868 shares to Lightstone Ventures, L.P. (“LV LP”)) pursuant to the Agreement and Plan of Merger, dated as of October 15, 2020, by and among Gemini Therapeutics, Inc., FS Development Corp., FSG Merger Sub Inc. and Shareholder Representative Services LLC.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 Also represents 400,000 shares issued in the private placement of public securities (“PIPE”) on February 5, 2021.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issued in the PIPE Investment. 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from time to time of up to an aggregate of 9,506,000 shares of common stock that were issued to the PIPE Investors in the PIPE Investment.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45,301,990 shares of common stock outstanding as of February 5,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Owned prior</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Beneficially</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 the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the</w:t>
            </w:r>
          </w:p>
        </w:tc>
        <w:tc>
          <w:tcPr>
            <w:tcW w:w="26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 the Offered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Securities are Sold</w:t>
            </w: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20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Acorn Bioventures, L.P. (1)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Alyeska Master Fund, L.P. (2)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Artemis Partners Ltd. (3)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Atlas Venture* (4)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5,254,365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4,744,365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Averill Master Fund, Ltd. (5)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1,349,457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899,457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Boxer Capital, LLC (6)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CVF 2018, LLC (7)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DAFNA (8)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Fidelity (9)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Franklin (10)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FS Development Holdings, LLC* (11)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4,870,250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3,370,250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Hawkes Bay Master Investors (Cayman) L.P. (12)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1,030,300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629,300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Innovation Investment Fund LLC* (13)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Salthill (14)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299,000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Lightstone Ventures* (15)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4,836,106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4,436,106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OrbiMed Private Investments VI, L.P.* (16)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5,826,224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5,316,224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associated with T. Rowe Price (17)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Wu Capital Investment LLC* (18)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2,045,975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1,905,975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0712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02" w:lineRule="exact"/>
        <w:rPr>
          <w:sz w:val="20"/>
          <w:szCs w:val="20"/>
          <w:color w:val="auto"/>
        </w:rPr>
      </w:pPr>
    </w:p>
    <w:p>
      <w:pPr>
        <w:ind w:left="340" w:hanging="332"/>
        <w:spacing w:after="0" w:line="26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shares are subject to a contractual lockup for 180 days following the Closing Date as described under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w:t>
      </w:r>
      <w:r>
        <w:rPr>
          <w:rFonts w:ascii="Times New Roman" w:cs="Times New Roman" w:eastAsia="Times New Roman" w:hAnsi="Times New Roman"/>
          <w:sz w:val="18"/>
          <w:szCs w:val="18"/>
          <w:color w:val="auto"/>
        </w:rPr>
        <w:t>”</w:t>
      </w: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Acorn Bioventures, L.P. is 420 Lexington Avenue, Suite 2626, New York, NY 10170.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Alyeska Master Fund, L.P. is 77 W. Wacker, Suite 700, Chicago, IL 60601.</w:t>
      </w:r>
    </w:p>
    <w:p>
      <w:pPr>
        <w:spacing w:after="0" w:line="9" w:lineRule="exact"/>
        <w:rPr>
          <w:rFonts w:ascii="Times New Roman" w:cs="Times New Roman" w:eastAsia="Times New Roman" w:hAnsi="Times New Roman"/>
          <w:sz w:val="18"/>
          <w:szCs w:val="18"/>
          <w:color w:val="auto"/>
        </w:rPr>
      </w:pPr>
    </w:p>
    <w:p>
      <w:pPr>
        <w:ind w:left="340" w:hanging="332"/>
        <w:spacing w:after="0" w:line="182" w:lineRule="auto"/>
        <w:tabs>
          <w:tab w:leader="none" w:pos="340" w:val="left"/>
        </w:tabs>
        <w:numPr>
          <w:ilvl w:val="0"/>
          <w:numId w:val="7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address of Artemis Partners Ltd. is Harneys Fiduciary (Cayman) Limited,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Harbour Place, 103 South Church Street, P.O. Box 10240, Grand Cayman KY1-1002, Cayman Islands.</w:t>
      </w:r>
    </w:p>
    <w:p>
      <w:pPr>
        <w:spacing w:after="0" w:line="1" w:lineRule="exact"/>
        <w:rPr>
          <w:rFonts w:ascii="Times New Roman" w:cs="Times New Roman" w:eastAsia="Times New Roman" w:hAnsi="Times New Roman"/>
          <w:sz w:val="36"/>
          <w:szCs w:val="36"/>
          <w:color w:val="auto"/>
          <w:vertAlign w:val="superscript"/>
        </w:rPr>
      </w:pPr>
    </w:p>
    <w:p>
      <w:pPr>
        <w:jc w:val="both"/>
        <w:ind w:left="340" w:hanging="332"/>
        <w:spacing w:after="0" w:line="221"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4,015,045 shares held of record by Atlas Venture Fund X, L.P., (ii) 729,320 shares held of record by Atlas Venture Opportunity Fund I, L.P. and (iii) 510,000 shares of common stock purchased in the PIPE Financing held by Atlas Venture Fund XII, L.P. The address of funds associated with Atlas Venture is 300 Technology Sq.,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Cambridge, MA 02139.</w:t>
      </w:r>
    </w:p>
    <w:p>
      <w:pPr>
        <w:spacing w:after="0" w:line="1" w:lineRule="exact"/>
        <w:rPr>
          <w:rFonts w:ascii="Times New Roman" w:cs="Times New Roman" w:eastAsia="Times New Roman" w:hAnsi="Times New Roman"/>
          <w:sz w:val="18"/>
          <w:szCs w:val="18"/>
          <w:color w:val="auto"/>
        </w:rPr>
      </w:pPr>
    </w:p>
    <w:p>
      <w:pPr>
        <w:ind w:left="340" w:hanging="332"/>
        <w:spacing w:after="0" w:line="209"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899,457 shares held of record and (ii) 450,000 shares of common stock purchased in the PIPE Financing. The address of Averill Master Fund, Ltd. is Survetta Capital Management, LLC, 540 Madison Avenue,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Boxer Capital, LLC is 12860 El Camino Real, Suite 300, San Diego, CA 92130.</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CVF 2018, LLC is 222 N. LaSalle Street, Suite 2000, Chicago, IL 60601.</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111,000 shares of common stock purchased in the PIPE Financing held by DAFNA LifeScience LP and (ii) 39,000 shares of common stock purchased in the PIPE Financing held by DAFNA LifeScience Select LP. The address of funds associated with DAFNA is 10990 Wilshire Blvd., Suite 1400, Los Angeles, CA 90024.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1,000,000 shares of common stock purchased in the PIPE Financing held by Fidelity Select Portfolios: Biotechnology Portfolio, (ii) 612,969 shares of common stock purchased in the PIPE Financing held by Fidelity Growth Company Commingled Pool, (iii) 658,627 shares of common stock purchased in the PIPE Financing held by Fidelity Mt. Vernon street Trust: Fidelity Growth Company Fund, (iv) 96,363 shares of common stock purchased in the PIPE Financing held by Fidelity Mt. Vernon Street Trust: Fidelity Growth Company K6 Fund and (v) 132,041 shares of common stock purchased in the PIPE Financing held by Fidelity Mt. Vernon Street Trust: Fidelity Series Growth Company Fund. The address of funds associated with Fidelity is 245 Summer Street, Boston, MA 02066.</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103,589 shares of common stock purchased in the PIPE Financing held by Franklin Strategic Series – Franklin Biotechnology Discovery Fund and (ii) 146,411 shares of common stock purchased in the PIPE Financing held by Franklin Templeton Investment Funds – Franklin Biotechnology Discovery Fund. The address of funds associated with Franklin is One Franklin Parkway, San Mateo, CA 94403.</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3,370,250 shares held of record and (ii) 1,500,000 shares of common stock purchased in the PIPE Financing. The address of FS Development Holdings, LLC is 600 Montgomery Street, Suite 4500, San Francisco, CA 94111.</w:t>
      </w:r>
    </w:p>
    <w:p>
      <w:pPr>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funds associated with Hawkes Bay Master Investors (Cayman) L.P. is c/o Wellington Management Company 280 Congress Street, Boston, MA 02110.</w:t>
      </w:r>
    </w:p>
    <w:p>
      <w:pPr>
        <w:ind w:left="340" w:hanging="332"/>
        <w:spacing w:after="0" w:line="192" w:lineRule="auto"/>
        <w:tabs>
          <w:tab w:leader="none" w:pos="340" w:val="left"/>
        </w:tabs>
        <w:numPr>
          <w:ilvl w:val="0"/>
          <w:numId w:val="7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The address of Healthcare Innovation Investment Fund LLC is 1 Federal Street, 37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Floor, Boston, MA 02210.</w:t>
      </w:r>
    </w:p>
    <w:p>
      <w:pPr>
        <w:jc w:val="both"/>
        <w:ind w:left="340" w:hanging="332"/>
        <w:spacing w:after="0" w:line="249"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198,100 shares of common stock purchased in the PIPE Financing held by Salthill Investors (Bermuda) L.P. and (ii) 100,900 shares of common stock purchased in the PIPE Financing held by Salthill Partners, L.P. The address of funds associated with Salthill is c/o Wellington Management Company 280 Congress Street, Boston, MA 02110.</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2,752,868 shares held of record by Lightstone Ventures, L.P., (ii) 375,040 shares held of record by Lightstone Ventures (A), L.P., (iii) 1,308,198 shares held of record by Lightstone Singapore, L.P., (iv) 44,000 shares of common stock purchased in the PIPE Financing held by Lightstone Ventures, L.P., (v) 6,000 shares of common stock purchased in the PIPE Financing held by Lightstone Ventures (A), L.P. and (vi) 350,000 shares of common stock purchased in the PIPE Financing held by Lightstone Singapore, L.P. The address of funds associated with Lightstone Ventures is 500 Boylston St., Suite 1380, Boston, MA 02116.</w:t>
      </w:r>
    </w:p>
    <w:p>
      <w:pPr>
        <w:spacing w:after="0" w:line="1" w:lineRule="exact"/>
        <w:rPr>
          <w:rFonts w:ascii="Times New Roman" w:cs="Times New Roman" w:eastAsia="Times New Roman" w:hAnsi="Times New Roman"/>
          <w:sz w:val="18"/>
          <w:szCs w:val="18"/>
          <w:color w:val="auto"/>
        </w:rPr>
      </w:pPr>
    </w:p>
    <w:p>
      <w:pPr>
        <w:ind w:left="340" w:hanging="332"/>
        <w:spacing w:after="0" w:line="210"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5,316,224 shares held of record and (ii) 510,000 shares of common stock purchased in the PIPE Financing. The address of OrbiMed Private Investments VI, L.P. is 601 Lexington Avenue, 54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636,471 shares of common stock purchased in the PIPE Financing held by T. Rowe Price Health Sciences Fund, Inc., (ii) 49,217 shares of common stock purchased in the PIPE Financing held by TD Mutual Funds – TD Health Sciences Fund, (iii) 25,933 shares of common stock purchased in the PIPE Financing held by VALIC Company I – Health Sciences Fund and (iv) 28,379 shares of common stock purchased in the PIPE</w:t>
      </w:r>
    </w:p>
    <w:p>
      <w:pPr>
        <w:sectPr>
          <w:pgSz w:w="11900" w:h="16838" w:orient="portrait"/>
          <w:cols w:equalWidth="0" w:num="1">
            <w:col w:w="11240"/>
          </w:cols>
          <w:pgMar w:left="320" w:top="900" w:right="339" w:bottom="0" w:gutter="0" w:footer="0" w:header="0"/>
        </w:sectPr>
      </w:pPr>
    </w:p>
    <w:bookmarkStart w:id="118" w:name="page119"/>
    <w:bookmarkEnd w:id="118"/>
    <w:p>
      <w:pPr>
        <w:ind w:left="340"/>
        <w:spacing w:after="0" w:line="261" w:lineRule="auto"/>
        <w:rPr>
          <w:sz w:val="20"/>
          <w:szCs w:val="20"/>
          <w:color w:val="auto"/>
        </w:rPr>
      </w:pPr>
      <w:r>
        <w:rPr>
          <w:rFonts w:ascii="Times New Roman" w:cs="Times New Roman" w:eastAsia="Times New Roman" w:hAnsi="Times New Roman"/>
          <w:sz w:val="18"/>
          <w:szCs w:val="18"/>
          <w:color w:val="auto"/>
        </w:rPr>
        <w:t>Financing held by T. Rowe Price Health Sciences Portfolio. The address of funds associated with T. Rowe Price is 100 East Pratt Street, Baltimore, MD 21202.</w:t>
      </w:r>
    </w:p>
    <w:p>
      <w:pPr>
        <w:ind w:left="340" w:hanging="332"/>
        <w:spacing w:after="0" w:line="260" w:lineRule="auto"/>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1,905,975 shares held of record and (ii) 140,000 shares of common stock purchased in the PIPE Financing. The address of Wu Capital Investment LLC is 1065 East Hillsdale Blvd., Suite 245, Foster City, CA 94404.</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Internal Revenue Code of 1986, as amended (the “Code”)), including but not limited to:</w:t>
      </w:r>
    </w:p>
    <w:p>
      <w:pPr>
        <w:spacing w:after="0" w:line="180"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 or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our common stock,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who or that is for U.S. federal income tax purposes:</w:t>
      </w:r>
    </w:p>
    <w:p>
      <w:pPr>
        <w:spacing w:after="0" w:line="162"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we make to a Non-U.S. holder of shares of our common stock, to the extent paid out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A Non-U.S. holder generally will not be subject to U.S. federal income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in respect of gain recognized on a sale, taxable exchange or other taxable disposition of our common stock, unless:</w:t>
      </w:r>
    </w:p>
    <w:p>
      <w:pPr>
        <w:spacing w:after="0" w:line="160"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will be filed with the IRS in connection with payments of dividends and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(including constructive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possible offer and sale from time to time by the Selling Securityholders, or their permitted transferees, of up to an aggregate of 9,506,000 shares of our common stock that were issued to PIPE Investors in a private placement in connection with the closing of the Business Combination. We are also registering any additional securities that may become issuable by reason of share splits, share dividends or other similar transactions.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176"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5" w:name="page126"/>
    <w:bookmarkEnd w:id="125"/>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“GMTX”.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common stock to be issued in connection with this prospectus has been passed upon by Goodwin Procter LLP, Boston, Massachusetts.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FSDC as of June 30, 2020, and for the period from June 25,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WithumSmith+Brown, PC (“Withum”) served as independent registered public accounting firm of FSDC prior to the completion of the Transactions. Accordingly, Withum was informed that the Board approved Withum’s dismissal as Gemini’s independent registered public accounting firm once it completes the audit of FSDC for the fiscal year ended December 31, 2020 (the “Effective Dismissal Time”).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5, 2021, the Board approved the engagement of Ernst &amp; Young LLP (“E&amp;Y”) as Gemini’s new independent registered public accounting firm effective as of the Effective Dismissal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Withum on the audited financial statements of FSDC for the period from June 25, 2020 (inception) through June 30, 2020, contained no adverse opinion or disclaimer of opinion and were not qualified or modified as to uncertainty, audit scope or accounting principles.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Withum’s audit for the period from June 25, 2020 (inception) through June 30, 2020, and their reviews of FSDC’s financial statements, there were no disagreements with Withum on any matter of accounting principles or practices, financial statement disclosure, or auditing scope or procedure, which disagreements, if not resolved to the satisfaction of Withum, would have caused them to make reference thereto in their reports on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maintain a website at https://geminitherapeutics.com/.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80" w:type="dxa"/>
            <w:vAlign w:val="bottom"/>
            <w:gridSpan w:val="8"/>
          </w:tcPr>
          <w:p>
            <w:pPr>
              <w:ind w:left="9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000" w:type="dxa"/>
            <w:vAlign w:val="bottom"/>
          </w:tcPr>
          <w:p>
            <w:pPr>
              <w:spacing w:after="0"/>
              <w:rPr>
                <w:sz w:val="20"/>
                <w:szCs w:val="20"/>
                <w:color w:val="auto"/>
              </w:rPr>
            </w:pPr>
          </w:p>
        </w:tc>
      </w:tr>
      <w:tr>
        <w:trPr>
          <w:trHeight w:val="410"/>
        </w:trPr>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5"/>
        </w:trPr>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10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FSDC</w:t>
            </w: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Unaudited Condensed Balance Sheet as of September 30, 2020</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176"/>
        </w:trPr>
        <w:tc>
          <w:tcPr>
            <w:tcW w:w="101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Unaudited Condensed Statement of Operations for the three months ended September 30, 2020 and for the period from June 25, 2020</w:t>
              </w:r>
            </w:hyperlink>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0000EE"/>
            </w:tcBorders>
            <w:gridSpan w:val="3"/>
            <w:shd w:val="clear" w:color="auto" w:fill="CCEEFF"/>
          </w:tcPr>
          <w:p>
            <w:pPr>
              <w:ind w:left="20"/>
              <w:spacing w:after="0" w:line="196" w:lineRule="exact"/>
              <w:rPr>
                <w:rFonts w:ascii="Times New Roman" w:cs="Times New Roman" w:eastAsia="Times New Roman" w:hAnsi="Times New Roman"/>
                <w:sz w:val="18"/>
                <w:szCs w:val="18"/>
                <w:color w:val="0000EE"/>
                <w:w w:val="99"/>
              </w:rPr>
            </w:pPr>
            <w:hyperlink w:anchor="page131">
              <w:r>
                <w:rPr>
                  <w:rFonts w:ascii="Times New Roman" w:cs="Times New Roman" w:eastAsia="Times New Roman" w:hAnsi="Times New Roman"/>
                  <w:sz w:val="18"/>
                  <w:szCs w:val="18"/>
                  <w:color w:val="0000EE"/>
                  <w:w w:val="99"/>
                </w:rPr>
                <w:t>(inception) through September 30, 2020</w:t>
              </w:r>
            </w:hyperlink>
          </w:p>
        </w:tc>
        <w:tc>
          <w:tcPr>
            <w:tcW w:w="7180" w:type="dxa"/>
            <w:vAlign w:val="bottom"/>
            <w:tcBorders>
              <w:bottom w:val="single" w:sz="8" w:color="CCEEFF"/>
            </w:tcBorders>
            <w:gridSpan w:val="8"/>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16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Unaudited Condensed Statement of Changes in Stockholder’s equity for the three months ended September 30, 2020 and for the period</w:t>
              </w:r>
            </w:hyperlink>
          </w:p>
        </w:tc>
        <w:tc>
          <w:tcPr>
            <w:tcW w:w="8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11"/>
          </w:tcPr>
          <w:p>
            <w:pPr>
              <w:ind w:left="20"/>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from June 25, 2020 (inception) through September 30, 2020</w:t>
              </w:r>
            </w:hyperlink>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Unaudited Condensed Statement of Cash Flows for the period from June 25, 2020 (inception) through September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Notes to Unaudited Condensed Financial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FSDC</w:t>
            </w:r>
          </w:p>
        </w:tc>
        <w:tc>
          <w:tcPr>
            <w:tcW w:w="1000" w:type="dxa"/>
            <w:vAlign w:val="bottom"/>
          </w:tcPr>
          <w:p>
            <w:pPr>
              <w:spacing w:after="0"/>
              <w:rPr>
                <w:sz w:val="18"/>
                <w:szCs w:val="18"/>
                <w:color w:val="auto"/>
              </w:rPr>
            </w:pPr>
          </w:p>
        </w:tc>
      </w:tr>
      <w:tr>
        <w:trPr>
          <w:trHeight w:val="216"/>
        </w:trPr>
        <w:tc>
          <w:tcPr>
            <w:tcW w:w="1024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Report of Independent Registered Public Accounting Firm</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Balance Sheet as of June 30, 2020</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216"/>
        </w:trPr>
        <w:tc>
          <w:tcPr>
            <w:tcW w:w="1024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50">
              <w:r>
                <w:rPr>
                  <w:rFonts w:ascii="Times New Roman" w:cs="Times New Roman" w:eastAsia="Times New Roman" w:hAnsi="Times New Roman"/>
                  <w:sz w:val="18"/>
                  <w:szCs w:val="18"/>
                  <w:u w:val="single" w:color="auto"/>
                  <w:color w:val="0000EE"/>
                </w:rPr>
                <w:t>Statement of Changes in Stockholder’s Equity for the period from June 25, 2020 (inception) through June 30, 2020</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F-22</w:t>
            </w:r>
          </w:p>
        </w:tc>
      </w:tr>
      <w:tr>
        <w:trPr>
          <w:trHeight w:val="216"/>
        </w:trPr>
        <w:tc>
          <w:tcPr>
            <w:tcW w:w="1024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Notes to Financial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216"/>
        </w:trPr>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1000" w:type="dxa"/>
            <w:vAlign w:val="bottom"/>
          </w:tcPr>
          <w:p>
            <w:pPr>
              <w:spacing w:after="0"/>
              <w:rPr>
                <w:sz w:val="18"/>
                <w:szCs w:val="18"/>
                <w:color w:val="auto"/>
              </w:rPr>
            </w:pPr>
          </w:p>
        </w:tc>
      </w:tr>
      <w:tr>
        <w:trPr>
          <w:trHeight w:val="216"/>
        </w:trPr>
        <w:tc>
          <w:tcPr>
            <w:tcW w:w="10240" w:type="dxa"/>
            <w:vAlign w:val="bottom"/>
            <w:gridSpan w:val="12"/>
            <w:shd w:val="clear" w:color="auto" w:fill="CCEEFF"/>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Report of Independent Registered Public Accounting Firm</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16"/>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176"/>
        </w:trPr>
        <w:tc>
          <w:tcPr>
            <w:tcW w:w="1014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w:anchor="page162">
              <w:r>
                <w:rPr>
                  <w:rFonts w:ascii="Times New Roman" w:cs="Times New Roman" w:eastAsia="Times New Roman" w:hAnsi="Times New Roman"/>
                  <w:sz w:val="18"/>
                  <w:szCs w:val="18"/>
                  <w:color w:val="0000EE"/>
                </w:rPr>
                <w:t>Statements of Operations and Comprehensive Loss for the years ended December 31, 2018 and 2019, and (unaudited) for the nine months</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0000EE"/>
            </w:tcBorders>
            <w:gridSpan w:val="2"/>
            <w:shd w:val="clear" w:color="auto" w:fill="CCEEFF"/>
          </w:tcPr>
          <w:p>
            <w:pPr>
              <w:ind w:left="20"/>
              <w:spacing w:after="0" w:line="196" w:lineRule="exact"/>
              <w:rPr>
                <w:rFonts w:ascii="Times New Roman" w:cs="Times New Roman" w:eastAsia="Times New Roman" w:hAnsi="Times New Roman"/>
                <w:sz w:val="18"/>
                <w:szCs w:val="18"/>
                <w:color w:val="0000EE"/>
                <w:w w:val="98"/>
              </w:rPr>
            </w:pPr>
            <w:hyperlink w:anchor="page162">
              <w:r>
                <w:rPr>
                  <w:rFonts w:ascii="Times New Roman" w:cs="Times New Roman" w:eastAsia="Times New Roman" w:hAnsi="Times New Roman"/>
                  <w:sz w:val="18"/>
                  <w:szCs w:val="18"/>
                  <w:color w:val="0000EE"/>
                  <w:w w:val="98"/>
                </w:rPr>
                <w:t>ended September 30, 2019 and 2020</w:t>
              </w:r>
            </w:hyperlink>
          </w:p>
        </w:tc>
        <w:tc>
          <w:tcPr>
            <w:tcW w:w="7440" w:type="dxa"/>
            <w:vAlign w:val="bottom"/>
            <w:tcBorders>
              <w:bottom w:val="single" w:sz="8" w:color="CCEEFF"/>
            </w:tcBorders>
            <w:gridSpan w:val="9"/>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F-34</w:t>
            </w:r>
          </w:p>
        </w:tc>
      </w:tr>
      <w:tr>
        <w:trPr>
          <w:trHeight w:val="175"/>
        </w:trPr>
        <w:tc>
          <w:tcPr>
            <w:tcW w:w="10120" w:type="dxa"/>
            <w:vAlign w:val="bottom"/>
            <w:tcBorders>
              <w:bottom w:val="single" w:sz="8" w:color="0000EE"/>
            </w:tcBorders>
            <w:gridSpan w:val="8"/>
          </w:tcPr>
          <w:p>
            <w:pPr>
              <w:spacing w:after="0" w:line="176" w:lineRule="exact"/>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Statements of Convertible Preferred Stock and Stockholders’ Equity (Deficit) for the years ended December 31, 2018 and 2019, and</w:t>
              </w:r>
            </w:hyperlink>
          </w:p>
        </w:tc>
        <w:tc>
          <w:tcPr>
            <w:tcW w:w="120" w:type="dxa"/>
            <w:vAlign w:val="bottom"/>
            <w:gridSpan w:val="4"/>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10080" w:type="dxa"/>
            <w:vAlign w:val="bottom"/>
            <w:gridSpan w:val="11"/>
          </w:tcPr>
          <w:p>
            <w:pPr>
              <w:ind w:left="20"/>
              <w:spacing w:after="0" w:line="196" w:lineRule="exact"/>
              <w:rPr>
                <w:rFonts w:ascii="Times New Roman" w:cs="Times New Roman" w:eastAsia="Times New Roman" w:hAnsi="Times New Roman"/>
                <w:sz w:val="18"/>
                <w:szCs w:val="18"/>
                <w:color w:val="0000EE"/>
              </w:rPr>
            </w:pPr>
            <w:hyperlink w:anchor="page163">
              <w:r>
                <w:rPr>
                  <w:rFonts w:ascii="Times New Roman" w:cs="Times New Roman" w:eastAsia="Times New Roman" w:hAnsi="Times New Roman"/>
                  <w:sz w:val="18"/>
                  <w:szCs w:val="18"/>
                  <w:color w:val="0000EE"/>
                </w:rPr>
                <w:t>(unaudited) for the nine months ended September 30, 2019 and 2020</w:t>
              </w:r>
            </w:hyperlink>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20"/>
        </w:trPr>
        <w:tc>
          <w:tcPr>
            <w:tcW w:w="1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164">
              <w:r>
                <w:rPr>
                  <w:rFonts w:ascii="Times New Roman" w:cs="Times New Roman" w:eastAsia="Times New Roman" w:hAnsi="Times New Roman"/>
                  <w:sz w:val="18"/>
                  <w:szCs w:val="18"/>
                  <w:color w:val="0000EE"/>
                </w:rPr>
                <w:t>Statements of Cash Flows for the years ended December 31, 2018 and 2019, and (unaudited) for the nine months ended September 30, 2019</w:t>
              </w:r>
            </w:hyperlink>
          </w:p>
        </w:tc>
        <w:tc>
          <w:tcPr>
            <w:tcW w:w="1000" w:type="dxa"/>
            <w:vAlign w:val="bottom"/>
            <w:shd w:val="clear" w:color="auto" w:fill="CCEEFF"/>
          </w:tcPr>
          <w:p>
            <w:pPr>
              <w:spacing w:after="0"/>
              <w:rPr>
                <w:sz w:val="15"/>
                <w:szCs w:val="15"/>
                <w:color w:val="auto"/>
              </w:rPr>
            </w:pPr>
          </w:p>
        </w:tc>
      </w:tr>
      <w:tr>
        <w:trPr>
          <w:trHeight w:val="217"/>
        </w:trPr>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6"/>
              </w:rPr>
            </w:pPr>
            <w:hyperlink w:anchor="page164">
              <w:r>
                <w:rPr>
                  <w:rFonts w:ascii="Times New Roman" w:cs="Times New Roman" w:eastAsia="Times New Roman" w:hAnsi="Times New Roman"/>
                  <w:sz w:val="18"/>
                  <w:szCs w:val="18"/>
                  <w:color w:val="0000EE"/>
                  <w:w w:val="96"/>
                </w:rPr>
                <w:t>and 2020</w:t>
              </w:r>
            </w:hyperlink>
          </w:p>
        </w:tc>
        <w:tc>
          <w:tcPr>
            <w:tcW w:w="926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234"/>
        </w:trPr>
        <w:tc>
          <w:tcPr>
            <w:tcW w:w="102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Notes to Financial Statements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FSDC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80" w:type="dxa"/>
            <w:vAlign w:val="bottom"/>
          </w:tcPr>
          <w:p>
            <w:pPr>
              <w:spacing w:after="0"/>
              <w:rPr>
                <w:sz w:val="20"/>
                <w:szCs w:val="20"/>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40,489</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552,402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4,778,652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 at $10.00 per share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0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 issued and outstanding (excluding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11,258,033 shares subject to possible redemption)</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 issued and outstanding</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(500,911)</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Period From</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25,</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(inception)</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49,914</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12,516,500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3,018,750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 25, 2020 (INCEPTION) THROUGH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700" w:type="dxa"/>
            <w:vAlign w:val="bottom"/>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7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80"/>
        </w:trPr>
        <w:tc>
          <w:tcPr>
            <w:tcW w:w="27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 common stock</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Sponsor</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24,698</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03"/>
        </w:trPr>
        <w:tc>
          <w:tcPr>
            <w:tcW w:w="2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June 30, 2020</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3,018,750</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24,698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(1,500)</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23,500</w:t>
            </w:r>
          </w:p>
        </w:tc>
        <w:tc>
          <w:tcPr>
            <w:tcW w:w="80" w:type="dxa"/>
            <w:vAlign w:val="bottom"/>
            <w:tcBorders>
              <w:top w:val="single" w:sz="8" w:color="CCEEFF"/>
            </w:tcBorders>
          </w:tcPr>
          <w:p>
            <w:pPr>
              <w:spacing w:after="0"/>
              <w:rPr>
                <w:sz w:val="17"/>
                <w:szCs w:val="17"/>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shares in initial public</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gross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12,075,000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120,748,792</w:t>
            </w: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120,750,000</w:t>
            </w:r>
          </w:p>
        </w:tc>
        <w:tc>
          <w:tcPr>
            <w:tcW w:w="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(7,108,754)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(7,108,754)</w:t>
            </w: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shares to</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 in private placement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441,500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4,414,956</w:t>
            </w: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4,415,000</w:t>
            </w:r>
          </w:p>
        </w:tc>
        <w:tc>
          <w:tcPr>
            <w:tcW w:w="80" w:type="dxa"/>
            <w:vAlign w:val="bottom"/>
            <w:shd w:val="clear" w:color="auto" w:fill="CCEEFF"/>
          </w:tcPr>
          <w:p>
            <w:pPr>
              <w:spacing w:after="0"/>
              <w:rPr>
                <w:sz w:val="20"/>
                <w:szCs w:val="20"/>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(11,258,033)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(112,579,204)</w:t>
            </w:r>
          </w:p>
        </w:tc>
        <w:tc>
          <w:tcPr>
            <w:tcW w:w="1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(112,580,330)</w:t>
            </w:r>
          </w:p>
        </w:tc>
      </w:tr>
      <w:tr>
        <w:trPr>
          <w:trHeight w:val="26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(499,411)</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(499,411)</w:t>
            </w:r>
          </w:p>
        </w:tc>
      </w:tr>
      <w:tr>
        <w:trPr>
          <w:trHeight w:val="167"/>
        </w:trPr>
        <w:tc>
          <w:tcPr>
            <w:tcW w:w="27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52"/>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1,258,467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5,500,488</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(500,911)</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5,000,005</w:t>
            </w:r>
          </w:p>
        </w:tc>
        <w:tc>
          <w:tcPr>
            <w:tcW w:w="80" w:type="dxa"/>
            <w:vAlign w:val="bottom"/>
          </w:tcPr>
          <w:p>
            <w:pPr>
              <w:spacing w:after="0"/>
              <w:rPr>
                <w:sz w:val="21"/>
                <w:szCs w:val="21"/>
                <w:color w:val="auto"/>
              </w:rPr>
            </w:pPr>
          </w:p>
        </w:tc>
      </w:tr>
      <w:tr>
        <w:trPr>
          <w:trHeight w:val="27"/>
        </w:trPr>
        <w:tc>
          <w:tcPr>
            <w:tcW w:w="2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Franchise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issuance of Class B common stock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p>
      <w:pPr>
        <w:spacing w:after="0" w:line="2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hanging="475"/>
        <w:spacing w:after="0"/>
        <w:tabs>
          <w:tab w:leader="none" w:pos="4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(500,911)</w:t>
      </w:r>
    </w:p>
    <w:p>
      <w:pPr>
        <w:spacing w:after="0" w:line="38"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(1,489)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(169,570)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39,489</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49,914</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391,999</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(190,568)</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(120,750,000)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(120,750,000)</w:t>
      </w:r>
    </w:p>
    <w:p>
      <w:pPr>
        <w:spacing w:after="0" w:line="200" w:lineRule="exact"/>
        <w:rPr>
          <w:sz w:val="20"/>
          <w:szCs w:val="20"/>
          <w:color w:val="auto"/>
        </w:rPr>
      </w:pPr>
    </w:p>
    <w:p>
      <w:pPr>
        <w:spacing w:after="0" w:line="2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25,000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200,000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120,750,000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4,415,000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(2,811,504)</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122,378,496</w:t>
      </w:r>
    </w:p>
    <w:p>
      <w:pPr>
        <w:spacing w:after="0" w:line="2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1,437,928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00" w:hanging="395"/>
        <w:spacing w:after="0"/>
        <w:tabs>
          <w:tab w:leader="none" w:pos="400" w:val="left"/>
        </w:tabs>
        <w:numPr>
          <w:ilvl w:val="0"/>
          <w:numId w:val="83"/>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700" w:hanging="695"/>
        <w:spacing w:after="0"/>
        <w:tabs>
          <w:tab w:leader="none" w:pos="7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sz w:val="20"/>
          <w:szCs w:val="20"/>
          <w:color w:val="auto"/>
        </w:rPr>
      </w:pPr>
    </w:p>
    <w:p>
      <w:pPr>
        <w:ind w:left="620" w:hanging="615"/>
        <w:spacing w:after="0"/>
        <w:tabs>
          <w:tab w:leader="none" w:pos="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w:t>
      </w:r>
    </w:p>
    <w:p>
      <w:pPr>
        <w:spacing w:after="0" w:line="9" w:lineRule="exact"/>
        <w:rPr>
          <w:sz w:val="20"/>
          <w:szCs w:val="20"/>
          <w:color w:val="auto"/>
        </w:rPr>
      </w:pPr>
    </w:p>
    <w:p>
      <w:pPr>
        <w:ind w:left="400" w:hanging="395"/>
        <w:spacing w:after="0"/>
        <w:tabs>
          <w:tab w:leader="none" w:pos="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4,226,250</w:t>
      </w:r>
    </w:p>
    <w:p>
      <w:pPr>
        <w:spacing w:after="0" w:line="9" w:lineRule="exact"/>
        <w:rPr>
          <w:rFonts w:ascii="Times New Roman" w:cs="Times New Roman" w:eastAsia="Times New Roman" w:hAnsi="Times New Roman"/>
          <w:sz w:val="18"/>
          <w:szCs w:val="18"/>
          <w:color w:val="auto"/>
        </w:rPr>
      </w:pPr>
    </w:p>
    <w:p>
      <w:pPr>
        <w:ind w:left="220" w:hanging="215"/>
        <w:spacing w:after="0"/>
        <w:tabs>
          <w:tab w:leader="none" w:pos="2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113,053,770</w:t>
      </w:r>
    </w:p>
    <w:p>
      <w:pPr>
        <w:spacing w:after="0" w:line="9"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(473,440)</w:t>
      </w:r>
    </w:p>
    <w:p>
      <w:pPr>
        <w:sectPr>
          <w:pgSz w:w="11900" w:h="16838" w:orient="portrait"/>
          <w:cols w:equalWidth="0" w:num="2">
            <w:col w:w="9300" w:space="720"/>
            <w:col w:w="1180"/>
          </w:cols>
          <w:pgMar w:left="320" w:top="900" w:right="37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(the “Company”) is a blank check company incorporated in Delaware on June 25, 2020. The Company was formed for the purpose of effecting a merger, capital stock exchange, asset acquisition, stock purchase, reorganization or similar business combination with one or more businesses. The Company is an emerging growth company and, as such, the Company is subject to all of the risks associated with emerging growth companies.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FSDC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See Note 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w:t>
      </w:r>
    </w:p>
    <w:p>
      <w:pPr>
        <w:spacing w:after="0" w:line="3" w:lineRule="exact"/>
        <w:rPr>
          <w:sz w:val="20"/>
          <w:szCs w:val="20"/>
          <w:color w:val="auto"/>
        </w:rPr>
      </w:pPr>
    </w:p>
    <w:p>
      <w:pPr>
        <w:jc w:val="both"/>
        <w:ind w:firstLine="8"/>
        <w:spacing w:after="0" w:line="252" w:lineRule="auto"/>
        <w:tabs>
          <w:tab w:leader="none" w:pos="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$0.20 per share, or approximately $2.4 million in the aggregate, paid at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2020, there were 12,516,500 Class A common stock outstanding, including 11,258,033 Class A common stock subject to possible conversion were classified as temporary equity in the accompanying balance sheet.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 per share, with such designations,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rights and preferences as may be determined from time to time by the Company’s board of directors. As of September 30, 2020, there were no shares of preferred stock issued or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FSDC Class A Common Stock; minus (b) a number of shares of FSDC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3" w:lineRule="exact"/>
        <w:rPr>
          <w:sz w:val="20"/>
          <w:szCs w:val="20"/>
          <w:color w:val="auto"/>
        </w:rPr>
      </w:pPr>
    </w:p>
    <w:p>
      <w:pPr>
        <w:jc w:val="both"/>
        <w:ind w:firstLine="8"/>
        <w:spacing w:after="0" w:line="252" w:lineRule="auto"/>
        <w:tabs>
          <w:tab w:leader="none" w:pos="2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 (vi) 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Gemini be approved by the stockholders of the Company.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 Stockholders of the Company (the “Parent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 stockholders (the “Gemini Supporting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 (iii) 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 with certain investors, including the Sponsor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Gemini register their registrable securities under certain circumstances and will each also have piggyback registration rights for these securities. In addition, following the consummation of the business combination, Gemini is required to file and maintain an effective registration statement under the Securities Act covering such securities and certain other securities of Gemini.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Sponsor, FSDC, certain stockholders of the Company and certain stockholders of Gemini will enter into a voting agreement, pursuant to which: (a) Gemini will have the right to designate four (4) directors to the board of directors of Gemini and (b) the Sponsor will have the right to designate one (1) individual for election as a member of the board of directors of Gemini until the fifth (5th) anniversary of the date of the voting agreement, subject to certain terms and holding requirements set forth therein.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Gemini’s common stock for a period of one hundred eighty (180) days after the Closing.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FSDC</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Pr>
          <w:p>
            <w:pPr>
              <w:spacing w:after="0"/>
              <w:rPr>
                <w:sz w:val="19"/>
                <w:szCs w:val="19"/>
                <w:color w:val="auto"/>
              </w:rPr>
            </w:pPr>
          </w:p>
        </w:tc>
      </w:tr>
      <w:tr>
        <w:trPr>
          <w:trHeight w:val="26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16"/>
        </w:trPr>
        <w:tc>
          <w:tcPr>
            <w:tcW w:w="100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54,500</w:t>
            </w:r>
          </w:p>
        </w:tc>
      </w:tr>
      <w:tr>
        <w:trPr>
          <w:trHeight w:val="216"/>
        </w:trPr>
        <w:tc>
          <w:tcPr>
            <w:tcW w:w="100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 outstanding</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 issued and outstanding</w:t>
            </w:r>
            <w:r>
              <w:rPr>
                <w:rFonts w:ascii="Times New Roman" w:cs="Times New Roman" w:eastAsia="Times New Roman" w:hAnsi="Times New Roman"/>
                <w:sz w:val="29"/>
                <w:szCs w:val="29"/>
                <w:color w:val="auto"/>
                <w:vertAlign w:val="superscript"/>
              </w:rPr>
              <w:t>(1)(2)</w:t>
            </w:r>
          </w:p>
        </w:tc>
        <w:tc>
          <w:tcPr>
            <w:tcW w:w="3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24,698</w:t>
            </w: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00" w:type="dxa"/>
            <w:vAlign w:val="bottom"/>
            <w:tcBorders>
              <w:top w:val="single" w:sz="8" w:color="CCEEFF"/>
            </w:tcBorders>
          </w:tcPr>
          <w:p>
            <w:pPr>
              <w:spacing w:after="0"/>
              <w:rPr>
                <w:sz w:val="19"/>
                <w:szCs w:val="19"/>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line="261"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up to 393,750 shares of Class B common stock subject to forfeiture by our sponsor if the over-allotment option is not exercised in full or in part by the underwriters.</w:t>
      </w:r>
    </w:p>
    <w:p>
      <w:pPr>
        <w:ind w:left="340" w:hanging="332"/>
        <w:spacing w:after="0" w:line="260" w:lineRule="auto"/>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the associated amounts have been retroactively restated to reflect a 1:1.05 stock split of each outstanding share of Class B common stock in August 2020 (see Note 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(1,500</w:t>
            </w:r>
            <w:r>
              <w:rPr>
                <w:rFonts w:ascii="Times New Roman" w:cs="Times New Roman" w:eastAsia="Times New Roman" w:hAnsi="Times New Roman"/>
                <w:sz w:val="25"/>
                <w:szCs w:val="25"/>
                <w:color w:val="auto"/>
                <w:vertAlign w:val="sub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Weighted average shares outstanding, basic and diluted</w:t>
            </w:r>
            <w:r>
              <w:rPr>
                <w:rFonts w:ascii="Times New Roman" w:cs="Times New Roman" w:eastAsia="Times New Roman" w:hAnsi="Times New Roman"/>
                <w:sz w:val="25"/>
                <w:szCs w:val="25"/>
                <w:b w:val="1"/>
                <w:bCs w:val="1"/>
                <w:color w:val="auto"/>
                <w:vertAlign w:val="superscript"/>
              </w:rPr>
              <w:t>(1)(2)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10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(0.00</w:t>
            </w:r>
            <w:r>
              <w:rPr>
                <w:rFonts w:ascii="Times New Roman" w:cs="Times New Roman" w:eastAsia="Times New Roman" w:hAnsi="Times New Roman"/>
                <w:sz w:val="25"/>
                <w:szCs w:val="25"/>
                <w:color w:val="auto"/>
                <w:vertAlign w:val="subscript"/>
              </w:rPr>
              <w:t>)</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right="20" w:hanging="332"/>
        <w:spacing w:after="0" w:line="261"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excludes an aggregate of up to 393,750 shares of Class B common stock subject to forfeiture by our sponsor if the over-allotment option is not exercised in full or in part by the underwriters.</w:t>
      </w:r>
    </w:p>
    <w:p>
      <w:pPr>
        <w:ind w:left="340" w:hanging="332"/>
        <w:spacing w:after="0" w:line="260"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the associated amounts have been retroactively restated to reflect a 1:1.05 stock split of each outstanding share of Class B common stock in August 2020 (see Note 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3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9"/>
                <w:szCs w:val="19"/>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25, 2020 (inception)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40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Issuance of Class B common stock to</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402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9"/>
                <w:szCs w:val="29"/>
                <w:color w:val="auto"/>
                <w:vertAlign w:val="superscript"/>
              </w:rPr>
              <w:t>(1)(2)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3,018,750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33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4"/>
                <w:szCs w:val="14"/>
                <w:b w:val="1"/>
                <w:bCs w:val="1"/>
                <w:color w:val="auto"/>
              </w:rPr>
              <w:t>(1,500</w:t>
            </w:r>
            <w:r>
              <w:rPr>
                <w:rFonts w:ascii="Times New Roman" w:cs="Times New Roman" w:eastAsia="Times New Roman" w:hAnsi="Times New Roman"/>
                <w:sz w:val="25"/>
                <w:szCs w:val="25"/>
                <w:b w:val="1"/>
                <w:bCs w:val="1"/>
                <w:color w:val="auto"/>
                <w:vertAlign w:val="subscript"/>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23,500</w:t>
            </w:r>
          </w:p>
        </w:tc>
      </w:tr>
      <w:tr>
        <w:trPr>
          <w:trHeight w:val="21"/>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26" w:lineRule="exact"/>
        <w:rPr>
          <w:sz w:val="20"/>
          <w:szCs w:val="20"/>
          <w:color w:val="auto"/>
        </w:rPr>
      </w:pPr>
    </w:p>
    <w:p>
      <w:pPr>
        <w:ind w:left="340" w:hanging="332"/>
        <w:spacing w:after="0" w:line="261"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up to 393,750 shares of Class B common stock subject to forfeiture by our sponsor if the over-allotment option is not exercised in full or in part by the underwriters.</w:t>
      </w:r>
    </w:p>
    <w:p>
      <w:pPr>
        <w:ind w:left="340" w:hanging="332"/>
        <w:spacing w:after="0" w:line="260"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the associated amounts have been retroactively restated to reflect a 1:1.05 stock split of each outstanding share of Class B common stock in August 2020 (see Note 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FSDC</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Class B common stock to Sponsor</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25,000</w:t>
            </w:r>
          </w:p>
        </w:tc>
      </w:tr>
      <w:tr>
        <w:trPr>
          <w:trHeight w:val="20"/>
        </w:trPr>
        <w:tc>
          <w:tcPr>
            <w:tcW w:w="10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FSDC (the “Company”) is a blank check company incorporated in Delaware on June 25, 2020. The Company was formed for the purpose of effecting a merger, capital stock exchange, asset acquisition, stock purchase, reorganization or similar business combination with one or more businesses. The Company is an emerging growth company and, as such, the Company is subject to all of the risks associated with emerging growth companies.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sponsor is FSDC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At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at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2020, there were no shares of Class A common stock issued or outstanding.</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 with a par value of $0.0001 per share.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FSDC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 per share, with such designations,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rights and preferences as may be determined from time to time by the Company’s board of directors. As of June 30, 2020, there were no shares of preferred stock issued or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19"/>
                <w:szCs w:val="19"/>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14,206</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16,253</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18,033</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39,722,088 shares authorized at December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2018 and 2019, and at September 30, 2020 (unaudited); 39,722,088 shares issued and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2018 and 2019, and at September 30, 2020 (unaudited)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47,113</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zero and 37,001,401 shares authorized at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2018 and 2019, and 37,001,401 shares authorized at September 30, 2020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(unaudited); zero and 9,916,375 shares issued and outstanding at December 31, 2018 and 2019,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24,790,938 at September 30, 2020 (unaudited)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33,336</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80,449</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55,000,000 and 95,000,000 shares authorized at December 31,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 and 2019, and 95,000,000 shares authorized at September 30, 2020 (unaudited); 4,968,155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5,313,766 shares issued and outstanding at December 31, 2018 and 2019 and 5,629,130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at September 30, 2020 (unaudited)</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(30,584)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(98,506)</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(29,843)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(88,727)</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16,253</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1"/>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26,673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w:t>
            </w: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31,669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24,246</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(20,191)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(41,225)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(31,669)</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(24,246)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4"/>
                <w:szCs w:val="14"/>
                <w:color w:val="auto"/>
              </w:rPr>
              <w:t>(20,167</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(41,400</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(31,733</w:t>
            </w:r>
            <w:r>
              <w:rPr>
                <w:rFonts w:ascii="Times New Roman" w:cs="Times New Roman" w:eastAsia="Times New Roman" w:hAnsi="Times New Roman"/>
                <w:sz w:val="25"/>
                <w:szCs w:val="25"/>
                <w:color w:val="auto"/>
                <w:vertAlign w:val="subscript"/>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(26,522</w:t>
            </w:r>
            <w:r>
              <w:rPr>
                <w:rFonts w:ascii="Times New Roman" w:cs="Times New Roman" w:eastAsia="Times New Roman" w:hAnsi="Times New Roman"/>
                <w:sz w:val="25"/>
                <w:szCs w:val="25"/>
                <w:color w:val="auto"/>
                <w:vertAlign w:val="subscript"/>
              </w:rPr>
              <w:t>)</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4,811,641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5,171,537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5,133,773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5,507,900</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17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6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040" w:type="dxa"/>
            <w:vAlign w:val="bottom"/>
            <w:gridSpan w:val="4"/>
          </w:tcPr>
          <w:p>
            <w:pPr>
              <w:jc w:val="center"/>
              <w:ind w:left="50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4"/>
          </w:tcPr>
          <w:p>
            <w:pPr>
              <w:jc w:val="center"/>
              <w:ind w:left="428"/>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79"/>
              <w:spacing w:after="0" w:line="12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2017</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14,091,837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4,672,144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(10,417)</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(10,048)</w:t>
            </w:r>
          </w:p>
        </w:tc>
        <w:tc>
          <w:tcPr>
            <w:tcW w:w="0" w:type="dxa"/>
            <w:vAlign w:val="bottom"/>
          </w:tcPr>
          <w:p>
            <w:pPr>
              <w:spacing w:after="0"/>
              <w:rPr>
                <w:sz w:val="1"/>
                <w:szCs w:val="1"/>
                <w:color w:val="auto"/>
              </w:rPr>
            </w:pPr>
          </w:p>
        </w:tc>
      </w:tr>
      <w:tr>
        <w:trPr>
          <w:trHeight w:val="126"/>
        </w:trPr>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 preferred stock,</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25,630,251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30,488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 of $13</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32,037</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shares of common stock</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263,974</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(20,167)</w:t>
            </w:r>
          </w:p>
        </w:tc>
        <w:tc>
          <w:tcPr>
            <w:tcW w:w="12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(20,167)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39,722,088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47,113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4,968,155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736</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(30,584)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26"/>
        </w:trPr>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convertible preferred stock,</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9,916,375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13,252</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 of $148</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80,118</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shares of common stock</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265,493</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56"/>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(41,400)</w:t>
            </w:r>
          </w:p>
        </w:tc>
        <w:tc>
          <w:tcPr>
            <w:tcW w:w="120" w:type="dxa"/>
            <w:vAlign w:val="bottom"/>
          </w:tcPr>
          <w:p>
            <w:pPr>
              <w:spacing w:after="0"/>
              <w:rPr>
                <w:sz w:val="13"/>
                <w:szCs w:val="13"/>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(41,400)</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39,722,088</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47,113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9,916,375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13,252</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5,313,766</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1,182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(71,984</w:t>
            </w:r>
          </w:p>
        </w:tc>
        <w:tc>
          <w:tcPr>
            <w:tcW w:w="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(70,797</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39,722,088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47,113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4,968,155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(30,584)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(29,843)</w:t>
            </w:r>
          </w:p>
        </w:tc>
        <w:tc>
          <w:tcPr>
            <w:tcW w:w="0" w:type="dxa"/>
            <w:vAlign w:val="bottom"/>
          </w:tcPr>
          <w:p>
            <w:pPr>
              <w:spacing w:after="0"/>
              <w:rPr>
                <w:sz w:val="1"/>
                <w:szCs w:val="1"/>
                <w:color w:val="auto"/>
              </w:rPr>
            </w:pPr>
          </w:p>
        </w:tc>
      </w:tr>
      <w:tr>
        <w:trPr>
          <w:trHeight w:val="126"/>
        </w:trPr>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convertible preferred stock,</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9,102,345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12,159</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 of $141</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76,680</w:t>
            </w:r>
          </w:p>
        </w:tc>
        <w:tc>
          <w:tcPr>
            <w:tcW w:w="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199,118</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55"/>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(31,733)</w:t>
            </w:r>
          </w:p>
        </w:tc>
        <w:tc>
          <w:tcPr>
            <w:tcW w:w="120" w:type="dxa"/>
            <w:vAlign w:val="bottom"/>
          </w:tcPr>
          <w:p>
            <w:pPr>
              <w:spacing w:after="0"/>
              <w:rPr>
                <w:sz w:val="13"/>
                <w:szCs w:val="13"/>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(31,733)</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2019 (unaudited)</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39,722,088</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47,113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9,102,345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12,159</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5,243,953</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1,054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(62,317</w:t>
            </w:r>
          </w:p>
        </w:tc>
        <w:tc>
          <w:tcPr>
            <w:tcW w:w="2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(61,258</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39,722,088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47,113</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9,916,375</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5,313,766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1,182</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(71,984)</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(70,797)</w:t>
            </w:r>
          </w:p>
        </w:tc>
        <w:tc>
          <w:tcPr>
            <w:tcW w:w="0" w:type="dxa"/>
            <w:vAlign w:val="bottom"/>
          </w:tcPr>
          <w:p>
            <w:pPr>
              <w:spacing w:after="0"/>
              <w:rPr>
                <w:sz w:val="1"/>
                <w:szCs w:val="1"/>
                <w:color w:val="auto"/>
              </w:rPr>
            </w:pPr>
          </w:p>
        </w:tc>
      </w:tr>
      <w:tr>
        <w:trPr>
          <w:trHeight w:val="126"/>
        </w:trPr>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 convertible preferred stock,</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14,874,563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20,084</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 of $16</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Beneficial conversion feature relating to</w:t>
            </w: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discount on convertible promissory notes</w:t>
            </w: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8,177</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8,177</w:t>
            </w:r>
          </w:p>
        </w:tc>
        <w:tc>
          <w:tcPr>
            <w:tcW w:w="0" w:type="dxa"/>
            <w:vAlign w:val="bottom"/>
          </w:tcPr>
          <w:p>
            <w:pPr>
              <w:spacing w:after="0"/>
              <w:rPr>
                <w:sz w:val="1"/>
                <w:szCs w:val="1"/>
                <w:color w:val="auto"/>
              </w:rPr>
            </w:pPr>
          </w:p>
        </w:tc>
      </w:tr>
      <w:tr>
        <w:trPr>
          <w:trHeight w:val="171"/>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 7)</w:t>
            </w: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116,239</w:t>
            </w:r>
          </w:p>
        </w:tc>
        <w:tc>
          <w:tcPr>
            <w:tcW w:w="6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common stock</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199,125</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(26,522)</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(26,522)</w:t>
            </w:r>
          </w:p>
        </w:tc>
        <w:tc>
          <w:tcPr>
            <w:tcW w:w="0" w:type="dxa"/>
            <w:vAlign w:val="bottom"/>
          </w:tcPr>
          <w:p>
            <w:pPr>
              <w:spacing w:after="0"/>
              <w:rPr>
                <w:sz w:val="1"/>
                <w:szCs w:val="1"/>
                <w:color w:val="auto"/>
              </w:rPr>
            </w:pPr>
          </w:p>
        </w:tc>
      </w:tr>
      <w:tr>
        <w:trPr>
          <w:trHeight w:val="155"/>
        </w:trPr>
        <w:tc>
          <w:tcPr>
            <w:tcW w:w="2940" w:type="dxa"/>
            <w:vAlign w:val="bottom"/>
            <w:tcBorders>
              <w:top w:val="single" w:sz="8" w:color="CCEEFF"/>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September 30, 2020 (unaudited)</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39,722,088</w:t>
            </w:r>
          </w:p>
        </w:tc>
        <w:tc>
          <w:tcPr>
            <w:tcW w:w="20" w:type="dxa"/>
            <w:vAlign w:val="bottom"/>
            <w:tcBorders>
              <w:top w:val="single" w:sz="8" w:color="CCEEFF"/>
              <w:bottom w:val="single" w:sz="8" w:color="auto"/>
            </w:tcBorders>
          </w:tcPr>
          <w:p>
            <w:pPr>
              <w:spacing w:after="0"/>
              <w:rPr>
                <w:sz w:val="13"/>
                <w:szCs w:val="13"/>
                <w:color w:val="auto"/>
              </w:rPr>
            </w:pPr>
          </w:p>
        </w:tc>
        <w:tc>
          <w:tcPr>
            <w:tcW w:w="18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47,113</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24,790,938</w:t>
            </w:r>
          </w:p>
        </w:tc>
        <w:tc>
          <w:tcPr>
            <w:tcW w:w="12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33,336</w:t>
            </w:r>
          </w:p>
        </w:tc>
        <w:tc>
          <w:tcPr>
            <w:tcW w:w="200" w:type="dxa"/>
            <w:vAlign w:val="bottom"/>
            <w:tcBorders>
              <w:top w:val="single" w:sz="8" w:color="CCEEFF"/>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5,629,130</w:t>
            </w:r>
          </w:p>
        </w:tc>
        <w:tc>
          <w:tcPr>
            <w:tcW w:w="220" w:type="dxa"/>
            <w:vAlign w:val="bottom"/>
            <w:tcBorders>
              <w:top w:val="single" w:sz="8" w:color="CCEEFF"/>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9,773</w:t>
            </w:r>
          </w:p>
        </w:tc>
        <w:tc>
          <w:tcPr>
            <w:tcW w:w="20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(98,506</w:t>
            </w:r>
          </w:p>
        </w:tc>
        <w:tc>
          <w:tcPr>
            <w:tcW w:w="220" w:type="dxa"/>
            <w:vAlign w:val="bottom"/>
            <w:tcBorders>
              <w:top w:val="single" w:sz="8" w:color="CCEEFF"/>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(88,727</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discount on convertible notes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(18,340)</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(38,530)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(27,175)</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(23,855)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Series A convertible preferred stock, net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30,488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Series B convertible preferred stock,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 net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7,446</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30,497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23,221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19,626</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34,106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in connection with term loan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on convertible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01"/>
        </w:trPr>
        <w:tc>
          <w:tcPr>
            <w:tcW w:w="59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seeking to complete a merger with FSDC, which would result in FSDC acquiring 100% of the Company’s issued and outstanding securities. Together with FSDC’s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79" w:lineRule="exact"/>
        <w:rPr>
          <w:sz w:val="20"/>
          <w:szCs w:val="20"/>
          <w:color w:val="auto"/>
        </w:rPr>
      </w:pPr>
    </w:p>
    <w:p>
      <w:pPr>
        <w:ind w:right="7680" w:firstLine="8"/>
        <w:spacing w:after="0" w:line="503" w:lineRule="auto"/>
        <w:tabs>
          <w:tab w:leader="none" w:pos="1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14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1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714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14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FSDC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Company’s common stock valuations were prepared using an option pricing method, or OPM, or a hybrid method, both of which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2016-09”). ASU 2016-09 includes multiple provisions intended to simplify various aspects of the accounting for share-based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 Receipts and Cash Payments</w:t>
      </w:r>
      <w:r>
        <w:rPr>
          <w:rFonts w:ascii="Times New Roman" w:cs="Times New Roman" w:eastAsia="Times New Roman" w:hAnsi="Times New Roman"/>
          <w:sz w:val="18"/>
          <w:szCs w:val="18"/>
          <w:color w:val="auto"/>
        </w:rPr>
        <w:t xml:space="preserve"> (“ASU 2016-15”), to address diversity in practice in how certain cash receipts and 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 Interaction between Topic 808 and Topic 606</w:t>
      </w:r>
      <w:r>
        <w:rPr>
          <w:rFonts w:ascii="Times New Roman" w:cs="Times New Roman" w:eastAsia="Times New Roman" w:hAnsi="Times New Roman"/>
          <w:sz w:val="18"/>
          <w:szCs w:val="18"/>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2020 (unaudited)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12,274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12,274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5"/>
        </w:trPr>
        <w:tc>
          <w:tcPr>
            <w:tcW w:w="100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00" w:type="dxa"/>
            <w:vAlign w:val="bottom"/>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tcBorders>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88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688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19"/>
                <w:szCs w:val="19"/>
                <w:color w:val="auto"/>
              </w:rPr>
            </w:pPr>
          </w:p>
        </w:tc>
        <w:tc>
          <w:tcPr>
            <w:tcW w:w="1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$1.41</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0.64%</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 – 10.0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 – 10.0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8.9</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74.4%</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5"/>
              </w:rPr>
              <w:t>0.0%</w:t>
            </w:r>
          </w:p>
        </w:tc>
        <w:tc>
          <w:tcPr>
            <w:tcW w:w="14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7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616</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7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(383)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7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7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3,747</w:t>
            </w:r>
          </w:p>
        </w:tc>
      </w:tr>
      <w:tr>
        <w:trPr>
          <w:trHeight w:val="21"/>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2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Borders>
              <w:top w:val="single" w:sz="8" w:color="CCEEFF"/>
            </w:tcBorders>
          </w:tcPr>
          <w:p>
            <w:pPr>
              <w:spacing w:after="0"/>
              <w:rPr>
                <w:sz w:val="18"/>
                <w:szCs w:val="18"/>
                <w:color w:val="auto"/>
              </w:rPr>
            </w:pPr>
          </w:p>
        </w:tc>
      </w:tr>
      <w:tr>
        <w:trPr>
          <w:trHeight w:val="223"/>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9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tcBorders>
          </w:tcPr>
          <w:p>
            <w:pPr>
              <w:spacing w:after="0"/>
              <w:rPr>
                <w:sz w:val="19"/>
                <w:szCs w:val="19"/>
                <w:color w:val="auto"/>
              </w:rPr>
            </w:pP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FSDC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(7,600)</w:t>
            </w:r>
          </w:p>
        </w:tc>
      </w:tr>
      <w:tr>
        <w:trPr>
          <w:trHeight w:val="264"/>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20" w:type="dxa"/>
            <w:vAlign w:val="bottom"/>
          </w:tcPr>
          <w:p>
            <w:pPr>
              <w:spacing w:after="0"/>
              <w:rPr>
                <w:sz w:val="21"/>
                <w:szCs w:val="21"/>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preference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1"/>
                <w:szCs w:val="21"/>
                <w:color w:val="auto"/>
              </w:rPr>
            </w:pPr>
          </w:p>
        </w:tc>
      </w:tr>
      <w:tr>
        <w:trPr>
          <w:trHeight w:val="22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39,722,088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w:t>
            </w:r>
          </w:p>
        </w:tc>
      </w:tr>
      <w:tr>
        <w:trPr>
          <w:trHeight w:val="437"/>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20" w:type="dxa"/>
            <w:vAlign w:val="bottom"/>
          </w:tcPr>
          <w:p>
            <w:pPr>
              <w:spacing w:after="0"/>
              <w:rPr>
                <w:sz w:val="21"/>
                <w:szCs w:val="21"/>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preference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5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39,722,088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39,722,088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20" w:type="dxa"/>
            <w:vAlign w:val="bottom"/>
          </w:tcPr>
          <w:p>
            <w:pPr>
              <w:spacing w:after="0"/>
              <w:rPr>
                <w:sz w:val="18"/>
                <w:szCs w:val="18"/>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37,001,401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9,916,375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4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76,723,489</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49,638,463</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60,669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437"/>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 (unaudited)</w:t>
            </w:r>
          </w:p>
        </w:tc>
        <w:tc>
          <w:tcPr>
            <w:tcW w:w="120" w:type="dxa"/>
            <w:vAlign w:val="bottom"/>
          </w:tcPr>
          <w:p>
            <w:pPr>
              <w:spacing w:after="0"/>
              <w:rPr>
                <w:sz w:val="21"/>
                <w:szCs w:val="21"/>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preference</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5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39,722,088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39,722,088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20" w:type="dxa"/>
            <w:vAlign w:val="bottom"/>
          </w:tcPr>
          <w:p>
            <w:pPr>
              <w:spacing w:after="0"/>
              <w:rPr>
                <w:sz w:val="18"/>
                <w:szCs w:val="18"/>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37,001,401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76,723,489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64,513,026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w:t>
      </w:r>
    </w:p>
    <w:p>
      <w:pPr>
        <w:jc w:val="both"/>
        <w:spacing w:after="0" w:line="253" w:lineRule="auto"/>
        <w:rPr>
          <w:sz w:val="20"/>
          <w:szCs w:val="20"/>
          <w:color w:val="auto"/>
        </w:rPr>
      </w:pPr>
      <w:r>
        <w:rPr>
          <w:rFonts w:ascii="Times New Roman" w:cs="Times New Roman" w:eastAsia="Times New Roman" w:hAnsi="Times New Roman"/>
          <w:sz w:val="18"/>
          <w:szCs w:val="18"/>
          <w:color w:val="auto"/>
        </w:rPr>
        <w:t>(unaudited).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 (ii) 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 (ii) 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28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1"/>
                <w:szCs w:val="21"/>
                <w:color w:val="auto"/>
              </w:rPr>
            </w:pP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4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 – 3.0%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 2.4%</w:t>
            </w:r>
          </w:p>
        </w:tc>
        <w:tc>
          <w:tcPr>
            <w:tcW w:w="1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 2.4%</w:t>
            </w:r>
          </w:p>
        </w:tc>
        <w:tc>
          <w:tcPr>
            <w:tcW w:w="1460" w:type="dxa"/>
            <w:vAlign w:val="bottom"/>
            <w:tcBorders>
              <w:top w:val="single" w:sz="8" w:color="auto"/>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0.72%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 – 6.3 years</w:t>
            </w:r>
          </w:p>
        </w:tc>
        <w:tc>
          <w:tcPr>
            <w:tcW w:w="12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 – 6.25 years</w:t>
            </w:r>
          </w:p>
        </w:tc>
        <w:tc>
          <w:tcPr>
            <w:tcW w:w="1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 – 6.1 years</w:t>
            </w: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 – 75%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 – 77%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 – 77%</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79%</w:t>
            </w:r>
          </w:p>
        </w:tc>
        <w:tc>
          <w:tcPr>
            <w:tcW w:w="100" w:type="dxa"/>
            <w:vAlign w:val="bottom"/>
            <w:shd w:val="clear" w:color="auto" w:fill="CCEEFF"/>
          </w:tcPr>
          <w:p>
            <w:pPr>
              <w:spacing w:after="0"/>
              <w:rPr>
                <w:sz w:val="18"/>
                <w:szCs w:val="18"/>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6,782,422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4,802,164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(2,964,150)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1,182,200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(116,239)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(1,482,282)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8,123,997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at September 30, 2020 (unaudited)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3,223,460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fair</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694,150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(265,493)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8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(199,125)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8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229,532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granted options to purchase 200,000 shares of common stock to scientific founders that contain a combination of service- and performance-based vesting conditions based on (i) IND submission and (ii) 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5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58"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84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40" w:type="dxa"/>
            <w:vAlign w:val="bottom"/>
          </w:tcPr>
          <w:p>
            <w:pPr>
              <w:spacing w:after="0"/>
              <w:rPr>
                <w:sz w:val="19"/>
                <w:szCs w:val="19"/>
                <w:color w:val="auto"/>
              </w:rPr>
            </w:pPr>
          </w:p>
        </w:tc>
        <w:tc>
          <w:tcPr>
            <w:tcW w:w="700" w:type="dxa"/>
            <w:vAlign w:val="bottom"/>
            <w:gridSpan w:val="2"/>
          </w:tcPr>
          <w:p>
            <w:pPr>
              <w:jc w:val="right"/>
              <w:ind w:right="180"/>
              <w:spacing w:after="0" w:line="216" w:lineRule="exact"/>
              <w:rPr>
                <w:sz w:val="20"/>
                <w:szCs w:val="20"/>
                <w:color w:val="auto"/>
              </w:rPr>
            </w:pPr>
            <w:r>
              <w:rPr>
                <w:rFonts w:ascii="Times New Roman" w:cs="Times New Roman" w:eastAsia="Times New Roman" w:hAnsi="Times New Roman"/>
                <w:sz w:val="14"/>
                <w:szCs w:val="14"/>
                <w:color w:val="auto"/>
              </w:rPr>
              <w:t>0.0</w:t>
            </w:r>
            <w:r>
              <w:rPr>
                <w:rFonts w:ascii="Times New Roman" w:cs="Times New Roman" w:eastAsia="Times New Roman" w:hAnsi="Times New Roman"/>
                <w:sz w:val="25"/>
                <w:szCs w:val="25"/>
                <w:color w:val="auto"/>
                <w:vertAlign w:val="subscript"/>
              </w:rPr>
              <w:t>%</w:t>
            </w:r>
          </w:p>
        </w:tc>
        <w:tc>
          <w:tcPr>
            <w:tcW w:w="13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4"/>
                <w:szCs w:val="14"/>
                <w:color w:val="auto"/>
              </w:rPr>
              <w:t>0.0</w:t>
            </w:r>
            <w:r>
              <w:rPr>
                <w:rFonts w:ascii="Times New Roman" w:cs="Times New Roman" w:eastAsia="Times New Roman" w:hAnsi="Times New Roman"/>
                <w:sz w:val="25"/>
                <w:szCs w:val="25"/>
                <w:color w:val="auto"/>
                <w:vertAlign w:val="subscript"/>
              </w:rPr>
              <w:t>%</w:t>
            </w: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(21,467)</w:t>
            </w:r>
          </w:p>
        </w:tc>
      </w:tr>
      <w:tr>
        <w:trPr>
          <w:trHeight w:val="27"/>
        </w:trPr>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 determine if any such changes have occurred that could limit its ability to use the net operating loss and tax credit carryforwards.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(20,167)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(26,522)</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4,811,641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5,171,537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5,133,773</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5,507,900</w:t>
            </w:r>
          </w:p>
        </w:tc>
      </w:tr>
      <w:tr>
        <w:trPr>
          <w:trHeight w:val="216"/>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4"/>
                <w:szCs w:val="14"/>
                <w:color w:val="auto"/>
              </w:rPr>
              <w:t>(4.19</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(8.01</w:t>
            </w:r>
            <w:r>
              <w:rPr>
                <w:rFonts w:ascii="Times New Roman" w:cs="Times New Roman" w:eastAsia="Times New Roman" w:hAnsi="Times New Roman"/>
                <w:sz w:val="25"/>
                <w:szCs w:val="25"/>
                <w:color w:val="auto"/>
                <w:vertAlign w:val="sub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(6.18</w:t>
            </w:r>
            <w:r>
              <w:rPr>
                <w:rFonts w:ascii="Times New Roman" w:cs="Times New Roman" w:eastAsia="Times New Roman" w:hAnsi="Times New Roman"/>
                <w:sz w:val="25"/>
                <w:szCs w:val="25"/>
                <w:color w:val="auto"/>
                <w:vertAlign w:val="subscript"/>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(4.82</w:t>
            </w:r>
            <w:r>
              <w:rPr>
                <w:rFonts w:ascii="Times New Roman" w:cs="Times New Roman" w:eastAsia="Times New Roman" w:hAnsi="Times New Roman"/>
                <w:sz w:val="25"/>
                <w:szCs w:val="25"/>
                <w:color w:val="auto"/>
                <w:vertAlign w:val="subscript"/>
              </w:rPr>
              <w:t>)</w:t>
            </w:r>
          </w:p>
        </w:tc>
      </w:tr>
      <w:tr>
        <w:trPr>
          <w:trHeight w:val="21"/>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59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 (as converted to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39,722,088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39,722,088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 (as converted to common stock)</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9,916,375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9,102,345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24,790,938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694,150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428,657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495,032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6,782,422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8,540,318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7,610,107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8,123,997</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 preferred stock (as converted to</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47,198,660</w:t>
            </w: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58,677,438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56,999,572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72,936,555</w:t>
            </w: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r>
      <w:tr>
        <w:trPr>
          <w:trHeight w:val="263"/>
        </w:trPr>
        <w:tc>
          <w:tcPr>
            <w:tcW w:w="9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FSDC.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of FSDC and Old Gemini</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FSDC. As a result of the proposed business combination, FSDC will be renamed to Gemini Therapeutics, Inc., or Gemini, and Gemini will become a wholly owned subsidiary of Gemini. Upon the completion of the proposed business combination transaction, the shareholders of Gemini will exchange their interests in Gemini for shares of common stock of Gemini. In addition, Gemini’s existing equity incentive plan will be terminated; awards issued under Gemini’s existing equity incentive plan will be exchanged for awards issued under a new equity incentive plan to be adopted by Gemini. Lastly, immediately after the completion of the Business Combination, certain investors have agreed to subscribe for and purchase an aggregate of $95.1 million of common stock of Gemini. The combined company is expected to receive net proceeds of approximately $191.4 million at the closing of the transaction (assuming no redemptions are effected by shareholders of FSDC) and will continue to operate under the Gemini management team, led by chief executive officer Jason Meyenburg. The boards of directors of both FSDC and Gemini have approved the proposed transaction. Completion of the transaction, which is expected by the first quarter of 2021, is subject to approval of FSDC’s shareholders and the satisfaction or waiver of certain other customary closing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 and February 16, 2021, the date the revised interim financial statements were issued.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Subsequent events (unaudited)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promissory notes to Series B Preferred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Notes were amended to allow for the principal and interest to convert prior to the closing of the Business Combination on February 5, 2021. The Notes converted into 10,741,883 shares of Series B Preferred Stock at a per share conversion price of $1.3513.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closing of FSDC and Old Gemini</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5, 2021, the Company completed the previously announced Business Combination pursuant to the Merger Agreement dated October 15, 2020 between FSDC and Old Gemini. Upon closing of the Business Combination, the combined company was renamed Gemini Therapeutics, Inc. (Gemini) and the Company became a wholly owned subsidiary of Gemini.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the Company’s shareholders exchanged their interests in the company for shares of common stock of Gemini. In addition, awards under the Company’s existing equity incentive plans, including the 2017 Plan and 2015 Plan, were exchanged for awards issued under a new equity incentive plan adopted by Gemini.</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proceeds from this transaction totaled approximately $191.4 million, which included funds held in FSDC’s trust account and the completion of a concurrent PIPE financing in which certain investors agreed to subscribe for and purchased an aggregate of $95.1 million of common stock of Gemini (“PIPE Financing”). The shareholders of FSDC approved the transaction on February 3, 2021. The transaction was previously approved by the boards of directors of both FSDC and Old Gemini. Gemini will continue to operate under the Old Gemini management team, led by chief executive officer Jason Meyenburg.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Gemini Equity Incentive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2021, FSDC’s stockholders approved the 2021 Stock Option and Incentive Plan (“2021 Plan”), pursuant to which 4,264,341 shares of common stock were reserved for issuance. The 2021 Plan provides for Gemini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each award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586105</wp:posOffset>
            </wp:positionV>
            <wp:extent cx="2143125" cy="13970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9,506,000 Shares of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w:t>
      </w:r>
    </w:p>
    <w:p>
      <w:pPr>
        <w:sectPr>
          <w:pgSz w:w="11900" w:h="16838" w:orient="portrait"/>
          <w:cols w:equalWidth="0" w:num="1">
            <w:col w:w="11240"/>
          </w:cols>
          <w:pgMar w:left="320" w:top="900"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are estimates, except for the 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395" w:hanging="395"/>
        <w:spacing w:after="0"/>
        <w:tabs>
          <w:tab w:leader="none" w:pos="3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12,891.21</w:t>
      </w:r>
    </w:p>
    <w:p>
      <w:pPr>
        <w:spacing w:after="0" w:line="27" w:lineRule="exact"/>
        <w:rPr>
          <w:rFonts w:ascii="Times New Roman" w:cs="Times New Roman" w:eastAsia="Times New Roman" w:hAnsi="Times New Roman"/>
          <w:sz w:val="18"/>
          <w:szCs w:val="18"/>
          <w:color w:val="auto"/>
        </w:rPr>
      </w:pPr>
    </w:p>
    <w:p>
      <w:pPr>
        <w:ind w:left="3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w:t>
      </w:r>
    </w:p>
    <w:p>
      <w:pPr>
        <w:spacing w:after="0" w:line="9" w:lineRule="exact"/>
        <w:rPr>
          <w:rFonts w:ascii="Times New Roman" w:cs="Times New Roman" w:eastAsia="Times New Roman" w:hAnsi="Times New Roman"/>
          <w:sz w:val="18"/>
          <w:szCs w:val="18"/>
          <w:color w:val="auto"/>
        </w:rPr>
      </w:pPr>
    </w:p>
    <w:p>
      <w:pPr>
        <w:ind w:left="3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w:t>
      </w:r>
    </w:p>
    <w:p>
      <w:pPr>
        <w:spacing w:after="0" w:line="9" w:lineRule="exact"/>
        <w:rPr>
          <w:rFonts w:ascii="Times New Roman" w:cs="Times New Roman" w:eastAsia="Times New Roman" w:hAnsi="Times New Roman"/>
          <w:sz w:val="18"/>
          <w:szCs w:val="18"/>
          <w:color w:val="auto"/>
        </w:rPr>
      </w:pPr>
    </w:p>
    <w:p>
      <w:pPr>
        <w:ind w:left="3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51,368.92</w:t>
      </w:r>
    </w:p>
    <w:p>
      <w:pPr>
        <w:spacing w:after="0" w:line="288" w:lineRule="exact"/>
        <w:rPr>
          <w:sz w:val="20"/>
          <w:szCs w:val="20"/>
          <w:color w:val="auto"/>
        </w:rPr>
      </w:pPr>
    </w:p>
    <w:p>
      <w:pPr>
        <w:ind w:left="295" w:hanging="295"/>
        <w:spacing w:after="0"/>
        <w:tabs>
          <w:tab w:leader="none" w:pos="295" w:val="left"/>
        </w:tabs>
        <w:numPr>
          <w:ilvl w:val="0"/>
          <w:numId w:val="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214,260.13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3" w:name="page194"/>
    <w:bookmarkEnd w:id="193"/>
    <w:p>
      <w:pPr>
        <w:jc w:val="both"/>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also maintain a general liability insurance policy, which will cover certain liabilities of directors and officers of ours arising out of claims based on acts or omissions in their capacities as directors or officers.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Founders Shares have not been registered under the Securities Act in reliance upon the exemption provided in Section 4(a)(2) of the Securities Act.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9,506,000 shares of common stock issued to the PIPE Investors on February 5, 2021, at a price per share of $10.00, for aggregate consideration of $95,060,000 have not been registered under the Securities Act in reliance upon the exemption provided in Section 4(a)(2) of the Securities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28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r>
      <w:tr>
        <w:trPr>
          <w:trHeight w:val="45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(a)  Exhibits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8440" w:type="dxa"/>
            <w:vAlign w:val="bottom"/>
            <w:tcBorders>
              <w:bottom w:val="single" w:sz="8" w:color="auto"/>
            </w:tcBorders>
            <w:gridSpan w:val="7"/>
          </w:tcPr>
          <w:p>
            <w:pPr>
              <w:ind w:left="2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Merger Agreement, dated as of October 15, 2020, by and among Gemini Therapeutics, Inc., Shareholder Representative Services LLC, FS</w:t>
              </w:r>
            </w:hyperlink>
          </w:p>
        </w:tc>
      </w:tr>
      <w:tr>
        <w:trPr>
          <w:trHeight w:val="237"/>
        </w:trPr>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r:id="rId260">
              <w:r>
                <w:rPr>
                  <w:rFonts w:ascii="Times New Roman" w:cs="Times New Roman" w:eastAsia="Times New Roman" w:hAnsi="Times New Roman"/>
                  <w:sz w:val="18"/>
                  <w:szCs w:val="18"/>
                  <w:u w:val="single" w:color="auto"/>
                  <w:color w:val="0000EE"/>
                </w:rPr>
                <w:t>Development Corp., and FSG Merger Sub Inc. (incorporated by reference to Annex A to the Proxy Statement/Prospectus).</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Amended and Restated Articles of Incorporation of Gemini Therapeutics, Inc. (incorporated by reference to Annex B to the Proxy</w:t>
              </w:r>
            </w:hyperlink>
          </w:p>
        </w:tc>
      </w:tr>
      <w:tr>
        <w:trPr>
          <w:trHeight w:val="217"/>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Statement/Prospectus).</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Amended and Restated By-laws of Gemini Therapeutics, Inc. (incorporated by reference to Annex C to the Proxy Statement/Prospectus).</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u w:val="single" w:color="auto"/>
                  <w:color w:val="0000EE"/>
                </w:rPr>
                <w:t>Form of Specimen Common Stock Certificate (incorporated by reference to Exhibit 4.1 to Form S-4/A filed on January 19, 2021)</w:t>
              </w:r>
            </w:hyperlink>
            <w:r>
              <w:rPr>
                <w:rFonts w:ascii="Times New Roman" w:cs="Times New Roman" w:eastAsia="Times New Roman" w:hAnsi="Times New Roman"/>
                <w:sz w:val="18"/>
                <w:szCs w:val="18"/>
                <w:color w:val="000000"/>
              </w:rPr>
              <w:t>.</w:t>
            </w:r>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Opinion of Goodwin Procter LLP.</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r:id="rId264">
              <w:r>
                <w:rPr>
                  <w:rFonts w:ascii="Times New Roman" w:cs="Times New Roman" w:eastAsia="Times New Roman" w:hAnsi="Times New Roman"/>
                  <w:sz w:val="18"/>
                  <w:szCs w:val="18"/>
                  <w:u w:val="single" w:color="auto"/>
                  <w:color w:val="0000EE"/>
                </w:rPr>
                <w:t>2021 Stock Option and Incentive Plan (included as Annex D to the Proxy Statement/Prospectus)</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Amended and Restated Registration and Shareholder Rights Agreement, dated February 5, 2021, by and among Gemini Therapeutics, Inc.</w:t>
              </w:r>
            </w:hyperlink>
          </w:p>
        </w:tc>
      </w:tr>
      <w:tr>
        <w:trPr>
          <w:trHeight w:val="237"/>
        </w:trPr>
        <w:tc>
          <w:tcPr>
            <w:tcW w:w="9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0000EE"/>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r:id="rId265">
              <w:r>
                <w:rPr>
                  <w:rFonts w:ascii="Times New Roman" w:cs="Times New Roman" w:eastAsia="Times New Roman" w:hAnsi="Times New Roman"/>
                  <w:sz w:val="18"/>
                  <w:szCs w:val="18"/>
                  <w:u w:val="single" w:color="auto"/>
                  <w:color w:val="0000EE"/>
                </w:rPr>
                <w:t>and the stockholders party thereto (incorporated by reference to Exhibit 10.1 on Form 8-A12B/A filed on February 5, 2021.</w:t>
              </w:r>
            </w:hyperlink>
          </w:p>
        </w:tc>
        <w:tc>
          <w:tcPr>
            <w:tcW w:w="20" w:type="dxa"/>
            <w:vAlign w:val="bottom"/>
            <w:tcBorders>
              <w:top w:val="single" w:sz="8" w:color="CCEEFF"/>
            </w:tcBorders>
            <w:shd w:val="clear" w:color="auto" w:fill="CCEEFF"/>
          </w:tcPr>
          <w:p>
            <w:pPr>
              <w:spacing w:after="0"/>
              <w:rPr>
                <w:sz w:val="20"/>
                <w:szCs w:val="20"/>
                <w:color w:val="auto"/>
              </w:rPr>
            </w:pPr>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r:id="rId264">
              <w:r>
                <w:rPr>
                  <w:rFonts w:ascii="Times New Roman" w:cs="Times New Roman" w:eastAsia="Times New Roman" w:hAnsi="Times New Roman"/>
                  <w:sz w:val="18"/>
                  <w:szCs w:val="18"/>
                  <w:u w:val="single" w:color="auto"/>
                  <w:color w:val="0000EE"/>
                </w:rPr>
                <w:t>Gemini 2021 Stock Option and Incentive Plan (incorporated by reference to Annex D to the Proxy Statement/Prospectus).</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Forms of Award Agreements under the Gemini 2021 Stock Option and Incentive Plan (incorporated by reference to Exhibit 10.5 to the</w:t>
              </w:r>
            </w:hyperlink>
          </w:p>
        </w:tc>
      </w:tr>
      <w:tr>
        <w:trPr>
          <w:trHeight w:val="216"/>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Form of Indemnification Agreement for Directors of Gemini Therapeutics, Inc. (incorporated by reference to Exhibit 10.6 to the</w:t>
              </w:r>
            </w:hyperlink>
          </w:p>
        </w:tc>
      </w:tr>
      <w:tr>
        <w:trPr>
          <w:trHeight w:val="216"/>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Form of Indemnification Agreement for Executive Officers of Gemini Therapeutics, Inc. (incorporated by reference to Exhibit 10.7 to the</w:t>
              </w:r>
            </w:hyperlink>
          </w:p>
        </w:tc>
      </w:tr>
      <w:tr>
        <w:trPr>
          <w:trHeight w:val="216"/>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Escrow Agreement (Shareholder Representative), dated as of February 5, 2021, by and among FS Development Holdings, LLC, FS</w:t>
              </w:r>
            </w:hyperlink>
          </w:p>
        </w:tc>
      </w:tr>
      <w:tr>
        <w:trPr>
          <w:trHeight w:val="196"/>
        </w:trPr>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Development Corp., Shareholder Representative Services LLC and Continental Stock Transfer &amp; Trust Company (incorporated by</w:t>
              </w:r>
            </w:hyperlink>
          </w:p>
        </w:tc>
      </w:tr>
      <w:tr>
        <w:trPr>
          <w:trHeight w:val="217"/>
        </w:trPr>
        <w:tc>
          <w:tcPr>
            <w:tcW w:w="9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reference to Exhibit 10.2 on Form 8-A12B/A filed on February 5,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rPr>
                <w:rFonts w:ascii="Times New Roman" w:cs="Times New Roman" w:eastAsia="Times New Roman" w:hAnsi="Times New Roman"/>
                <w:sz w:val="18"/>
                <w:szCs w:val="18"/>
                <w:u w:val="single" w:color="auto"/>
                <w:color w:val="0000EE"/>
              </w:rPr>
            </w:pPr>
            <w:hyperlink r:id="rId270">
              <w:r>
                <w:rPr>
                  <w:rFonts w:ascii="Times New Roman" w:cs="Times New Roman" w:eastAsia="Times New Roman" w:hAnsi="Times New Roman"/>
                  <w:sz w:val="18"/>
                  <w:szCs w:val="18"/>
                  <w:u w:val="single" w:color="auto"/>
                  <w:color w:val="0000EE"/>
                </w:rPr>
                <w:t>Form of Subscription Agreement (incorporated by reference to Annex E to the Proxy Statement/Prospectus).</w:t>
              </w:r>
            </w:hyperlink>
          </w:p>
        </w:tc>
      </w:tr>
      <w:tr>
        <w:trPr>
          <w:trHeight w:val="216"/>
        </w:trPr>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Employment Agreement, dated January 21, 2021, by and between Gemini Therapeutics, Inc. and Jason Meyenburg (incorporated by</w:t>
              </w:r>
            </w:hyperlink>
          </w:p>
        </w:tc>
      </w:tr>
      <w:tr>
        <w:trPr>
          <w:trHeight w:val="217"/>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reference to Exhibit 10.9 to the 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Employment Agreement, dated December 24, 2020, by and between Gemini Therapeutics, Inc. and Dr. Marc Uknis (incorporated by</w:t>
              </w:r>
            </w:hyperlink>
          </w:p>
        </w:tc>
      </w:tr>
      <w:tr>
        <w:trPr>
          <w:trHeight w:val="217"/>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reference to Exhibit 10.10 to the 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Employment Agreement, dated January 22, 2021, by and between Gemini Therapeutics, Inc. and Dr. Scott Lauder (incorporated by</w:t>
              </w:r>
            </w:hyperlink>
          </w:p>
        </w:tc>
      </w:tr>
      <w:tr>
        <w:trPr>
          <w:trHeight w:val="217"/>
        </w:trPr>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reference to Exhibit 10.11 to the Registrant’s Current Report on Form 8-K filed on February 11, 2021).</w:t>
              </w:r>
            </w:hyperlink>
          </w:p>
        </w:tc>
      </w:tr>
      <w:tr>
        <w:trPr>
          <w:trHeight w:val="216"/>
        </w:trPr>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Withum’s Letter to the Securities and Exchange Commission, dated February 11, 2021 (incorporated by reference to Exhibit 16.1 to the</w:t>
              </w:r>
            </w:hyperlink>
          </w:p>
        </w:tc>
      </w:tr>
      <w:tr>
        <w:trPr>
          <w:trHeight w:val="196"/>
        </w:trPr>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Registrant’s Current Report on Form 8-K filed on February 11, 2021).</w:t>
              </w:r>
            </w:hyperlink>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3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spacing w:after="0"/>
              <w:rPr>
                <w:rFonts w:ascii="Times New Roman" w:cs="Times New Roman" w:eastAsia="Times New Roman" w:hAnsi="Times New Roman"/>
                <w:sz w:val="18"/>
                <w:szCs w:val="18"/>
                <w:u w:val="single" w:color="auto"/>
                <w:color w:val="0000EE"/>
              </w:rPr>
            </w:pPr>
            <w:hyperlink r:id="rId276">
              <w:r>
                <w:rPr>
                  <w:rFonts w:ascii="Times New Roman" w:cs="Times New Roman" w:eastAsia="Times New Roman" w:hAnsi="Times New Roman"/>
                  <w:sz w:val="18"/>
                  <w:szCs w:val="18"/>
                  <w:u w:val="single" w:color="auto"/>
                  <w:color w:val="0000EE"/>
                </w:rPr>
                <w:t>List of Subsidiaries (incorporated by reference to Exhibit 21.1 to the Registrant’s Current Report on Form 8-K filed on February 11, 2021).</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Consent of Ernst &amp; Young LLP, independent registered accounting firm for Gemini Therapeutics, Inc.</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Consent of Goodwin Procter LLP (include as part of Exhibit 5.1)</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Consent of WithumSmith+Brown, PC, independent registered accounting firm for FSDC.</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Power of Attorney (included on signature page of the Registration Statement).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53"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340" w:right="20" w:hanging="332"/>
        <w:spacing w:after="0" w:line="28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schedules have been omitted as not applicable or not required under the rules of Regulation S-X.</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6" w:name="page197"/>
    <w:bookmarkEnd w:id="19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1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KNOW ALL BY THESE PRESENTS</w:t>
      </w:r>
      <w:r>
        <w:rPr>
          <w:rFonts w:ascii="Times New Roman" w:cs="Times New Roman" w:eastAsia="Times New Roman" w:hAnsi="Times New Roman"/>
          <w:sz w:val="18"/>
          <w:szCs w:val="18"/>
          <w:color w:val="auto"/>
        </w:rPr>
        <w:t>, that each person whose signature appears below hereby constitutes and appoints Jason Meyenburg as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2"/>
                <w:szCs w:val="22"/>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20" w:type="dxa"/>
            <w:vAlign w:val="bottom"/>
          </w:tcPr>
          <w:p>
            <w:pPr>
              <w:spacing w:after="0"/>
              <w:rPr>
                <w:sz w:val="22"/>
                <w:szCs w:val="22"/>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Meyenburg</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20" w:type="dxa"/>
            <w:vAlign w:val="bottom"/>
          </w:tcPr>
          <w:p>
            <w:pPr>
              <w:spacing w:after="0"/>
              <w:rPr>
                <w:sz w:val="20"/>
                <w:szCs w:val="20"/>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Gregg Beloff</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and Principal</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20" w:type="dxa"/>
            <w:vAlign w:val="bottom"/>
          </w:tcPr>
          <w:p>
            <w:pPr>
              <w:spacing w:after="0"/>
              <w:rPr>
                <w:sz w:val="20"/>
                <w:szCs w:val="20"/>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Tananbaum</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Jim Tananbaum</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 Gordon</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Carl Gordon</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George</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Jean George</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Lubner</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Tuyen Ong</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Dr. Tuyen Ong</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Rhodes</w:t>
            </w:r>
          </w:p>
        </w:tc>
        <w:tc>
          <w:tcPr>
            <w:tcW w:w="120" w:type="dxa"/>
            <w:vAlign w:val="bottom"/>
          </w:tcPr>
          <w:p>
            <w:pPr>
              <w:spacing w:after="0"/>
              <w:rPr>
                <w:sz w:val="24"/>
                <w:szCs w:val="24"/>
                <w:color w:val="auto"/>
              </w:rPr>
            </w:pP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Dated: February 16, 2021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05" w:lineRule="auto"/>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S-1 (as amended or supplemented,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the offering by Gemini Therapeutics, Inc., a Delaware corporation (the “Company”) of up to 9,506,000 shares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Company’s Common Stock, $0.0001 par value per share, which includes up to 9,506,000 shares of Common Stock (the "</w:t>
      </w:r>
      <w:r>
        <w:rPr>
          <w:rFonts w:ascii="Times New Roman" w:cs="Times New Roman" w:eastAsia="Times New Roman" w:hAnsi="Times New Roman"/>
          <w:sz w:val="18"/>
          <w:szCs w:val="18"/>
          <w:u w:val="single" w:color="auto"/>
          <w:color w:val="auto"/>
        </w:rPr>
        <w:t>Selling Stockholder Shares</w:t>
      </w:r>
      <w:r>
        <w:rPr>
          <w:rFonts w:ascii="Times New Roman" w:cs="Times New Roman" w:eastAsia="Times New Roman" w:hAnsi="Times New Roman"/>
          <w:sz w:val="18"/>
          <w:szCs w:val="18"/>
          <w:color w:val="auto"/>
        </w:rPr>
        <w:t>") to be sold by the selling stockholders listed in the Registration Statement under "Principal and Selling Stockholders" (the "Selling Stockholders").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Selling Security holder Shares have been duly authorized and validly issued and are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2"/>
          <w:szCs w:val="12"/>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ROCTER</w:t>
      </w:r>
      <w:r>
        <w:rPr>
          <w:rFonts w:ascii="Times New Roman" w:cs="Times New Roman" w:eastAsia="Times New Roman" w:hAnsi="Times New Roman"/>
          <w:sz w:val="18"/>
          <w:szCs w:val="18"/>
          <w:color w:val="auto"/>
        </w:rPr>
        <w:t xml:space="preserve"> LLP</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240"/>
          </w:cols>
          <w:pgMar w:left="320" w:top="351"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October 30, 2020 with respect to the financial statements of Gemini Therapeutics, Inc. included in the Registration Statement (Form S-1) and related Prospectus of Gemini Therapeutics, Inc. (f/k/a FS Development Corp.) for the registration of 9,506,000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2021</w:t>
      </w:r>
    </w:p>
    <w:p>
      <w:pPr>
        <w:sectPr>
          <w:pgSz w:w="11900" w:h="16838" w:orient="portrait"/>
          <w:cols w:equalWidth="0" w:num="1">
            <w:col w:w="11240"/>
          </w:cols>
          <w:pgMar w:left="320" w:top="11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of Gemini Therapeutics Inc. on Form S-1, of our report dated August 11, 2020, relating to the financial statements of FS Development Corp. as of June 30, 2020, and the related statements of operations, changes in stockholder’s equity and cash flows for the period from June 25, 2020 (inception) through June 30, 2020, appearing in the Prospectus, which is contained in the Registration Statement. We also consent to the reference to us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lowerRoman"/>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lowerRoman"/>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5"/>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8"/>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lowerRoman"/>
      <w:start w:val="1"/>
    </w:lvl>
  </w:abstractNum>
  <w:abstractNum w:abstractNumId="88">
    <w:nsid w:val="43F18422"/>
    <w:multiLevelType w:val="hybridMultilevel"/>
    <w:lvl w:ilvl="0">
      <w:lvlJc w:val="left"/>
      <w:lvlText w:val="(%1)"/>
      <w:numFmt w:val="lowerRoman"/>
      <w:start w:val="5"/>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2"/>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upp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75"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60" Type="http://schemas.openxmlformats.org/officeDocument/2006/relationships/hyperlink" Target="http://www.sec.gov/Archives/edgar/data/1816736/000121390021002893/f424b30121_fsdevel.htm#T51" TargetMode="External"/><Relationship Id="rId261" Type="http://schemas.openxmlformats.org/officeDocument/2006/relationships/hyperlink" Target="http://www.sec.gov/Archives/edgar/data/1816736/000121390021002893/f424b30121_fsdevel.htm#T52" TargetMode="External"/><Relationship Id="rId262" Type="http://schemas.openxmlformats.org/officeDocument/2006/relationships/hyperlink" Target="http://www.sec.gov/Archives/edgar/data/1816736/000121390021002893/f424b30121_fsdevel.htm#T53" TargetMode="External"/><Relationship Id="rId263" Type="http://schemas.openxmlformats.org/officeDocument/2006/relationships/hyperlink" Target="http://www.sec.gov/Archives/edgar/data/1816736/000121390021002636/fs42021a5ex4-1_fsdevelop.htm" TargetMode="External"/><Relationship Id="rId264" Type="http://schemas.openxmlformats.org/officeDocument/2006/relationships/hyperlink" Target="http://www.sec.gov/Archives/edgar/data/1816736/000121390021002893/f424b30121_fsdevel.htm#T54" TargetMode="External"/><Relationship Id="rId265" Type="http://schemas.openxmlformats.org/officeDocument/2006/relationships/hyperlink" Target="http://www.sec.gov/Archives/edgar/data/1816736/000121390021007091/ea134758ex10-1_gemini.htm" TargetMode="External"/><Relationship Id="rId266" Type="http://schemas.openxmlformats.org/officeDocument/2006/relationships/hyperlink" Target="http://www.sec.gov/Archives/edgar/data/1816736/000121390021008478/ea135023ex10-5_gemini.htm" TargetMode="External"/><Relationship Id="rId267" Type="http://schemas.openxmlformats.org/officeDocument/2006/relationships/hyperlink" Target="http://www.sec.gov/Archives/edgar/data/1816736/000121390021008478/ea135023ex10-6_gemini.htm" TargetMode="External"/><Relationship Id="rId268" Type="http://schemas.openxmlformats.org/officeDocument/2006/relationships/hyperlink" Target="http://www.sec.gov/Archives/edgar/data/1816736/000121390021008478/ea135023ex10-7_gemini.htm" TargetMode="External"/><Relationship Id="rId269" Type="http://schemas.openxmlformats.org/officeDocument/2006/relationships/hyperlink" Target="http://www.sec.gov/Archives/edgar/data/1816736/000121390021007091/ea134758ex10-2_gemini.htm" TargetMode="External"/><Relationship Id="rId270" Type="http://schemas.openxmlformats.org/officeDocument/2006/relationships/hyperlink" Target="http://www.sec.gov/Archives/edgar/data/1816736/000121390021002893/f424b30121_fsdevel.htm#T55" TargetMode="External"/><Relationship Id="rId271" Type="http://schemas.openxmlformats.org/officeDocument/2006/relationships/hyperlink" Target="http://www.sec.gov/Archives/edgar/data/1816736/000121390021008478/ea135023ex10-9_gemini.htm" TargetMode="External"/><Relationship Id="rId272" Type="http://schemas.openxmlformats.org/officeDocument/2006/relationships/hyperlink" Target="http://www.sec.gov/Archives/edgar/data/1816736/000121390021008478/ea135023ex10-10_gemini.htm" TargetMode="External"/><Relationship Id="rId273" Type="http://schemas.openxmlformats.org/officeDocument/2006/relationships/hyperlink" Target="http://www.sec.gov/Archives/edgar/data/1816736/000121390021008478/ea135023ex10-11_gemini.htm" TargetMode="External"/><Relationship Id="rId274" Type="http://schemas.openxmlformats.org/officeDocument/2006/relationships/hyperlink" Target="http://www.sec.gov/Archives/edgar/data/1816736/000121390021008478/ea135023ex16-1_gemini.htm" TargetMode="External"/><Relationship Id="rId276" Type="http://schemas.openxmlformats.org/officeDocument/2006/relationships/hyperlink" Target="http://www.sec.gov/Archives/edgar/data/1816736/000121390021008478/ea135023ex21-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2021-02-17T05:25:32Z</dcterms:created>
  <dcterms:modified xsi:type="dcterms:W3CDTF">2021-02-17T05:25:32Z</dcterms:modified>
</cp:coreProperties>
</file>