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August 8, 2024</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DISC MEDICINE, INC.</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7"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3700" w:type="dxa"/>
            <w:vAlign w:val="bottom"/>
          </w:tcPr>
          <w:p>
            <w:pPr>
              <w:jc w:val="center"/>
              <w:ind w:right="201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4"/>
                <w:szCs w:val="14"/>
                <w:b w:val="1"/>
                <w:bCs w:val="1"/>
                <w:color w:val="auto"/>
              </w:rPr>
              <w:t>82-3220679</w:t>
            </w:r>
          </w:p>
        </w:tc>
      </w:tr>
      <w:tr>
        <w:trPr>
          <w:trHeight w:val="135"/>
        </w:trPr>
        <w:tc>
          <w:tcPr>
            <w:tcW w:w="3700" w:type="dxa"/>
            <w:vAlign w:val="bottom"/>
          </w:tcPr>
          <w:p>
            <w:pPr>
              <w:jc w:val="center"/>
              <w:ind w:right="199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300" w:type="dxa"/>
            <w:vAlign w:val="bottom"/>
          </w:tcPr>
          <w:p>
            <w:pPr>
              <w:jc w:val="center"/>
              <w:ind w:left="19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00" w:type="dxa"/>
            <w:vAlign w:val="bottom"/>
          </w:tcPr>
          <w:p>
            <w:pPr>
              <w:jc w:val="center"/>
              <w:ind w:right="199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321 Arsenal Street, Suite 101</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Watertown, MA 02472</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(617) 674-9274</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John Quisel, J.D., Ph.D.</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Disc Medicine, Inc.</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321 Arsenal Street, Suite 101</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Watertown, MA 02472</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(617) 674-9274</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4" w:lineRule="exact"/>
        <w:rPr>
          <w:sz w:val="24"/>
          <w:szCs w:val="24"/>
          <w:color w:val="auto"/>
        </w:rPr>
      </w:pPr>
    </w:p>
    <w:tbl>
      <w:tblPr>
        <w:tblLayout w:type="fixed"/>
        <w:tblInd w:w="210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48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228"/>
        </w:trPr>
        <w:tc>
          <w:tcPr>
            <w:tcW w:w="242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William D. Collins, Esq.</w:t>
            </w:r>
          </w:p>
        </w:tc>
        <w:tc>
          <w:tcPr>
            <w:tcW w:w="4820" w:type="dxa"/>
            <w:vAlign w:val="bottom"/>
          </w:tcPr>
          <w:p>
            <w:pPr>
              <w:jc w:val="center"/>
              <w:ind w:left="2988"/>
              <w:spacing w:after="0"/>
              <w:rPr>
                <w:sz w:val="20"/>
                <w:szCs w:val="20"/>
                <w:color w:val="auto"/>
              </w:rPr>
            </w:pPr>
            <w:r>
              <w:rPr>
                <w:rFonts w:ascii="Times New Roman" w:cs="Times New Roman" w:eastAsia="Times New Roman" w:hAnsi="Times New Roman"/>
                <w:sz w:val="14"/>
                <w:szCs w:val="14"/>
                <w:b w:val="1"/>
                <w:bCs w:val="1"/>
                <w:color w:val="auto"/>
              </w:rPr>
              <w:t>Rahul Khara</w:t>
            </w:r>
          </w:p>
        </w:tc>
      </w:tr>
      <w:tr>
        <w:trPr>
          <w:trHeight w:val="149"/>
        </w:trPr>
        <w:tc>
          <w:tcPr>
            <w:tcW w:w="242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Adam V. Johnson, Esq.</w:t>
            </w:r>
          </w:p>
        </w:tc>
        <w:tc>
          <w:tcPr>
            <w:tcW w:w="4820" w:type="dxa"/>
            <w:vAlign w:val="bottom"/>
          </w:tcPr>
          <w:p>
            <w:pPr>
              <w:jc w:val="center"/>
              <w:ind w:left="2988"/>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8"/>
        </w:trPr>
        <w:tc>
          <w:tcPr>
            <w:tcW w:w="242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Alicia M. Tschirhart, Esq.</w:t>
            </w:r>
          </w:p>
        </w:tc>
        <w:tc>
          <w:tcPr>
            <w:tcW w:w="4820" w:type="dxa"/>
            <w:vAlign w:val="bottom"/>
          </w:tcPr>
          <w:p>
            <w:pPr>
              <w:jc w:val="center"/>
              <w:ind w:left="2988"/>
              <w:spacing w:after="0" w:line="149" w:lineRule="exact"/>
              <w:rPr>
                <w:sz w:val="20"/>
                <w:szCs w:val="20"/>
                <w:color w:val="auto"/>
              </w:rPr>
            </w:pPr>
            <w:r>
              <w:rPr>
                <w:rFonts w:ascii="Times New Roman" w:cs="Times New Roman" w:eastAsia="Times New Roman" w:hAnsi="Times New Roman"/>
                <w:sz w:val="14"/>
                <w:szCs w:val="14"/>
                <w:b w:val="1"/>
                <w:bCs w:val="1"/>
                <w:color w:val="auto"/>
              </w:rPr>
              <w:t>Disc Medicine, Inc.</w:t>
            </w:r>
          </w:p>
        </w:tc>
      </w:tr>
      <w:tr>
        <w:trPr>
          <w:trHeight w:val="149"/>
        </w:trPr>
        <w:tc>
          <w:tcPr>
            <w:tcW w:w="242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Goodwin Procter LLP</w:t>
            </w:r>
          </w:p>
        </w:tc>
        <w:tc>
          <w:tcPr>
            <w:tcW w:w="4820" w:type="dxa"/>
            <w:vAlign w:val="bottom"/>
          </w:tcPr>
          <w:p>
            <w:pPr>
              <w:jc w:val="center"/>
              <w:ind w:left="2988"/>
              <w:spacing w:after="0" w:line="149" w:lineRule="exact"/>
              <w:rPr>
                <w:sz w:val="20"/>
                <w:szCs w:val="20"/>
                <w:color w:val="auto"/>
              </w:rPr>
            </w:pPr>
            <w:r>
              <w:rPr>
                <w:rFonts w:ascii="Times New Roman" w:cs="Times New Roman" w:eastAsia="Times New Roman" w:hAnsi="Times New Roman"/>
                <w:sz w:val="14"/>
                <w:szCs w:val="14"/>
                <w:b w:val="1"/>
                <w:bCs w:val="1"/>
                <w:color w:val="auto"/>
              </w:rPr>
              <w:t>321 Arsenal Street, Suite 101</w:t>
            </w:r>
          </w:p>
        </w:tc>
      </w:tr>
      <w:tr>
        <w:trPr>
          <w:trHeight w:val="148"/>
        </w:trPr>
        <w:tc>
          <w:tcPr>
            <w:tcW w:w="242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100 Northern Avenue</w:t>
            </w:r>
          </w:p>
        </w:tc>
        <w:tc>
          <w:tcPr>
            <w:tcW w:w="4820" w:type="dxa"/>
            <w:vAlign w:val="bottom"/>
          </w:tcPr>
          <w:p>
            <w:pPr>
              <w:jc w:val="center"/>
              <w:ind w:left="2988"/>
              <w:spacing w:after="0" w:line="149" w:lineRule="exact"/>
              <w:rPr>
                <w:sz w:val="20"/>
                <w:szCs w:val="20"/>
                <w:color w:val="auto"/>
              </w:rPr>
            </w:pPr>
            <w:r>
              <w:rPr>
                <w:rFonts w:ascii="Times New Roman" w:cs="Times New Roman" w:eastAsia="Times New Roman" w:hAnsi="Times New Roman"/>
                <w:sz w:val="14"/>
                <w:szCs w:val="14"/>
                <w:b w:val="1"/>
                <w:bCs w:val="1"/>
                <w:color w:val="auto"/>
              </w:rPr>
              <w:t>Watertown, MA 02472</w:t>
            </w:r>
          </w:p>
        </w:tc>
      </w:tr>
      <w:tr>
        <w:trPr>
          <w:trHeight w:val="148"/>
        </w:trPr>
        <w:tc>
          <w:tcPr>
            <w:tcW w:w="242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Boston, MA 02210</w:t>
            </w:r>
          </w:p>
        </w:tc>
        <w:tc>
          <w:tcPr>
            <w:tcW w:w="4820" w:type="dxa"/>
            <w:vAlign w:val="bottom"/>
          </w:tcPr>
          <w:p>
            <w:pPr>
              <w:jc w:val="center"/>
              <w:ind w:left="2968"/>
              <w:spacing w:after="0" w:line="149" w:lineRule="exact"/>
              <w:rPr>
                <w:sz w:val="20"/>
                <w:szCs w:val="20"/>
                <w:color w:val="auto"/>
              </w:rPr>
            </w:pPr>
            <w:r>
              <w:rPr>
                <w:rFonts w:ascii="Times New Roman" w:cs="Times New Roman" w:eastAsia="Times New Roman" w:hAnsi="Times New Roman"/>
                <w:sz w:val="14"/>
                <w:szCs w:val="14"/>
                <w:b w:val="1"/>
                <w:bCs w:val="1"/>
                <w:color w:val="auto"/>
              </w:rPr>
              <w:t>(617) 674-9274</w:t>
            </w:r>
          </w:p>
        </w:tc>
      </w:tr>
      <w:tr>
        <w:trPr>
          <w:trHeight w:val="190"/>
        </w:trPr>
        <w:tc>
          <w:tcPr>
            <w:tcW w:w="242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(617) 570-1000</w:t>
            </w:r>
          </w:p>
        </w:tc>
        <w:tc>
          <w:tcPr>
            <w:tcW w:w="4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4"/>
          <w:szCs w:val="24"/>
          <w:color w:val="auto"/>
        </w:rPr>
      </w:pPr>
    </w:p>
    <w:p>
      <w:pPr>
        <w:ind w:left="120" w:right="80"/>
        <w:spacing w:after="0" w:line="241" w:lineRule="exact"/>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or at one time as determined by the Registrant after the effective date of this registration statement.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3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8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2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173990</wp:posOffset>
            </wp:positionV>
            <wp:extent cx="373761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376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in one or more series or classes, our Common Stock, Preferred Stock, Debt Securities, Warrants or Units, in each case in one or more issuances and at prices and on terms that we will determine at the time of the offering.</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August 7, 2024, the closing price of our common stock, as reported on The Nasdaq Global Market, was $41.27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60" w:firstLine="44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10 of this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color w:val="auto"/>
        </w:rPr>
        <w:t>Special Note Regarding Forward-Looking Statements</w:t>
      </w:r>
      <w:r>
        <w:rPr>
          <w:rFonts w:ascii="Times New Roman" w:cs="Times New Roman" w:eastAsia="Times New Roman" w:hAnsi="Times New Roman"/>
          <w:sz w:val="22"/>
          <w:szCs w:val="22"/>
          <w:b w:val="1"/>
          <w:bCs w:val="1"/>
          <w:color w:val="auto"/>
        </w:rPr>
        <w:t>” on page 4 of this prospectus. You should read the entire prospectus and any applicable prospectus supplement carefully before you make your investment decision.</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79"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8, 2024.</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0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2960" w:type="dxa"/>
            <w:vAlign w:val="bottom"/>
          </w:tcPr>
          <w:p>
            <w:pPr>
              <w:spacing w:after="0"/>
              <w:rPr>
                <w:sz w:val="17"/>
                <w:szCs w:val="17"/>
                <w:color w:val="auto"/>
              </w:rPr>
            </w:pPr>
          </w:p>
        </w:tc>
      </w:tr>
      <w:tr>
        <w:trPr>
          <w:trHeight w:val="196"/>
        </w:trPr>
        <w:tc>
          <w:tcPr>
            <w:tcW w:w="16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20" w:type="dxa"/>
            <w:vAlign w:val="bottom"/>
            <w:tcBorders>
              <w:top w:val="single" w:sz="8" w:color="0000EE"/>
            </w:tcBorders>
            <w:gridSpan w:val="5"/>
          </w:tcPr>
          <w:p>
            <w:pPr>
              <w:spacing w:after="0"/>
              <w:rPr>
                <w:sz w:val="17"/>
                <w:szCs w:val="17"/>
                <w:color w:val="auto"/>
              </w:rPr>
            </w:pPr>
          </w:p>
        </w:tc>
        <w:tc>
          <w:tcPr>
            <w:tcW w:w="55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42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3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have filed with the Securities and Exchange Commission, or the SEC, as a “well-known seasoned issuer” as defined in Rule 405 of the Securities Act of 1933, as amended, or the Securities Act.</w:t>
      </w:r>
    </w:p>
    <w:p>
      <w:pPr>
        <w:spacing w:after="0" w:line="162"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Under this process, we may sell the securities described in this prospectus in one or more offerings.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92"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7"/>
          <w:szCs w:val="17"/>
          <w:i w:val="1"/>
          <w:iCs w:val="1"/>
          <w:color w:val="auto"/>
        </w:rPr>
        <w:t>Where You Can Find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More Information”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in both this prospectus and the applicable prospectus supplement, and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88"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540" w:hanging="316"/>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2023, filed with the SEC on </w:t>
      </w:r>
      <w:hyperlink r:id="rId26">
        <w:r>
          <w:rPr>
            <w:rFonts w:ascii="Times New Roman" w:cs="Times New Roman" w:eastAsia="Times New Roman" w:hAnsi="Times New Roman"/>
            <w:sz w:val="18"/>
            <w:szCs w:val="18"/>
            <w:u w:val="single" w:color="auto"/>
            <w:color w:val="0000EE"/>
          </w:rPr>
          <w:t>March 21,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right="320" w:hanging="316"/>
        <w:spacing w:after="0" w:line="282" w:lineRule="auto"/>
        <w:tabs>
          <w:tab w:leader="none" w:pos="540" w:val="left"/>
        </w:tabs>
        <w:numPr>
          <w:ilvl w:val="0"/>
          <w:numId w:val="1"/>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auto"/>
          </w:rPr>
          <w:t xml:space="preserve">Quarterly Reports on Form 10-Q for the quarters ended March 31, 2024 and June 30, 2024, filed with the SEC on </w:t>
        </w:r>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 8,</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540" w:right="380" w:hanging="316"/>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28">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April 2, 2024</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 each case, excluding information furnished pursuant to Item 7.01) and </w:t>
      </w:r>
      <w:hyperlink r:id="rId32">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540" w:right="120" w:hanging="316"/>
        <w:spacing w:after="0" w:line="258"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33">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34">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35">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36">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9"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5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674-9274</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455" w:right="10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include, among other things:</w:t>
      </w:r>
    </w:p>
    <w:p>
      <w:pPr>
        <w:spacing w:after="0" w:line="97" w:lineRule="exact"/>
        <w:rPr>
          <w:sz w:val="20"/>
          <w:szCs w:val="20"/>
          <w:color w:val="auto"/>
        </w:rPr>
      </w:pPr>
    </w:p>
    <w:p>
      <w:pPr>
        <w:ind w:left="1080" w:right="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w:t>
      </w:r>
    </w:p>
    <w:p>
      <w:pPr>
        <w:spacing w:after="0" w:line="8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 and Estimates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Disc Medicine, Inc., the Disc logo and our other registered or common law trademarks, trade names or service marks appearing in this prospectus are owned by us. This prospectus, any applicable prospectus supplement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76" w:lineRule="auto"/>
        <w:rPr>
          <w:sz w:val="20"/>
          <w:szCs w:val="20"/>
          <w:color w:val="auto"/>
        </w:rPr>
      </w:pPr>
      <w:r>
        <w:rPr>
          <w:rFonts w:ascii="Times New Roman" w:cs="Times New Roman" w:eastAsia="Times New Roman" w:hAnsi="Times New Roman"/>
          <w:sz w:val="17"/>
          <w:szCs w:val="17"/>
          <w:color w:val="auto"/>
        </w:rPr>
        <w:t>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w:t>
      </w:r>
    </w:p>
    <w:p>
      <w:pPr>
        <w:spacing w:after="0" w:line="1" w:lineRule="exact"/>
        <w:rPr>
          <w:sz w:val="20"/>
          <w:szCs w:val="20"/>
          <w:color w:val="auto"/>
        </w:rPr>
      </w:pPr>
    </w:p>
    <w:p>
      <w:pPr>
        <w:ind w:left="120" w:hanging="4"/>
        <w:spacing w:after="0" w:line="227" w:lineRule="auto"/>
        <w:tabs>
          <w:tab w:leader="none" w:pos="267"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were presented in June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presented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w:t>
      </w:r>
    </w:p>
    <w:p>
      <w:pPr>
        <w:spacing w:after="0" w:line="6"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the fourth quarter of 2024. We expect to develop DISC-3405 for the treatment of PV and other hematologic disorders.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with Gemini</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8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455"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080" w:right="4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most recent Annual Report on Form 10-K, which is on file with the SEC and is incorporated herein by reference, as updated by our subsequent annual, quarterly and other reports we file with the SEC, as well as any amendments thereto, which are incorporated by reference into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455"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320" w:top="455" w:right="8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10,000,000 shares of preferred stock, par value $0.0001 per share, all of which preferred stock is undesignated. As of June 30, 2024, we had 29,707,997 shares of our common stock outstanding and no shares of preferred stock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August 7, 2024, the closing price for our common stock, as reported on The Nasdaq Global Market, was $41.27 per share. As of June 30, 2024, we had estimated approximately 19 stockholders of record.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LLC. The transfer agent and registrar’s address is 51 Mercedes Way, Edgewood, NY 11717.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w:t>
      </w:r>
    </w:p>
    <w:p>
      <w:pPr>
        <w:spacing w:after="0" w:line="8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Series of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be subject to any preemptive or similar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holders of an estimated 5.0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121"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2022 Registration Rights Agreement provides for the following registration rights:</w:t>
      </w:r>
    </w:p>
    <w:p>
      <w:pPr>
        <w:spacing w:after="0" w:line="129" w:lineRule="exact"/>
        <w:rPr>
          <w:sz w:val="20"/>
          <w:szCs w:val="20"/>
          <w:color w:val="auto"/>
        </w:rPr>
      </w:pPr>
    </w:p>
    <w:p>
      <w:pPr>
        <w:ind w:left="1080" w:right="60" w:hanging="424"/>
        <w:spacing w:after="0" w:line="267"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Following the completion of the merger as contemplated by the Merger Agreement, we were required to file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a shelf registration statement registering the resale of the Registrable Securities, and use our commercially reasonable efforts to have such registration statement declared effective by the SEC as promptly as possible.</w:t>
      </w:r>
    </w:p>
    <w:p>
      <w:pPr>
        <w:spacing w:after="0" w:line="7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2022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Registration Rights Agreement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2021 Registration Rights Agreement provides for the following registration rights:</w:t>
      </w:r>
    </w:p>
    <w:p>
      <w:pPr>
        <w:spacing w:after="0" w:line="129" w:lineRule="exact"/>
        <w:rPr>
          <w:sz w:val="20"/>
          <w:szCs w:val="20"/>
          <w:color w:val="auto"/>
        </w:rPr>
      </w:pPr>
    </w:p>
    <w:p>
      <w:pPr>
        <w:ind w:left="1080" w:hanging="424"/>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We are required, upon the written request of either (i) FSDC Investors holding a majority of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A shelf registration statement pursuant to Rule 415 of Securities Act, was filed on February 17, 2021 and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We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8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we propose to file a registration statement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us and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8"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ours shall cease to be registrable securities upon the earlier of (i) tenth anniversary of February 5,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Delaware Law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not governed by Section 203 of the Delaware General Corporation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allow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22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9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 or bylaws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or free writing prospectus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depository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or special United States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will describe in each applicable prospectus supplement or free writing prospectus any additional events of default relating to the relevant series of debt securities.</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w:t>
      </w:r>
    </w:p>
    <w:p>
      <w:pPr>
        <w:spacing w:after="0" w:line="27" w:lineRule="exact"/>
        <w:rPr>
          <w:rFonts w:ascii="Times New Roman" w:cs="Times New Roman" w:eastAsia="Times New Roman" w:hAnsi="Times New Roman"/>
          <w:sz w:val="18"/>
          <w:szCs w:val="18"/>
          <w:color w:val="auto"/>
        </w:rPr>
      </w:pPr>
    </w:p>
    <w:p>
      <w:pPr>
        <w:ind w:left="10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or free writing prospectus, in denominations of $1,000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85" w:lineRule="exact"/>
        <w:rPr>
          <w:sz w:val="20"/>
          <w:szCs w:val="20"/>
          <w:color w:val="auto"/>
        </w:rPr>
      </w:pPr>
    </w:p>
    <w:p>
      <w:pPr>
        <w:jc w:val="both"/>
        <w:ind w:left="1080" w:right="26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Description of Warrants</w:t>
      </w:r>
      <w:r>
        <w:rPr>
          <w:rFonts w:ascii="Times New Roman" w:cs="Times New Roman" w:eastAsia="Times New Roman" w:hAnsi="Times New Roman"/>
          <w:sz w:val="17"/>
          <w:szCs w:val="17"/>
          <w:color w:val="auto"/>
        </w:rPr>
        <w:t>” will apply to the securities included in each unit, to the extent relevant and as may be updated in any prospectus supplements.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overallot in connection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320" w:top="455"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807085</wp:posOffset>
            </wp:positionV>
            <wp:extent cx="3737610" cy="591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3737610" cy="59182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1678940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525780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Set forth below is an estimate (except in the case of the SEC registration fee) of the amount of fees and expenses to be incurred in connection with the issuance and distribution of the offered securities, other than underwriting discounts and commissions.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24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240" w:type="dxa"/>
            <w:vAlign w:val="bottom"/>
          </w:tcPr>
          <w:p>
            <w:pPr>
              <w:ind w:left="21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24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240" w:type="dxa"/>
            <w:vAlign w:val="bottom"/>
          </w:tcPr>
          <w:p>
            <w:pPr>
              <w:ind w:left="21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24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2240" w:type="dxa"/>
            <w:vAlign w:val="bottom"/>
          </w:tcPr>
          <w:p>
            <w:pPr>
              <w:ind w:left="21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 (including counsel fees)</w:t>
            </w:r>
          </w:p>
        </w:tc>
        <w:tc>
          <w:tcPr>
            <w:tcW w:w="224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240" w:type="dxa"/>
            <w:vAlign w:val="bottom"/>
          </w:tcPr>
          <w:p>
            <w:pPr>
              <w:ind w:left="21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340" w:right="220" w:hanging="224"/>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depend on the securities offered and the number of issuances and accordingly cannot be estimated at this time and will be reflected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amended and restated certificate of incorporation and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89"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right="260"/>
        <w:spacing w:after="0" w:line="312" w:lineRule="auto"/>
        <w:rPr>
          <w:sz w:val="20"/>
          <w:szCs w:val="20"/>
          <w:color w:val="auto"/>
        </w:rPr>
      </w:pPr>
      <w:r>
        <w:rPr>
          <w:rFonts w:ascii="Times New Roman" w:cs="Times New Roman" w:eastAsia="Times New Roman" w:hAnsi="Times New Roman"/>
          <w:sz w:val="17"/>
          <w:szCs w:val="17"/>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131" w:lineRule="exact"/>
        <w:rPr>
          <w:sz w:val="20"/>
          <w:szCs w:val="20"/>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indemnify our directors and officers to the fullest extent permitted by the Delaware General Corporation Law, subject to limited exceptions;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employees and agents to the fullest extent permitted by the Delaware General Corporation Law, subject to limited exceptions;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advance expenses to our directors and officers and may advance expenses of our employees and agents in connection with a legal proceeding to the fullest extent permitted by the Delaware General Corporation Law, subject to limited exceptions;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and restated bylaws are not exclusive.</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for the indemnification provisions described above and elsewhere herein. We have entered into, and intend to continue to enter into, separate indemnification agreements with our directors and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(the Securities Act).</w:t>
      </w:r>
    </w:p>
    <w:p>
      <w:pPr>
        <w:spacing w:after="0" w:line="192"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4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Any underwriting agreements that we may enter into will likely provide for the indemnification of us, our controlling persons, our directors and certain of our officers by the underwriters against certain liabilities, including liabilities under the Securities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w:t>
      </w:r>
    </w:p>
    <w:p>
      <w:pPr>
        <w:spacing w:after="0" w:line="2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200" w:hanging="84"/>
        <w:spacing w:after="0"/>
        <w:tabs>
          <w:tab w:leader="none" w:pos="2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8"/>
          <w:szCs w:val="18"/>
          <w:color w:val="auto"/>
        </w:rPr>
        <w:t>Form(s) of underwriting agreement(s).</w:t>
      </w:r>
    </w:p>
    <w:p>
      <w:pPr>
        <w:spacing w:after="0" w:line="117" w:lineRule="exact"/>
        <w:rPr>
          <w:rFonts w:ascii="Times New Roman" w:cs="Times New Roman" w:eastAsia="Times New Roman" w:hAnsi="Times New Roman"/>
          <w:sz w:val="16"/>
          <w:szCs w:val="16"/>
          <w:color w:val="auto"/>
        </w:rPr>
      </w:pPr>
    </w:p>
    <w:p>
      <w:pPr>
        <w:ind w:left="1000" w:right="60" w:hanging="884"/>
        <w:spacing w:after="0" w:line="266" w:lineRule="auto"/>
        <w:tabs>
          <w:tab w:leader="none" w:pos="199" w:val="left"/>
        </w:tabs>
        <w:numPr>
          <w:ilvl w:val="0"/>
          <w:numId w:val="3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hyperlink r:id="rId80">
        <w:r>
          <w:rPr>
            <w:rFonts w:ascii="Times New Roman" w:cs="Times New Roman" w:eastAsia="Times New Roman" w:hAnsi="Times New Roman"/>
            <w:sz w:val="18"/>
            <w:szCs w:val="18"/>
            <w:u w:val="single" w:color="auto"/>
            <w:color w:val="0000EE"/>
          </w:rPr>
          <w:t>Agreement and Plan of Merger and Reorganization, dated as of August 9, 2022, by and among Gemini Therapeutics, Inc., Gemstone</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Merger Sub, Inc. and Disc Medicine, Inc. (incorporated by reference to Exhibit 2.1 to the Registrant’s Proxy Statement/Prospectus on Form</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S-4 filed on September 2, 2022).</w:t>
        </w:r>
      </w:hyperlink>
    </w:p>
    <w:p>
      <w:pPr>
        <w:spacing w:after="0" w:line="67" w:lineRule="exact"/>
        <w:rPr>
          <w:rFonts w:ascii="Times New Roman" w:cs="Times New Roman" w:eastAsia="Times New Roman" w:hAnsi="Times New Roman"/>
          <w:sz w:val="18"/>
          <w:szCs w:val="18"/>
          <w:u w:val="single" w:color="auto"/>
          <w:color w:val="0000EE"/>
        </w:rPr>
      </w:pPr>
    </w:p>
    <w:p>
      <w:pPr>
        <w:ind w:left="1000" w:right="140" w:hanging="884"/>
        <w:spacing w:after="0" w:line="282" w:lineRule="auto"/>
        <w:tabs>
          <w:tab w:leader="none" w:pos="199" w:val="left"/>
        </w:tabs>
        <w:numPr>
          <w:ilvl w:val="0"/>
          <w:numId w:val="3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hyperlink r:id="rId81">
        <w:r>
          <w:rPr>
            <w:rFonts w:ascii="Times New Roman" w:cs="Times New Roman" w:eastAsia="Times New Roman" w:hAnsi="Times New Roman"/>
            <w:sz w:val="18"/>
            <w:szCs w:val="18"/>
            <w:u w:val="single" w:color="auto"/>
            <w:color w:val="0000EE"/>
          </w:rPr>
          <w:t>Amended and Restated Certificate of Incorporation of Disc Medicine, Inc. (incorporated by reference to Annex B to Gemini Therapeutics,</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Inc.’s Proxy Statement/Prospectus on Form S-4/A (Registration No. 333-249785)).</w:t>
        </w:r>
      </w:hyperlink>
    </w:p>
    <w:p>
      <w:pPr>
        <w:spacing w:after="0" w:line="53" w:lineRule="exact"/>
        <w:rPr>
          <w:rFonts w:ascii="Times New Roman" w:cs="Times New Roman" w:eastAsia="Times New Roman" w:hAnsi="Times New Roman"/>
          <w:sz w:val="18"/>
          <w:szCs w:val="18"/>
          <w:u w:val="single" w:color="auto"/>
          <w:color w:val="0000EE"/>
        </w:rPr>
      </w:pPr>
    </w:p>
    <w:p>
      <w:pPr>
        <w:ind w:left="1000" w:right="400" w:hanging="884"/>
        <w:spacing w:after="0" w:line="282" w:lineRule="auto"/>
        <w:tabs>
          <w:tab w:leader="none" w:pos="199" w:val="left"/>
        </w:tabs>
        <w:numPr>
          <w:ilvl w:val="0"/>
          <w:numId w:val="3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hyperlink r:id="rId82">
        <w:r>
          <w:rPr>
            <w:rFonts w:ascii="Times New Roman" w:cs="Times New Roman" w:eastAsia="Times New Roman" w:hAnsi="Times New Roman"/>
            <w:sz w:val="18"/>
            <w:szCs w:val="18"/>
            <w:u w:val="single" w:color="auto"/>
            <w:color w:val="0000EE"/>
          </w:rPr>
          <w:t>Certificate of Amendment to the Amended and Restated Certificate of Incorporation of Disc Medicine, Inc., dated December 28, 2022</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(incorporated by reference to Exhibit 3.1 to the Registrant’s Current Report on Form 8-K filed on December 29, 2022).</w:t>
        </w:r>
      </w:hyperlink>
    </w:p>
    <w:p>
      <w:pPr>
        <w:spacing w:after="0" w:line="53" w:lineRule="exact"/>
        <w:rPr>
          <w:rFonts w:ascii="Times New Roman" w:cs="Times New Roman" w:eastAsia="Times New Roman" w:hAnsi="Times New Roman"/>
          <w:sz w:val="18"/>
          <w:szCs w:val="18"/>
          <w:u w:val="single" w:color="auto"/>
          <w:color w:val="0000EE"/>
        </w:rPr>
      </w:pPr>
    </w:p>
    <w:p>
      <w:pPr>
        <w:ind w:left="1000" w:right="400" w:hanging="884"/>
        <w:spacing w:after="0" w:line="282" w:lineRule="auto"/>
        <w:tabs>
          <w:tab w:leader="none" w:pos="199" w:val="left"/>
        </w:tabs>
        <w:numPr>
          <w:ilvl w:val="0"/>
          <w:numId w:val="3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hyperlink r:id="rId83">
        <w:r>
          <w:rPr>
            <w:rFonts w:ascii="Times New Roman" w:cs="Times New Roman" w:eastAsia="Times New Roman" w:hAnsi="Times New Roman"/>
            <w:sz w:val="18"/>
            <w:szCs w:val="18"/>
            <w:u w:val="single" w:color="auto"/>
            <w:color w:val="0000EE"/>
          </w:rPr>
          <w:t>Certificate of Amendment to the Amended and Restated Certificate of Incorporation of Disc Medicine, Inc., dated December 29, 2022</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(incorporated by reference to Exhibit 3.2 to the Registrant’s Current Report on Form 8-K filed on December 29, 2022).</w:t>
        </w:r>
      </w:hyperlink>
    </w:p>
    <w:p>
      <w:pPr>
        <w:spacing w:after="0" w:line="53" w:lineRule="exact"/>
        <w:rPr>
          <w:rFonts w:ascii="Times New Roman" w:cs="Times New Roman" w:eastAsia="Times New Roman" w:hAnsi="Times New Roman"/>
          <w:sz w:val="18"/>
          <w:szCs w:val="18"/>
          <w:u w:val="single" w:color="auto"/>
          <w:color w:val="0000EE"/>
        </w:rPr>
      </w:pPr>
    </w:p>
    <w:p>
      <w:pPr>
        <w:ind w:left="1000" w:right="600" w:hanging="884"/>
        <w:spacing w:after="0" w:line="282" w:lineRule="auto"/>
        <w:tabs>
          <w:tab w:leader="none" w:pos="199" w:val="left"/>
        </w:tabs>
        <w:numPr>
          <w:ilvl w:val="0"/>
          <w:numId w:val="3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hyperlink r:id="rId84">
        <w:r>
          <w:rPr>
            <w:rFonts w:ascii="Times New Roman" w:cs="Times New Roman" w:eastAsia="Times New Roman" w:hAnsi="Times New Roman"/>
            <w:sz w:val="18"/>
            <w:szCs w:val="18"/>
            <w:u w:val="single" w:color="auto"/>
            <w:color w:val="0000EE"/>
          </w:rPr>
          <w:t>Amended and Restated By-laws of Disc Medicine, Inc. (incorporated by reference to Annex C to Gemini Therapeutics, Inc.’s Proxy</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Statement/Prospectus on Form S-4/A (Registration No. 333-249785)).</w:t>
        </w:r>
      </w:hyperlink>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00" w:right="120" w:hanging="884"/>
        <w:spacing w:after="0" w:line="282" w:lineRule="auto"/>
        <w:tabs>
          <w:tab w:leader="none" w:pos="199" w:val="left"/>
        </w:tabs>
        <w:numPr>
          <w:ilvl w:val="0"/>
          <w:numId w:val="3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86">
        <w:r>
          <w:rPr>
            <w:rFonts w:ascii="Times New Roman" w:cs="Times New Roman" w:eastAsia="Times New Roman" w:hAnsi="Times New Roman"/>
            <w:sz w:val="18"/>
            <w:szCs w:val="18"/>
            <w:u w:val="single" w:color="auto"/>
            <w:color w:val="0000EE"/>
          </w:rPr>
          <w:t>Form of Specimen Common Stock Certificate (incorporated by reference to Exhibit 4.1 to the Registrant’s Registration Statement on Form</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S-4/A filed on January 19,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400" w:hanging="884"/>
        <w:spacing w:after="0" w:line="282" w:lineRule="auto"/>
        <w:tabs>
          <w:tab w:leader="none" w:pos="199" w:val="left"/>
        </w:tabs>
        <w:numPr>
          <w:ilvl w:val="0"/>
          <w:numId w:val="3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87">
        <w:r>
          <w:rPr>
            <w:rFonts w:ascii="Times New Roman" w:cs="Times New Roman" w:eastAsia="Times New Roman" w:hAnsi="Times New Roman"/>
            <w:sz w:val="18"/>
            <w:szCs w:val="18"/>
            <w:u w:val="single" w:color="auto"/>
            <w:color w:val="0000EE"/>
          </w:rPr>
          <w:t>Registration Rights Agreement, among Disc Medicine, Inc. and certain of its stockholders, dated December 28, 2022 (incorporated by</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reference to Exhibit 10.1 to the Registrant’s Current Report on Form 8-K filed on December 29, 2022).</w:t>
        </w:r>
      </w:hyperlink>
    </w:p>
    <w:p>
      <w:pPr>
        <w:spacing w:after="0" w:line="53" w:lineRule="exact"/>
        <w:rPr>
          <w:rFonts w:ascii="Times New Roman" w:cs="Times New Roman" w:eastAsia="Times New Roman" w:hAnsi="Times New Roman"/>
          <w:sz w:val="18"/>
          <w:szCs w:val="18"/>
          <w:u w:val="single" w:color="auto"/>
          <w:color w:val="0000EE"/>
        </w:rPr>
      </w:pPr>
    </w:p>
    <w:p>
      <w:pPr>
        <w:ind w:left="1000" w:right="140" w:hanging="884"/>
        <w:spacing w:after="0" w:line="282" w:lineRule="auto"/>
        <w:tabs>
          <w:tab w:leader="none" w:pos="199" w:val="left"/>
        </w:tabs>
        <w:numPr>
          <w:ilvl w:val="0"/>
          <w:numId w:val="3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88">
        <w:r>
          <w:rPr>
            <w:rFonts w:ascii="Times New Roman" w:cs="Times New Roman" w:eastAsia="Times New Roman" w:hAnsi="Times New Roman"/>
            <w:sz w:val="18"/>
            <w:szCs w:val="18"/>
            <w:u w:val="single" w:color="auto"/>
            <w:color w:val="0000EE"/>
          </w:rPr>
          <w:t>Registration Rights Agreement, dated February 5, 2021, by and among the Registrant and the stockholder parties thereto (incorporated by</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reference to Exhibit 10.1 to the Registrant’s Form 8-A12B/A filed on February 5, 2021).</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w:t>
      </w:r>
      <w:r>
        <w:rPr>
          <w:rFonts w:ascii="Times New Roman" w:cs="Times New Roman" w:eastAsia="Times New Roman" w:hAnsi="Times New Roman"/>
          <w:sz w:val="17"/>
          <w:szCs w:val="17"/>
          <w:u w:val="single" w:color="auto"/>
          <w:color w:val="0000EE"/>
        </w:rPr>
        <w:t>Form of indenture for senior debt securities and the related form of senior debt security.</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17"/>
          <w:szCs w:val="17"/>
          <w:u w:val="single" w:color="auto"/>
          <w:color w:val="0000EE"/>
        </w:rPr>
        <w:t>Form of indenture for subordinated debt securities and the related form of subordinated debt security.</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w:t>
      </w:r>
      <w:r>
        <w:rPr>
          <w:rFonts w:ascii="Times New Roman" w:cs="Times New Roman" w:eastAsia="Times New Roman" w:hAnsi="Times New Roman"/>
          <w:sz w:val="18"/>
          <w:szCs w:val="18"/>
          <w:color w:val="auto"/>
        </w:rPr>
        <w:t>Form of Certificate of Designations.</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w:t>
      </w:r>
      <w:r>
        <w:rPr>
          <w:rFonts w:ascii="Times New Roman" w:cs="Times New Roman" w:eastAsia="Times New Roman" w:hAnsi="Times New Roman"/>
          <w:sz w:val="17"/>
          <w:szCs w:val="17"/>
          <w:color w:val="auto"/>
        </w:rPr>
        <w:t>Form of Warrant Agreement.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w:t>
      </w:r>
      <w:r>
        <w:rPr>
          <w:rFonts w:ascii="Times New Roman" w:cs="Times New Roman" w:eastAsia="Times New Roman" w:hAnsi="Times New Roman"/>
          <w:sz w:val="17"/>
          <w:szCs w:val="17"/>
          <w:color w:val="auto"/>
        </w:rPr>
        <w:t>Form of Unit Certificate.</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w:t>
      </w:r>
      <w:r>
        <w:rPr>
          <w:rFonts w:ascii="Times New Roman" w:cs="Times New Roman" w:eastAsia="Times New Roman" w:hAnsi="Times New Roman"/>
          <w:sz w:val="18"/>
          <w:szCs w:val="18"/>
          <w:color w:val="auto"/>
        </w:rPr>
        <w:t>Form of Preferred Stock Certificate.</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Goodwin Procter LLP.</w:t>
      </w:r>
    </w:p>
    <w:p>
      <w:pPr>
        <w:spacing w:after="0" w:line="115"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9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w:t>
            </w:r>
          </w:p>
        </w:tc>
        <w:tc>
          <w:tcPr>
            <w:tcW w:w="2100" w:type="dxa"/>
            <w:vAlign w:val="bottom"/>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 hereto).</w:t>
            </w:r>
          </w:p>
        </w:tc>
      </w:tr>
      <w:tr>
        <w:trPr>
          <w:trHeight w:val="20"/>
        </w:trPr>
        <w:tc>
          <w:tcPr>
            <w:tcW w:w="88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(included in the signature pages to this registration statement).</w:t>
            </w:r>
          </w:p>
        </w:tc>
        <w:tc>
          <w:tcPr>
            <w:tcW w:w="2120" w:type="dxa"/>
            <w:vAlign w:val="bottom"/>
            <w:gridSpan w:val="2"/>
          </w:tcPr>
          <w:p>
            <w:pPr>
              <w:spacing w:after="0"/>
              <w:rPr>
                <w:sz w:val="24"/>
                <w:szCs w:val="24"/>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7"/>
              </w:rPr>
              <w:t>Form T-1</w:t>
            </w:r>
          </w:p>
        </w:tc>
        <w:tc>
          <w:tcPr>
            <w:tcW w:w="73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Statement of Eligibility of Trustee for Senior Indenture under the Trust Indenture Act of 1939.</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25.2†</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7"/>
              </w:rPr>
              <w:t>Form T-1</w:t>
            </w:r>
          </w:p>
        </w:tc>
        <w:tc>
          <w:tcPr>
            <w:tcW w:w="73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Statement of Eligibility of Trustee for Subordinated Indenture under the Trust Indenture Act of 1939.</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8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30" w:lineRule="exact"/>
        <w:rPr>
          <w:rFonts w:ascii="Times New Roman" w:cs="Times New Roman" w:eastAsia="Times New Roman" w:hAnsi="Times New Roman"/>
          <w:sz w:val="18"/>
          <w:szCs w:val="18"/>
          <w:color w:val="auto"/>
        </w:rPr>
      </w:pPr>
    </w:p>
    <w:p>
      <w:pPr>
        <w:ind w:left="120" w:right="140" w:hanging="4"/>
        <w:spacing w:after="0" w:line="261" w:lineRule="auto"/>
        <w:tabs>
          <w:tab w:leader="none" w:pos="5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exhibit(s) to a Current Report of the Registrant on Form 8-K and incorporated herein by reference, as applicable. ** Filed herewith.</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To be filed pursuant to Section 305(b)(2) of the U.S. Trust Indenture Act of 1939, as applicable.</w:t>
      </w:r>
    </w:p>
    <w:p>
      <w:pPr>
        <w:spacing w:after="0" w:line="311"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w:t>
      </w:r>
      <w:r>
        <w:rPr>
          <w:rFonts w:ascii="Times New Roman" w:cs="Times New Roman" w:eastAsia="Times New Roman" w:hAnsi="Times New Roman"/>
          <w:sz w:val="18"/>
          <w:szCs w:val="18"/>
          <w:b w:val="1"/>
          <w:bCs w:val="1"/>
          <w:i w:val="1"/>
          <w:iCs w:val="1"/>
          <w:color w:val="auto"/>
        </w:rPr>
        <w:t>. Undertakings</w:t>
      </w:r>
    </w:p>
    <w:p>
      <w:pPr>
        <w:spacing w:after="0" w:line="13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21"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85" w:lineRule="exact"/>
        <w:rPr>
          <w:sz w:val="20"/>
          <w:szCs w:val="20"/>
          <w:color w:val="auto"/>
        </w:rPr>
      </w:pPr>
    </w:p>
    <w:p>
      <w:pPr>
        <w:ind w:left="540" w:right="100" w:hanging="424"/>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w:t>
      </w:r>
    </w:p>
    <w:p>
      <w:pPr>
        <w:spacing w:after="0" w:line="11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sellers to the purchaser and will be considered to offer or sell such securities to such purchaser:</w:t>
      </w:r>
    </w:p>
    <w:p>
      <w:pPr>
        <w:spacing w:after="0" w:line="85"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 for the purposes of determining any liability under the Securities Act, each filing of the annual reports of the Registrant pursuant to Section 13(a) or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w:t>
      </w:r>
    </w:p>
    <w:p>
      <w:pPr>
        <w:spacing w:after="0" w:line="85" w:lineRule="exact"/>
        <w:rPr>
          <w:rFonts w:ascii="Times New Roman" w:cs="Times New Roman" w:eastAsia="Times New Roman" w:hAnsi="Times New Roman"/>
          <w:sz w:val="18"/>
          <w:szCs w:val="18"/>
          <w:color w:val="auto"/>
        </w:rPr>
      </w:pPr>
    </w:p>
    <w:p>
      <w:pPr>
        <w:ind w:left="540" w:right="60" w:hanging="424"/>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 section (a) of section 310 of the Trust Indenture Act, or the Act, in accordance with the rules and regulations prescribed by the Commission under section 305(b)(2) of the Act.</w:t>
      </w:r>
    </w:p>
    <w:p>
      <w:pPr>
        <w:spacing w:after="0" w:line="81" w:lineRule="exact"/>
        <w:rPr>
          <w:rFonts w:ascii="Times New Roman" w:cs="Times New Roman" w:eastAsia="Times New Roman" w:hAnsi="Times New Roman"/>
          <w:sz w:val="18"/>
          <w:szCs w:val="18"/>
          <w:color w:val="auto"/>
        </w:rPr>
      </w:pPr>
    </w:p>
    <w:p>
      <w:pPr>
        <w:jc w:val="both"/>
        <w:ind w:left="540" w:right="80" w:hanging="424"/>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81" w:lineRule="exact"/>
        <w:rPr>
          <w:rFonts w:ascii="Times New Roman" w:cs="Times New Roman" w:eastAsia="Times New Roman" w:hAnsi="Times New Roman"/>
          <w:sz w:val="18"/>
          <w:szCs w:val="18"/>
          <w:color w:val="auto"/>
        </w:rPr>
      </w:pPr>
    </w:p>
    <w:p>
      <w:pPr>
        <w:ind w:left="540" w:right="220" w:hanging="424"/>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Watertown, State of Massachusetts, on August 8, 2024.</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517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John Quisel, J.D., Ph.D., Jean Franchi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Quisel</w:t>
            </w:r>
          </w:p>
        </w:tc>
        <w:tc>
          <w:tcPr>
            <w:tcW w:w="220" w:type="dxa"/>
            <w:vAlign w:val="bottom"/>
          </w:tcPr>
          <w:p>
            <w:pPr>
              <w:spacing w:after="0"/>
              <w:rPr>
                <w:sz w:val="24"/>
                <w:szCs w:val="24"/>
                <w:color w:val="auto"/>
              </w:rPr>
            </w:pPr>
          </w:p>
        </w:tc>
        <w:tc>
          <w:tcPr>
            <w:tcW w:w="3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Quisel, J.D., Ph.D.</w:t>
            </w:r>
          </w:p>
        </w:tc>
        <w:tc>
          <w:tcPr>
            <w:tcW w:w="220" w:type="dxa"/>
            <w:vAlign w:val="bottom"/>
          </w:tcPr>
          <w:p>
            <w:pPr>
              <w:spacing w:after="0"/>
              <w:rPr>
                <w:sz w:val="19"/>
                <w:szCs w:val="19"/>
                <w:color w:val="auto"/>
              </w:rPr>
            </w:pPr>
          </w:p>
        </w:tc>
        <w:tc>
          <w:tcPr>
            <w:tcW w:w="3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32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c>
          <w:tcPr>
            <w:tcW w:w="220" w:type="dxa"/>
            <w:vAlign w:val="bottom"/>
          </w:tcPr>
          <w:p>
            <w:pPr>
              <w:spacing w:after="0"/>
              <w:rPr>
                <w:sz w:val="24"/>
                <w:szCs w:val="24"/>
                <w:color w:val="auto"/>
              </w:rPr>
            </w:pPr>
          </w:p>
        </w:tc>
        <w:tc>
          <w:tcPr>
            <w:tcW w:w="3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 (Principal Financial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Jean Franchi</w:t>
            </w:r>
          </w:p>
        </w:tc>
        <w:tc>
          <w:tcPr>
            <w:tcW w:w="220" w:type="dxa"/>
            <w:vAlign w:val="bottom"/>
          </w:tcPr>
          <w:p>
            <w:pPr>
              <w:spacing w:after="0"/>
              <w:rPr>
                <w:sz w:val="19"/>
                <w:szCs w:val="19"/>
                <w:color w:val="auto"/>
              </w:rPr>
            </w:pPr>
          </w:p>
        </w:tc>
        <w:tc>
          <w:tcPr>
            <w:tcW w:w="3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Officer and Principal Accounting Officer)</w:t>
            </w:r>
          </w:p>
        </w:tc>
        <w:tc>
          <w:tcPr>
            <w:tcW w:w="32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Mona Ashiya</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Mona Ashiya, Ph.D.</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Bitterman</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Bitterman, Ph.D.</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Chin</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Chin, MS, MBA</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Georges Gemayel</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Georges Gemayel</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Donald Nicholson</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Donald Nicholson, Ph.D.</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360"/>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II-6</w:t>
            </w: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Liam Ratcliffe</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Liam Ratcliffe, M.D., Ph.D.</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White</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White, MPP, J.D.</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360"/>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II-7</w:t>
            </w: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DISC MEDICINE, INC.</w:t>
      </w:r>
    </w:p>
    <w:p>
      <w:pPr>
        <w:spacing w:after="0" w:line="23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[   ]</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ectPr>
          <w:pgSz w:w="11900" w:h="16838" w:orient="portrait"/>
          <w:cols w:equalWidth="0" w:num="1">
            <w:col w:w="10020"/>
          </w:cols>
          <w:pgMar w:left="1440" w:top="117" w:right="439" w:bottom="1440" w:gutter="0" w:footer="0" w:header="0"/>
        </w:sectPr>
      </w:pPr>
    </w:p>
    <w:bookmarkStart w:id="47" w:name="page48"/>
    <w:bookmarkEnd w:id="47"/>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r>
        <w:rPr>
          <w:rFonts w:ascii="Times New Roman" w:cs="Times New Roman" w:eastAsia="Times New Roman" w:hAnsi="Times New Roman"/>
          <w:sz w:val="26"/>
          <w:szCs w:val="26"/>
          <w:b w:val="1"/>
          <w:bCs w:val="1"/>
          <w:color w:val="auto"/>
          <w:vertAlign w:val="superscript"/>
        </w:rPr>
        <w:t>1</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1.01 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Definitions of Terms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2.01 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Designation and Terms of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2.02 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Securities and Trustee’s Certificate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2.03 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Denominations: Provisions for Payment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2.04 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Execution and Authentications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2.05 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Registration of Transfer and Exchange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2.06 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Temporary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2.07 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Mutilated, Destroyed, Lost or Stolen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2.08 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Cancellation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2.09 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Benefits of Indenture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2.10 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Authenticating Agent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2.11 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Global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3.01 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Redemption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3.02 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Notice of Redemption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3.03 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Payment Upon Redemption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3.04 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Sinking Fund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3.05 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Satisfaction of Sinking Fund Payments with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3.06 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Redemption of Securities for Sinking Fund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4.01 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Payment of Principal, Premium and Interest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4.02 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Maintenance of Office or Agency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4.03 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Paying Agents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4.04 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Appointment to Fill Vacancy in Office of Trustee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4.05 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Compliance with Consolidation Provisions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5.01 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Company to Furnish Trustee Names and Addresses of Securityholders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5.02 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Preservation Of Information; Communications With Securityholders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5.03 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Reports by the Company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5.04 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Reports by the Trustee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6.01 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Events of Default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6.02 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Collection of Indebtedness and Suits for Enforcement by Trustee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6.03 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Application of Moneys Collected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6.04 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Limitation on Suits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6.05 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Rights and Remedies Cumulative; Delay or Omission Not Waiver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6.06 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Control by Securityholders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6.07 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Undertaking to Pay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7.01 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Certain Duties and Responsibilities of Trustee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7.02 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Certain Rights of Trustee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7.03 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Trustee Not Responsible for Recitals or Issuance or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7.04 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Hold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Section 7.05 </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Moneys Held in Trust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680" w:hanging="424"/>
        <w:spacing w:after="0" w:line="208" w:lineRule="auto"/>
        <w:tabs>
          <w:tab w:leader="none" w:pos="424" w:val="left"/>
        </w:tabs>
        <w:numPr>
          <w:ilvl w:val="0"/>
          <w:numId w:val="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4"/>
          </w:cols>
          <w:pgMar w:left="436" w:top="266" w:right="49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7.06 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Compensation and Reimbursement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7.07 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Reliance on Officer’s Certificate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7.08 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Disqualification; Conflicting Interests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7.09 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Corporate Trustee Required; Eligibility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7.10 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Resignation and Removal; Appointment of Successor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7.11 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Acceptance of Appointment By Successor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7.12 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Merger, Conversion, Consolidation or Succession to Business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7.13 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Preferential Collection of Claims Against the Company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7.14 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Notice of Default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8.01 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Evidence of Action by Securityholders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8.02 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Proof of Execution by Securityholders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8.03 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Who May be Deemed Owners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8.04 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Certain Securities Owned by Company Disregarded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8.05 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Actions Binding on Future Securityholders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9.01 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Supplemental Indentures Without the Consent of Securityholders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9.02 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Supplemental Indentures With Consent of Securityholders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9.03 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Effect of Supplemental Indentures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9.04 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Securities Affected by Supplemental Indentures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Section 9.05 </w:t>
            </w: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Execution of Supplemental Indentures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10.01 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Company May Consolidate, Etc</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10.02 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Successor Entity Substituted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11.01 </w:t>
            </w: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Satisfaction and Discharge of Indenture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11.02 </w:t>
            </w: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Discharge of Obligations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11.03 </w:t>
            </w: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Deposited Moneys to be Held in Trust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11.04 </w:t>
            </w: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Payment of Moneys Held by Paying Agents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11.05 </w:t>
            </w: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Repayment to Company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12.01 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 Recourse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13.01 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Effect on Successors and Assigns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13.02 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Actions by Successor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13.03 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Surrender of Company Powers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13.04 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Notices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13.05 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Governing Law</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13.06 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Treatment of Securities as Debt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13.07 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Certificates and Opinions as to Conditions Precedent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13.08 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Payments on Business Days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13.09 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Conflict with Trust Indenture Act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13.10 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Counterparts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13.11 </w:t>
            </w: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Separability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Section 13.12 </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Compliance Certificates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INDENTURE, </w:t>
      </w:r>
      <w:r>
        <w:rPr>
          <w:rFonts w:ascii="Times New Roman" w:cs="Times New Roman" w:eastAsia="Times New Roman" w:hAnsi="Times New Roman"/>
          <w:sz w:val="18"/>
          <w:szCs w:val="18"/>
          <w:color w:val="auto"/>
        </w:rPr>
        <w:t>dated as of [ ], among</w:t>
      </w:r>
      <w:r>
        <w:rPr>
          <w:rFonts w:ascii="Times New Roman" w:cs="Times New Roman" w:eastAsia="Times New Roman" w:hAnsi="Times New Roman"/>
          <w:sz w:val="18"/>
          <w:szCs w:val="18"/>
          <w:b w:val="1"/>
          <w:bCs w:val="1"/>
          <w:color w:val="auto"/>
        </w:rPr>
        <w:t xml:space="preserve"> DISC MEDICINE, INC., </w:t>
      </w:r>
      <w:r>
        <w:rPr>
          <w:rFonts w:ascii="Times New Roman" w:cs="Times New Roman" w:eastAsia="Times New Roman" w:hAnsi="Times New Roman"/>
          <w:sz w:val="18"/>
          <w:szCs w:val="18"/>
          <w:color w:val="auto"/>
        </w:rPr>
        <w:t>a Delaware corporation (the “Company”), and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trustee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 for the equal and ratable benefit of the holders of Securities: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 of Terms</w:t>
      </w:r>
      <w:r>
        <w:rPr>
          <w:rFonts w:ascii="Times New Roman" w:cs="Times New Roman" w:eastAsia="Times New Roman" w:hAnsi="Times New Roman"/>
          <w:sz w:val="18"/>
          <w:szCs w:val="18"/>
          <w:color w:val="auto"/>
        </w:rPr>
        <w:t>. 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50" w:name="page51"/>
    <w:bookmarkEnd w:id="50"/>
    <w:p>
      <w:pPr>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Disc Medicine, Inc., a corporation duly organized and existing under the laws of the State of Delaware, and, subject to the provisions of Article Ten, shall also include its successors and assigns.</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1" w:name="page52"/>
    <w:bookmarkEnd w:id="51"/>
    <w:p>
      <w:pPr>
        <w:ind w:right="3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5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jc w:val="both"/>
        <w:ind w:firstLine="436"/>
        <w:spacing w:after="0" w:line="26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“subsidiary”), by one or more subsidiaries of such Person or by such Person and one or more subsidiaries of such Person;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in which such Person or a subsidiary of such Person is, at the date of determination, a general partner of such partnership; or</w:t>
      </w:r>
    </w:p>
    <w:p>
      <w:pPr>
        <w:spacing w:after="0" w:line="225"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Designation and Terms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36"/>
        <w:spacing w:after="0" w:line="261"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color w:val="auto"/>
        </w:rPr>
      </w:pPr>
    </w:p>
    <w:p>
      <w:pPr>
        <w:jc w:val="both"/>
        <w:ind w:right="420" w:firstLine="987"/>
        <w:spacing w:after="0" w:line="266" w:lineRule="auto"/>
        <w:tabs>
          <w:tab w:leader="none" w:pos="12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225" w:lineRule="exact"/>
        <w:rPr>
          <w:rFonts w:ascii="Times New Roman" w:cs="Times New Roman" w:eastAsia="Times New Roman" w:hAnsi="Times New Roman"/>
          <w:sz w:val="18"/>
          <w:szCs w:val="18"/>
          <w:color w:val="auto"/>
        </w:rPr>
      </w:pPr>
    </w:p>
    <w:p>
      <w:pPr>
        <w:ind w:right="40" w:firstLine="987"/>
        <w:spacing w:after="0" w:line="266" w:lineRule="auto"/>
        <w:tabs>
          <w:tab w:leader="none" w:pos="121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converted or exchanged, in whole or in part;</w:t>
      </w:r>
    </w:p>
    <w:p>
      <w:pPr>
        <w:spacing w:after="0" w:line="161" w:lineRule="exact"/>
        <w:rPr>
          <w:rFonts w:ascii="Times New Roman" w:cs="Times New Roman" w:eastAsia="Times New Roman" w:hAnsi="Times New Roman"/>
          <w:sz w:val="18"/>
          <w:szCs w:val="18"/>
          <w:color w:val="auto"/>
        </w:rPr>
      </w:pPr>
    </w:p>
    <w:p>
      <w:pPr>
        <w:ind w:right="280" w:firstLine="987"/>
        <w:spacing w:after="0" w:line="261" w:lineRule="auto"/>
        <w:tabs>
          <w:tab w:leader="none" w:pos="120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53" w:name="page54"/>
    <w:bookmarkEnd w:id="53"/>
    <w:p>
      <w:pPr>
        <w:ind w:left="-60" w:right="100" w:firstLine="987"/>
        <w:spacing w:after="0" w:line="261" w:lineRule="auto"/>
        <w:tabs>
          <w:tab w:leader="none" w:pos="11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9" w:lineRule="exact"/>
        <w:rPr>
          <w:rFonts w:ascii="Times New Roman" w:cs="Times New Roman" w:eastAsia="Times New Roman" w:hAnsi="Times New Roman"/>
          <w:sz w:val="18"/>
          <w:szCs w:val="18"/>
          <w:color w:val="auto"/>
        </w:rPr>
      </w:pPr>
    </w:p>
    <w:p>
      <w:pPr>
        <w:ind w:left="-60" w:right="300" w:firstLine="987"/>
        <w:spacing w:after="0" w:line="266"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color w:val="auto"/>
        </w:rPr>
      </w:pPr>
    </w:p>
    <w:p>
      <w:pPr>
        <w:ind w:left="-60" w:right="140" w:firstLine="987"/>
        <w:spacing w:after="0" w:line="261" w:lineRule="auto"/>
        <w:tabs>
          <w:tab w:leader="none" w:pos="118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color w:val="auto"/>
        </w:rPr>
      </w:pPr>
    </w:p>
    <w:p>
      <w:pPr>
        <w:ind w:left="-60" w:right="280" w:firstLine="987"/>
        <w:spacing w:after="0" w:line="282" w:lineRule="auto"/>
        <w:tabs>
          <w:tab w:leader="none" w:pos="118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225" w:lineRule="exact"/>
        <w:rPr>
          <w:rFonts w:ascii="Times New Roman" w:cs="Times New Roman" w:eastAsia="Times New Roman" w:hAnsi="Times New Roman"/>
          <w:sz w:val="18"/>
          <w:szCs w:val="18"/>
          <w:color w:val="auto"/>
        </w:rPr>
      </w:pPr>
    </w:p>
    <w:p>
      <w:pPr>
        <w:ind w:left="-60" w:firstLine="987"/>
        <w:spacing w:after="0" w:line="254" w:lineRule="auto"/>
        <w:tabs>
          <w:tab w:leader="none" w:pos="118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91" w:lineRule="exact"/>
        <w:rPr>
          <w:rFonts w:ascii="Times New Roman" w:cs="Times New Roman" w:eastAsia="Times New Roman" w:hAnsi="Times New Roman"/>
          <w:sz w:val="18"/>
          <w:szCs w:val="18"/>
          <w:color w:val="auto"/>
        </w:rPr>
      </w:pPr>
    </w:p>
    <w:p>
      <w:pPr>
        <w:ind w:left="-60" w:right="100" w:firstLine="987"/>
        <w:spacing w:after="0" w:line="266" w:lineRule="auto"/>
        <w:tabs>
          <w:tab w:leader="none" w:pos="11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75" w:lineRule="exact"/>
        <w:rPr>
          <w:rFonts w:ascii="Times New Roman" w:cs="Times New Roman" w:eastAsia="Times New Roman" w:hAnsi="Times New Roman"/>
          <w:sz w:val="18"/>
          <w:szCs w:val="18"/>
          <w:color w:val="auto"/>
        </w:rPr>
      </w:pPr>
    </w:p>
    <w:p>
      <w:pPr>
        <w:jc w:val="both"/>
        <w:ind w:left="-60" w:right="160" w:firstLine="987"/>
        <w:spacing w:after="0" w:line="266" w:lineRule="auto"/>
        <w:tabs>
          <w:tab w:leader="none" w:pos="11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175" w:lineRule="exact"/>
        <w:rPr>
          <w:rFonts w:ascii="Times New Roman" w:cs="Times New Roman" w:eastAsia="Times New Roman" w:hAnsi="Times New Roman"/>
          <w:sz w:val="18"/>
          <w:szCs w:val="18"/>
          <w:color w:val="auto"/>
        </w:rPr>
      </w:pPr>
    </w:p>
    <w:p>
      <w:pPr>
        <w:ind w:left="-60" w:right="360" w:firstLine="987"/>
        <w:spacing w:after="0" w:line="282" w:lineRule="auto"/>
        <w:tabs>
          <w:tab w:leader="none" w:pos="11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161" w:lineRule="exact"/>
        <w:rPr>
          <w:rFonts w:ascii="Times New Roman" w:cs="Times New Roman" w:eastAsia="Times New Roman" w:hAnsi="Times New Roman"/>
          <w:sz w:val="18"/>
          <w:szCs w:val="18"/>
          <w:color w:val="auto"/>
        </w:rPr>
      </w:pPr>
    </w:p>
    <w:p>
      <w:pPr>
        <w:ind w:left="-60" w:right="300" w:firstLine="987"/>
        <w:spacing w:after="0" w:line="282" w:lineRule="auto"/>
        <w:tabs>
          <w:tab w:leader="none" w:pos="118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61"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225" w:lineRule="exact"/>
        <w:rPr>
          <w:rFonts w:ascii="Times New Roman" w:cs="Times New Roman" w:eastAsia="Times New Roman" w:hAnsi="Times New Roman"/>
          <w:sz w:val="18"/>
          <w:szCs w:val="18"/>
          <w:color w:val="auto"/>
        </w:rPr>
      </w:pPr>
    </w:p>
    <w:p>
      <w:pPr>
        <w:ind w:left="1220" w:hanging="293"/>
        <w:spacing w:after="0"/>
        <w:tabs>
          <w:tab w:leader="none" w:pos="1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70" w:right="519" w:bottom="1440" w:gutter="0" w:footer="0" w:header="0"/>
        </w:sectPr>
      </w:pPr>
    </w:p>
    <w:bookmarkStart w:id="54" w:name="page55"/>
    <w:bookmarkEnd w:id="54"/>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Securities and Trustee’s Certificate</w:t>
      </w:r>
      <w:r>
        <w:rPr>
          <w:rFonts w:ascii="Times New Roman" w:cs="Times New Roman" w:eastAsia="Times New Roman" w:hAnsi="Times New Roman"/>
          <w:sz w:val="18"/>
          <w:szCs w:val="18"/>
          <w:color w:val="auto"/>
        </w:rPr>
        <w:t>. 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Denominations: Provisions for Payment</w:t>
      </w:r>
      <w:r>
        <w:rPr>
          <w:rFonts w:ascii="Times New Roman" w:cs="Times New Roman" w:eastAsia="Times New Roman" w:hAnsi="Times New Roman"/>
          <w:sz w:val="17"/>
          <w:szCs w:val="17"/>
          <w:color w:val="auto"/>
        </w:rPr>
        <w:t>. 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58" w:lineRule="exact"/>
        <w:rPr>
          <w:sz w:val="20"/>
          <w:szCs w:val="20"/>
          <w:color w:val="auto"/>
        </w:rPr>
      </w:pPr>
    </w:p>
    <w:p>
      <w:pPr>
        <w:ind w:firstLine="436"/>
        <w:spacing w:after="0" w:line="253"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5" w:name="page56"/>
    <w:bookmarkEnd w:id="55"/>
    <w:p>
      <w:pPr>
        <w:ind w:firstLine="436"/>
        <w:spacing w:after="0" w:line="261"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Execution and Authentications</w:t>
      </w:r>
      <w:r>
        <w:rPr>
          <w:rFonts w:ascii="Times New Roman" w:cs="Times New Roman" w:eastAsia="Times New Roman" w:hAnsi="Times New Roman"/>
          <w:sz w:val="18"/>
          <w:szCs w:val="18"/>
          <w:color w:val="auto"/>
        </w:rPr>
        <w:t>. The Securities shall be signed on behalf of the Company by one of its Officers. Signatures may be in the form of a manual or facsimile signature.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Registration of Transfer and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36"/>
        <w:spacing w:after="0" w:line="258"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3"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56" w:name="page57"/>
    <w:bookmarkEnd w:id="56"/>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ind w:right="200" w:firstLine="436"/>
        <w:spacing w:after="0" w:line="261"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79"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 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Mutilated, Destroyed, Lost or Stolen Securities</w:t>
      </w:r>
      <w:r>
        <w:rPr>
          <w:rFonts w:ascii="Times New Roman" w:cs="Times New Roman" w:eastAsia="Times New Roman" w:hAnsi="Times New Roman"/>
          <w:sz w:val="18"/>
          <w:szCs w:val="18"/>
          <w:color w:val="auto"/>
        </w:rPr>
        <w:t>. 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7" w:name="page58"/>
    <w:bookmarkEnd w:id="5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8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u w:val="single" w:color="auto"/>
          <w:color w:val="auto"/>
        </w:rPr>
        <w:t>Authenticating Agent</w:t>
      </w:r>
      <w:r>
        <w:rPr>
          <w:rFonts w:ascii="Times New Roman" w:cs="Times New Roman" w:eastAsia="Times New Roman" w:hAnsi="Times New Roman"/>
          <w:sz w:val="17"/>
          <w:szCs w:val="17"/>
          <w:color w:val="auto"/>
        </w:rPr>
        <w:t>.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7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8" w:name="page59"/>
    <w:bookmarkEnd w:id="5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36"/>
        <w:spacing w:after="0" w:line="255" w:lineRule="auto"/>
        <w:tabs>
          <w:tab w:leader="none" w:pos="69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w:t>
      </w:r>
    </w:p>
    <w:p>
      <w:pPr>
        <w:spacing w:after="0" w:line="2" w:lineRule="exact"/>
        <w:rPr>
          <w:rFonts w:ascii="Times New Roman" w:cs="Times New Roman" w:eastAsia="Times New Roman" w:hAnsi="Times New Roman"/>
          <w:sz w:val="18"/>
          <w:szCs w:val="18"/>
          <w:color w:val="auto"/>
        </w:rPr>
      </w:pPr>
    </w:p>
    <w:p>
      <w:pPr>
        <w:ind w:left="4" w:right="560" w:hanging="4"/>
        <w:spacing w:after="0" w:line="255" w:lineRule="auto"/>
        <w:tabs>
          <w:tab w:leader="none" w:pos="3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5"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9"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Company may redeem the Securities of any series issued hereunder on and after the dates and in accordance with the terms established for such series pursuant to Section 2.01 hereof.</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3" w:lineRule="auto"/>
        <w:tabs>
          <w:tab w:leader="none" w:pos="6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59" w:name="page60"/>
    <w:bookmarkEnd w:id="59"/>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ind w:firstLine="436"/>
        <w:spacing w:after="0" w:line="253"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Payment Upon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4"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Sinking Fund</w:t>
      </w:r>
      <w:r>
        <w:rPr>
          <w:rFonts w:ascii="Times New Roman" w:cs="Times New Roman" w:eastAsia="Times New Roman" w:hAnsi="Times New Roman"/>
          <w:sz w:val="18"/>
          <w:szCs w:val="18"/>
          <w:color w:val="auto"/>
        </w:rPr>
        <w:t>. 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60" w:name="page61"/>
    <w:bookmarkEnd w:id="60"/>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 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 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 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1" w:name="page62"/>
    <w:bookmarkEnd w:id="6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Paying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436"/>
        <w:spacing w:after="0" w:line="266" w:lineRule="auto"/>
        <w:tabs>
          <w:tab w:leader="none" w:pos="6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7" w:lineRule="exact"/>
        <w:rPr>
          <w:rFonts w:ascii="Times New Roman" w:cs="Times New Roman" w:eastAsia="Times New Roman" w:hAnsi="Times New Roman"/>
          <w:sz w:val="18"/>
          <w:szCs w:val="18"/>
          <w:color w:val="auto"/>
        </w:rPr>
      </w:pPr>
    </w:p>
    <w:p>
      <w:pPr>
        <w:jc w:val="both"/>
        <w:ind w:left="4" w:right="140" w:firstLine="987"/>
        <w:spacing w:after="0" w:line="266" w:lineRule="auto"/>
        <w:tabs>
          <w:tab w:leader="none" w:pos="12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left="4" w:right="460" w:firstLine="987"/>
        <w:spacing w:after="0" w:line="282" w:lineRule="auto"/>
        <w:tabs>
          <w:tab w:leader="none" w:pos="12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color w:val="auto"/>
        </w:rPr>
      </w:pPr>
    </w:p>
    <w:p>
      <w:pPr>
        <w:ind w:left="4" w:right="100" w:firstLine="436"/>
        <w:spacing w:after="0" w:line="254" w:lineRule="auto"/>
        <w:tabs>
          <w:tab w:leader="none" w:pos="6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1"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Appointment to Fill Vacancy in Office of Trustee</w:t>
      </w:r>
      <w:r>
        <w:rPr>
          <w:rFonts w:ascii="Times New Roman" w:cs="Times New Roman" w:eastAsia="Times New Roman" w:hAnsi="Times New Roman"/>
          <w:sz w:val="18"/>
          <w:szCs w:val="18"/>
          <w:color w:val="auto"/>
        </w:rPr>
        <w:t>. The Company, whenever necessary to avoid or fill a vacancy in the office of Trustee, will appoint, in the manner provided in Section 7.10, a Trustee, so that there shall at all times be a Trustee hereunder.</w:t>
      </w:r>
    </w:p>
    <w:p>
      <w:pPr>
        <w:spacing w:after="0" w:line="162" w:lineRule="exact"/>
        <w:rPr>
          <w:sz w:val="20"/>
          <w:szCs w:val="20"/>
          <w:color w:val="auto"/>
        </w:rPr>
      </w:pPr>
    </w:p>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Compliance with Consolidation Provisions</w:t>
      </w:r>
      <w:r>
        <w:rPr>
          <w:rFonts w:ascii="Times New Roman" w:cs="Times New Roman" w:eastAsia="Times New Roman" w:hAnsi="Times New Roman"/>
          <w:sz w:val="18"/>
          <w:szCs w:val="18"/>
          <w:color w:val="auto"/>
        </w:rPr>
        <w:t>. 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Company to Furnish Trustee Names and Addresses of Securityholders</w:t>
      </w:r>
      <w:r>
        <w:rPr>
          <w:rFonts w:ascii="Times New Roman" w:cs="Times New Roman" w:eastAsia="Times New Roman" w:hAnsi="Times New Roman"/>
          <w:sz w:val="18"/>
          <w:szCs w:val="18"/>
          <w:color w:val="auto"/>
        </w:rPr>
        <w:t>. The Company will furnish or cause to be furnished to the Trustee</w:t>
      </w:r>
    </w:p>
    <w:p>
      <w:pPr>
        <w:spacing w:after="0" w:line="27" w:lineRule="exact"/>
        <w:rPr>
          <w:sz w:val="20"/>
          <w:szCs w:val="20"/>
          <w:color w:val="auto"/>
        </w:rPr>
      </w:pPr>
    </w:p>
    <w:p>
      <w:pPr>
        <w:ind w:left="4" w:right="40" w:hanging="4"/>
        <w:spacing w:after="0" w:line="252" w:lineRule="auto"/>
        <w:tabs>
          <w:tab w:leader="none" w:pos="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62" w:name="page63"/>
    <w:bookmarkEnd w:id="6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Preservation Of Information; Communications With Securityholders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6" w:lineRule="auto"/>
        <w:tabs>
          <w:tab w:leader="none" w:pos="6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ind w:left="4" w:right="260" w:firstLine="436"/>
        <w:spacing w:after="0" w:line="266" w:lineRule="auto"/>
        <w:tabs>
          <w:tab w:leader="none" w:pos="6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Reports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53" w:lineRule="auto"/>
        <w:tabs>
          <w:tab w:leader="none" w:pos="6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194"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Reports by the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66" w:lineRule="auto"/>
        <w:tabs>
          <w:tab w:leader="none" w:pos="69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ind w:left="4" w:right="100" w:hanging="4"/>
        <w:spacing w:after="0" w:line="266"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63" w:name="page64"/>
    <w:bookmarkEnd w:id="6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40" w:firstLine="436"/>
        <w:spacing w:after="0" w:line="282" w:lineRule="auto"/>
        <w:tabs>
          <w:tab w:leader="none" w:pos="6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1" w:lineRule="exact"/>
        <w:rPr>
          <w:rFonts w:ascii="Times New Roman" w:cs="Times New Roman" w:eastAsia="Times New Roman" w:hAnsi="Times New Roman"/>
          <w:sz w:val="18"/>
          <w:szCs w:val="18"/>
          <w:color w:val="auto"/>
        </w:rPr>
      </w:pPr>
    </w:p>
    <w:p>
      <w:pPr>
        <w:ind w:left="4" w:right="20" w:firstLine="987"/>
        <w:spacing w:after="0" w:line="289" w:lineRule="auto"/>
        <w:tabs>
          <w:tab w:leader="none" w:pos="124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57" w:lineRule="exact"/>
        <w:rPr>
          <w:rFonts w:ascii="Times New Roman" w:cs="Times New Roman" w:eastAsia="Times New Roman" w:hAnsi="Times New Roman"/>
          <w:sz w:val="17"/>
          <w:szCs w:val="17"/>
          <w:color w:val="auto"/>
        </w:rPr>
      </w:pPr>
    </w:p>
    <w:p>
      <w:pPr>
        <w:jc w:val="both"/>
        <w:ind w:left="4" w:right="20" w:firstLine="987"/>
        <w:spacing w:after="0" w:line="261" w:lineRule="auto"/>
        <w:tabs>
          <w:tab w:leader="none" w:pos="125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9"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4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7"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ind w:left="304" w:hanging="304"/>
        <w:spacing w:after="0"/>
        <w:tabs>
          <w:tab w:leader="none" w:pos="3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06"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699"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Times New Roman" w:cs="Times New Roman" w:eastAsia="Times New Roman" w:hAnsi="Times New Roman"/>
          <w:sz w:val="17"/>
          <w:szCs w:val="17"/>
          <w:color w:val="auto"/>
        </w:rPr>
      </w:pPr>
    </w:p>
    <w:p>
      <w:pPr>
        <w:ind w:left="4"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1" w:lineRule="exact"/>
        <w:rPr>
          <w:rFonts w:ascii="Times New Roman" w:cs="Times New Roman" w:eastAsia="Times New Roman" w:hAnsi="Times New Roman"/>
          <w:sz w:val="17"/>
          <w:szCs w:val="17"/>
          <w:color w:val="auto"/>
        </w:rPr>
      </w:pPr>
    </w:p>
    <w:p>
      <w:pPr>
        <w:ind w:left="4" w:firstLine="436"/>
        <w:spacing w:after="0" w:line="255" w:lineRule="auto"/>
        <w:tabs>
          <w:tab w:leader="none" w:pos="69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64" w:name="page65"/>
    <w:bookmarkEnd w:id="6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firstLine="436"/>
        <w:spacing w:after="0" w:line="258"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2"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7.06.</w:t>
      </w:r>
    </w:p>
    <w:p>
      <w:pPr>
        <w:spacing w:after="0" w:line="206"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ind w:right="60" w:firstLine="436"/>
        <w:spacing w:after="0" w:line="253"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94"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5" w:name="page66"/>
    <w:bookmarkEnd w:id="6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Application of Moneys Collected</w:t>
      </w:r>
      <w:r>
        <w:rPr>
          <w:rFonts w:ascii="Times New Roman" w:cs="Times New Roman" w:eastAsia="Times New Roman" w:hAnsi="Times New Roman"/>
          <w:sz w:val="18"/>
          <w:szCs w:val="18"/>
          <w:color w:val="auto"/>
        </w:rPr>
        <w:t>. 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To the payment of reasonable costs and expenses of collection and of all amounts payable to the Trustee under Section 7.06;</w:t>
      </w:r>
    </w:p>
    <w:p>
      <w:pPr>
        <w:spacing w:after="0" w:line="117" w:lineRule="exact"/>
        <w:rPr>
          <w:sz w:val="20"/>
          <w:szCs w:val="20"/>
          <w:color w:val="auto"/>
        </w:rPr>
      </w:pPr>
    </w:p>
    <w:p>
      <w:pPr>
        <w:jc w:val="both"/>
        <w:ind w:left="440" w:right="160"/>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Rights and Remedies Cumulative; 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61"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Control by Securityholders</w:t>
      </w:r>
      <w:r>
        <w:rPr>
          <w:rFonts w:ascii="Times New Roman" w:cs="Times New Roman" w:eastAsia="Times New Roman" w:hAnsi="Times New Roman"/>
          <w:sz w:val="18"/>
          <w:szCs w:val="18"/>
          <w:color w:val="auto"/>
        </w:rPr>
        <w:t>. 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Responsible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00" w:lineRule="exact"/>
        <w:rPr>
          <w:sz w:val="20"/>
          <w:szCs w:val="20"/>
          <w:color w:val="auto"/>
        </w:rPr>
      </w:pPr>
    </w:p>
    <w:p>
      <w:pPr>
        <w:spacing w:after="0" w:line="2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Undertaking to Pay Costs</w:t>
      </w:r>
      <w:r>
        <w:rPr>
          <w:rFonts w:ascii="Times New Roman" w:cs="Times New Roman" w:eastAsia="Times New Roman" w:hAnsi="Times New Roman"/>
          <w:sz w:val="18"/>
          <w:szCs w:val="18"/>
          <w:color w:val="auto"/>
        </w:rPr>
        <w:t>. 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Certain Duties and Responsibilities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1"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67" w:name="page68"/>
    <w:bookmarkEnd w:id="67"/>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76" w:lineRule="exact"/>
        <w:rPr>
          <w:sz w:val="20"/>
          <w:szCs w:val="20"/>
          <w:color w:val="auto"/>
        </w:rPr>
      </w:pPr>
    </w:p>
    <w:p>
      <w:pPr>
        <w:ind w:right="160" w:firstLine="436"/>
        <w:spacing w:after="0" w:line="282"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right="500" w:firstLine="987"/>
        <w:spacing w:after="0" w:line="282" w:lineRule="auto"/>
        <w:tabs>
          <w:tab w:leader="none" w:pos="12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53" w:lineRule="exact"/>
        <w:rPr>
          <w:rFonts w:ascii="Times New Roman" w:cs="Times New Roman" w:eastAsia="Times New Roman" w:hAnsi="Times New Roman"/>
          <w:sz w:val="18"/>
          <w:szCs w:val="18"/>
          <w:color w:val="auto"/>
        </w:rPr>
      </w:pPr>
    </w:p>
    <w:p>
      <w:pPr>
        <w:ind w:firstLine="1428"/>
        <w:spacing w:after="0" w:line="261" w:lineRule="auto"/>
        <w:tabs>
          <w:tab w:leader="none" w:pos="1727"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9" w:lineRule="exact"/>
        <w:rPr>
          <w:rFonts w:ascii="Times New Roman" w:cs="Times New Roman" w:eastAsia="Times New Roman" w:hAnsi="Times New Roman"/>
          <w:sz w:val="18"/>
          <w:szCs w:val="18"/>
          <w:color w:val="auto"/>
        </w:rPr>
      </w:pPr>
    </w:p>
    <w:p>
      <w:pPr>
        <w:ind w:right="20" w:firstLine="1428"/>
        <w:spacing w:after="0" w:line="258" w:lineRule="auto"/>
        <w:tabs>
          <w:tab w:leader="none" w:pos="1717"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83"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9"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 Except as otherwise provided in Section 7.01:</w:t>
      </w:r>
    </w:p>
    <w:p>
      <w:pPr>
        <w:spacing w:after="0" w:line="117" w:lineRule="exact"/>
        <w:rPr>
          <w:sz w:val="20"/>
          <w:szCs w:val="20"/>
          <w:color w:val="auto"/>
        </w:rPr>
      </w:pPr>
    </w:p>
    <w:p>
      <w:pPr>
        <w:ind w:right="20" w:firstLine="436"/>
        <w:spacing w:after="0" w:line="266"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right="560" w:firstLine="436"/>
        <w:spacing w:after="0" w:line="266"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right="620" w:firstLine="436"/>
        <w:spacing w:after="0" w:line="282"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68" w:name="page69"/>
    <w:bookmarkEnd w:id="68"/>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76" w:lineRule="exact"/>
        <w:rPr>
          <w:sz w:val="20"/>
          <w:szCs w:val="20"/>
          <w:color w:val="auto"/>
        </w:rPr>
      </w:pPr>
    </w:p>
    <w:p>
      <w:pPr>
        <w:ind w:right="200" w:firstLine="436"/>
        <w:spacing w:after="0" w:line="282"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88"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175" w:lineRule="exact"/>
        <w:rPr>
          <w:rFonts w:ascii="Times New Roman" w:cs="Times New Roman" w:eastAsia="Times New Roman" w:hAnsi="Times New Roman"/>
          <w:sz w:val="18"/>
          <w:szCs w:val="18"/>
          <w:color w:val="auto"/>
        </w:rPr>
      </w:pPr>
    </w:p>
    <w:p>
      <w:pPr>
        <w:ind w:right="20" w:firstLine="436"/>
        <w:spacing w:after="0" w:line="253" w:lineRule="auto"/>
        <w:tabs>
          <w:tab w:leader="none" w:pos="7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Trustee Not Responsible for Recitals or Issuance or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82"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The Trustee makes no representations as to the validity or sufficiency of this Indenture or of the Securities.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 The Trustee or any paying agent or Security Registrar, in its individual or any other capacity, may become the owner or pledgee of Securities with the same rights it would have if it were not Trustee, paying agent or Security Registrar.</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Moneys Held in Trust</w:t>
      </w:r>
      <w:r>
        <w:rPr>
          <w:rFonts w:ascii="Times New Roman" w:cs="Times New Roman" w:eastAsia="Times New Roman" w:hAnsi="Times New Roman"/>
          <w:sz w:val="18"/>
          <w:szCs w:val="18"/>
          <w:color w:val="auto"/>
        </w:rPr>
        <w:t>.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19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w:t>
      </w:r>
    </w:p>
    <w:p>
      <w:pPr>
        <w:spacing w:after="0" w:line="27" w:lineRule="exact"/>
        <w:rPr>
          <w:rFonts w:ascii="Times New Roman" w:cs="Times New Roman" w:eastAsia="Times New Roman" w:hAnsi="Times New Roman"/>
          <w:sz w:val="18"/>
          <w:szCs w:val="18"/>
          <w:color w:val="auto"/>
        </w:rPr>
      </w:pP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5"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Reliance on Officer’s Certificate</w:t>
      </w:r>
      <w:r>
        <w:rPr>
          <w:rFonts w:ascii="Times New Roman" w:cs="Times New Roman" w:eastAsia="Times New Roman" w:hAnsi="Times New Roman"/>
          <w:sz w:val="18"/>
          <w:szCs w:val="18"/>
          <w:color w:val="auto"/>
        </w:rPr>
        <w:t>. 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 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70" w:name="page71"/>
    <w:bookmarkEnd w:id="70"/>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Corporate Trustee Required; Eligibility</w:t>
      </w:r>
      <w:r>
        <w:rPr>
          <w:rFonts w:ascii="Times New Roman" w:cs="Times New Roman" w:eastAsia="Times New Roman" w:hAnsi="Times New Roman"/>
          <w:sz w:val="18"/>
          <w:szCs w:val="18"/>
          <w:color w:val="auto"/>
        </w:rPr>
        <w:t>. 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rFonts w:ascii="Times New Roman" w:cs="Times New Roman" w:eastAsia="Times New Roman" w:hAnsi="Times New Roman"/>
          <w:sz w:val="18"/>
          <w:szCs w:val="18"/>
          <w:color w:val="auto"/>
        </w:rPr>
      </w:pPr>
    </w:p>
    <w:p>
      <w:pPr>
        <w:ind w:right="900" w:firstLine="987"/>
        <w:spacing w:after="0" w:line="282" w:lineRule="auto"/>
        <w:tabs>
          <w:tab w:leader="none" w:pos="123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91"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71" w:name="page72"/>
    <w:bookmarkEnd w:id="71"/>
    <w:p>
      <w:pPr>
        <w:ind w:right="220" w:firstLine="436"/>
        <w:spacing w:after="0" w:line="282"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36"/>
        <w:spacing w:after="0" w:line="274" w:lineRule="auto"/>
        <w:tabs>
          <w:tab w:leader="none" w:pos="69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2" w:lineRule="exact"/>
        <w:rPr>
          <w:rFonts w:ascii="Times New Roman" w:cs="Times New Roman" w:eastAsia="Times New Roman" w:hAnsi="Times New Roman"/>
          <w:sz w:val="17"/>
          <w:szCs w:val="17"/>
          <w:color w:val="auto"/>
        </w:rPr>
      </w:pPr>
    </w:p>
    <w:p>
      <w:pPr>
        <w:ind w:firstLine="436"/>
        <w:spacing w:after="0" w:line="267" w:lineRule="auto"/>
        <w:tabs>
          <w:tab w:leader="none" w:pos="69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89" w:lineRule="exact"/>
        <w:rPr>
          <w:rFonts w:ascii="Times New Roman" w:cs="Times New Roman" w:eastAsia="Times New Roman" w:hAnsi="Times New Roman"/>
          <w:sz w:val="17"/>
          <w:szCs w:val="17"/>
          <w:color w:val="auto"/>
        </w:rPr>
      </w:pPr>
    </w:p>
    <w:p>
      <w:pPr>
        <w:ind w:right="380" w:firstLine="436"/>
        <w:spacing w:after="0" w:line="282"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(1) or (2) of this Section, as the case may be.</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72" w:name="page73"/>
    <w:bookmarkEnd w:id="7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7.12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Preferential Collection of Claims Against the Company</w:t>
      </w:r>
      <w:r>
        <w:rPr>
          <w:rFonts w:ascii="Times New Roman" w:cs="Times New Roman" w:eastAsia="Times New Roman" w:hAnsi="Times New Roman"/>
          <w:sz w:val="18"/>
          <w:szCs w:val="18"/>
          <w:color w:val="auto"/>
        </w:rPr>
        <w:t>.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Evidence of Action by Securityholders</w:t>
      </w:r>
      <w:r>
        <w:rPr>
          <w:rFonts w:ascii="Times New Roman" w:cs="Times New Roman" w:eastAsia="Times New Roman" w:hAnsi="Times New Roman"/>
          <w:sz w:val="18"/>
          <w:szCs w:val="18"/>
          <w:color w:val="auto"/>
        </w:rPr>
        <w:t>. 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Proof of Execution by Securityholders</w:t>
      </w:r>
      <w:r>
        <w:rPr>
          <w:rFonts w:ascii="Times New Roman" w:cs="Times New Roman" w:eastAsia="Times New Roman" w:hAnsi="Times New Roman"/>
          <w:sz w:val="18"/>
          <w:szCs w:val="18"/>
          <w:color w:val="auto"/>
        </w:rPr>
        <w:t>. 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68" w:lineRule="exact"/>
        <w:rPr>
          <w:sz w:val="20"/>
          <w:szCs w:val="20"/>
          <w:color w:val="auto"/>
        </w:rPr>
      </w:pPr>
    </w:p>
    <w:p>
      <w:pPr>
        <w:jc w:val="center"/>
        <w:ind w:left="5420" w:right="220" w:hanging="4984"/>
        <w:spacing w:after="0" w:line="454" w:lineRule="auto"/>
        <w:tabs>
          <w:tab w:leader="none" w:pos="69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 24</w:t>
      </w:r>
    </w:p>
    <w:p>
      <w:pPr>
        <w:sectPr>
          <w:pgSz w:w="11900" w:h="16838" w:orient="portrait"/>
          <w:cols w:equalWidth="0" w:num="1">
            <w:col w:w="11000"/>
          </w:cols>
          <w:pgMar w:left="440" w:top="270" w:right="459" w:bottom="1440" w:gutter="0" w:footer="0" w:header="0"/>
        </w:sectPr>
      </w:pPr>
    </w:p>
    <w:bookmarkStart w:id="73" w:name="page74"/>
    <w:bookmarkEnd w:id="73"/>
    <w:p>
      <w:pPr>
        <w:ind w:right="300" w:firstLine="436"/>
        <w:spacing w:after="0" w:line="500"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Who May be Deemed Owners</w:t>
      </w:r>
      <w:r>
        <w:rPr>
          <w:rFonts w:ascii="Times New Roman" w:cs="Times New Roman" w:eastAsia="Times New Roman" w:hAnsi="Times New Roman"/>
          <w:sz w:val="18"/>
          <w:szCs w:val="18"/>
          <w:color w:val="auto"/>
        </w:rPr>
        <w:t>. 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Certain Securities Owned by Company Disregarded</w:t>
      </w:r>
      <w:r>
        <w:rPr>
          <w:rFonts w:ascii="Times New Roman" w:cs="Times New Roman" w:eastAsia="Times New Roman" w:hAnsi="Times New Roman"/>
          <w:sz w:val="18"/>
          <w:szCs w:val="18"/>
          <w:color w:val="auto"/>
        </w:rPr>
        <w:t>. 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Actions Binding on Future Securityholders</w:t>
      </w:r>
      <w:r>
        <w:rPr>
          <w:rFonts w:ascii="Times New Roman" w:cs="Times New Roman" w:eastAsia="Times New Roman" w:hAnsi="Times New Roman"/>
          <w:sz w:val="18"/>
          <w:szCs w:val="18"/>
          <w:color w:val="auto"/>
        </w:rPr>
        <w:t>. 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the Consent of Securityholders</w:t>
      </w:r>
      <w:r>
        <w:rPr>
          <w:rFonts w:ascii="Times New Roman" w:cs="Times New Roman" w:eastAsia="Times New Roman" w:hAnsi="Times New Roman"/>
          <w:sz w:val="18"/>
          <w:szCs w:val="18"/>
          <w:color w:val="auto"/>
        </w:rPr>
        <w:t>. 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72" w:lineRule="exact"/>
        <w:rPr>
          <w:sz w:val="20"/>
          <w:szCs w:val="20"/>
          <w:color w:val="auto"/>
        </w:rPr>
      </w:pPr>
    </w:p>
    <w:p>
      <w:pPr>
        <w:ind w:left="700" w:hanging="264"/>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color w:val="auto"/>
        </w:rPr>
      </w:pPr>
    </w:p>
    <w:p>
      <w:pPr>
        <w:ind w:left="5420" w:right="3840" w:hanging="4984"/>
        <w:spacing w:after="0" w:line="454" w:lineRule="auto"/>
        <w:tabs>
          <w:tab w:leader="none" w:pos="69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 25</w:t>
      </w:r>
    </w:p>
    <w:p>
      <w:pPr>
        <w:sectPr>
          <w:pgSz w:w="11900" w:h="16838" w:orient="portrait"/>
          <w:cols w:equalWidth="0" w:num="1">
            <w:col w:w="10980"/>
          </w:cols>
          <w:pgMar w:left="440" w:top="270" w:right="479" w:bottom="1440" w:gutter="0" w:footer="0" w:header="0"/>
        </w:sectPr>
      </w:pPr>
    </w:p>
    <w:bookmarkStart w:id="74" w:name="page75"/>
    <w:bookmarkEnd w:id="74"/>
    <w:p>
      <w:pPr>
        <w:ind w:right="40" w:firstLine="436"/>
        <w:spacing w:after="0" w:line="258"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3" w:lineRule="exact"/>
        <w:rPr>
          <w:rFonts w:ascii="Times New Roman" w:cs="Times New Roman" w:eastAsia="Times New Roman" w:hAnsi="Times New Roman"/>
          <w:sz w:val="18"/>
          <w:szCs w:val="18"/>
          <w:color w:val="auto"/>
        </w:rPr>
      </w:pPr>
    </w:p>
    <w:p>
      <w:pPr>
        <w:ind w:right="940" w:firstLine="436"/>
        <w:spacing w:after="0" w:line="282"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Securityholders</w:t>
      </w:r>
      <w:r>
        <w:rPr>
          <w:rFonts w:ascii="Times New Roman" w:cs="Times New Roman" w:eastAsia="Times New Roman" w:hAnsi="Times New Roman"/>
          <w:sz w:val="18"/>
          <w:szCs w:val="18"/>
          <w:color w:val="auto"/>
        </w:rPr>
        <w:t>. 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70" w:right="519" w:bottom="1440" w:gutter="0" w:footer="0" w:header="0"/>
        </w:sectPr>
      </w:pPr>
    </w:p>
    <w:bookmarkStart w:id="75" w:name="page76"/>
    <w:bookmarkEnd w:id="7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9.04 </w:t>
      </w:r>
      <w:r>
        <w:rPr>
          <w:rFonts w:ascii="Times New Roman" w:cs="Times New Roman" w:eastAsia="Times New Roman" w:hAnsi="Times New Roman"/>
          <w:sz w:val="18"/>
          <w:szCs w:val="18"/>
          <w:u w:val="single" w:color="auto"/>
          <w:color w:val="auto"/>
        </w:rPr>
        <w:t>Securities Affected by Supplemental Indentures</w:t>
      </w:r>
      <w:r>
        <w:rPr>
          <w:rFonts w:ascii="Times New Roman" w:cs="Times New Roman" w:eastAsia="Times New Roman" w:hAnsi="Times New Roman"/>
          <w:sz w:val="18"/>
          <w:szCs w:val="18"/>
          <w:color w:val="auto"/>
        </w:rPr>
        <w:t>. 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Company May Consolidate, Etc.</w:t>
      </w:r>
      <w:r>
        <w:rPr>
          <w:rFonts w:ascii="Times New Roman" w:cs="Times New Roman" w:eastAsia="Times New Roman" w:hAnsi="Times New Roman"/>
          <w:sz w:val="18"/>
          <w:szCs w:val="18"/>
          <w:color w:val="auto"/>
        </w:rPr>
        <w:t xml:space="preserv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Successor Entity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8"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76" w:name="page77"/>
    <w:bookmarkEnd w:id="76"/>
    <w:p>
      <w:pPr>
        <w:ind w:right="280" w:firstLine="436"/>
        <w:spacing w:after="0" w:line="282"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Discharge of Obligations</w:t>
      </w:r>
      <w:r>
        <w:rPr>
          <w:rFonts w:ascii="Times New Roman" w:cs="Times New Roman" w:eastAsia="Times New Roman" w:hAnsi="Times New Roman"/>
          <w:sz w:val="18"/>
          <w:szCs w:val="18"/>
          <w:color w:val="auto"/>
        </w:rPr>
        <w:t>. 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Deposited Moneys to be Held in Trust</w:t>
      </w:r>
      <w:r>
        <w:rPr>
          <w:rFonts w:ascii="Times New Roman" w:cs="Times New Roman" w:eastAsia="Times New Roman" w:hAnsi="Times New Roman"/>
          <w:sz w:val="18"/>
          <w:szCs w:val="18"/>
          <w:color w:val="auto"/>
        </w:rPr>
        <w:t>.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Payment of Moneys Held by Paying Agents</w:t>
      </w:r>
      <w:r>
        <w:rPr>
          <w:rFonts w:ascii="Times New Roman" w:cs="Times New Roman" w:eastAsia="Times New Roman" w:hAnsi="Times New Roman"/>
          <w:sz w:val="18"/>
          <w:szCs w:val="18"/>
          <w:color w:val="auto"/>
        </w:rPr>
        <w:t>. 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 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Effect on Successors and Assigns</w:t>
      </w:r>
      <w:r>
        <w:rPr>
          <w:rFonts w:ascii="Times New Roman" w:cs="Times New Roman" w:eastAsia="Times New Roman" w:hAnsi="Times New Roman"/>
          <w:sz w:val="18"/>
          <w:szCs w:val="18"/>
          <w:color w:val="auto"/>
        </w:rPr>
        <w:t>. All the covenants, stipulations, promises and agreements in this Indenture made by or on behalf of the Company shall bind its successors and assigns, whether so expressed or not.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Actions by Successor</w:t>
      </w:r>
      <w:r>
        <w:rPr>
          <w:rFonts w:ascii="Times New Roman" w:cs="Times New Roman" w:eastAsia="Times New Roman" w:hAnsi="Times New Roman"/>
          <w:sz w:val="18"/>
          <w:szCs w:val="18"/>
          <w:color w:val="auto"/>
        </w:rPr>
        <w:t>. 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Surrender of Company Powers</w:t>
      </w:r>
      <w:r>
        <w:rPr>
          <w:rFonts w:ascii="Times New Roman" w:cs="Times New Roman" w:eastAsia="Times New Roman" w:hAnsi="Times New Roman"/>
          <w:sz w:val="18"/>
          <w:szCs w:val="18"/>
          <w:color w:val="auto"/>
        </w:rPr>
        <w:t>. 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78" w:name="page79"/>
    <w:bookmarkEnd w:id="7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Treatment of Securities as Debt</w:t>
      </w:r>
      <w:r>
        <w:rPr>
          <w:rFonts w:ascii="Times New Roman" w:cs="Times New Roman" w:eastAsia="Times New Roman" w:hAnsi="Times New Roman"/>
          <w:sz w:val="18"/>
          <w:szCs w:val="18"/>
          <w:color w:val="auto"/>
        </w:rPr>
        <w:t>. It is intended that the Securities will be treated as indebtedness and not as equity for federal income tax purposes. The provisions of this Indenture shall be interpreted to further this intention.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Certificates and Opinions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6"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 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and to the extent that any provision of this Indenture limits, qualifies or conflicts with the duties imposed by Sections 310 to 317, inclusive, of the Trust Indenture Act, such imposed duties shall control.</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Indenture may be executed in any number of counterparts, each of which shall be an original, but such counterparts shall together constitute but one and the same instrument.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ectPr>
          <w:pgSz w:w="11900" w:h="16838" w:orient="portrait"/>
          <w:cols w:equalWidth="0" w:num="1">
            <w:col w:w="10040"/>
          </w:cols>
          <w:pgMar w:left="440" w:top="266" w:right="1419" w:bottom="1440" w:gutter="0" w:footer="0" w:header="0"/>
        </w:sectPr>
      </w:pP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DISC MEDICINE,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[TRUSTEE], </w:t>
      </w:r>
      <w:r>
        <w:rPr>
          <w:rFonts w:ascii="Times New Roman" w:cs="Times New Roman" w:eastAsia="Times New Roman" w:hAnsi="Times New Roman"/>
          <w:sz w:val="18"/>
          <w:szCs w:val="18"/>
          <w:color w:val="auto"/>
        </w:rPr>
        <w:t>as Trustee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40"/>
          </w:cols>
          <w:pgMar w:left="440" w:top="266" w:right="1419" w:bottom="1440" w:gutter="0" w:footer="0" w:header="0"/>
          <w:type w:val="continuous"/>
        </w:sectPr>
      </w:pPr>
    </w:p>
    <w:bookmarkStart w:id="80" w:name="page81"/>
    <w:bookmarkEnd w:id="80"/>
    <w:tbl>
      <w:tblPr>
        <w:tblLayout w:type="fixed"/>
        <w:tblInd w:w="4" w:type="dxa"/>
        <w:tblCellMar>
          <w:top w:w="0" w:type="dxa"/>
          <w:left w:w="0" w:type="dxa"/>
          <w:bottom w:w="0" w:type="dxa"/>
          <w:right w:w="0" w:type="dxa"/>
        </w:tblCellMar>
      </w:tblPr>
      <w:tr>
        <w:trPr>
          <w:trHeight w:val="364"/>
        </w:trPr>
        <w:tc>
          <w:tcPr>
            <w:tcW w:w="3180" w:type="dxa"/>
            <w:vAlign w:val="bottom"/>
          </w:tcPr>
          <w:p>
            <w:pPr>
              <w:spacing w:after="0"/>
              <w:rPr>
                <w:sz w:val="24"/>
                <w:szCs w:val="24"/>
                <w:color w:val="auto"/>
              </w:rPr>
            </w:pPr>
          </w:p>
        </w:tc>
        <w:tc>
          <w:tcPr>
            <w:tcW w:w="7460" w:type="dxa"/>
            <w:vAlign w:val="bottom"/>
            <w:gridSpan w:val="3"/>
          </w:tcPr>
          <w:p>
            <w:pPr>
              <w:jc w:val="right"/>
              <w:ind w:right="3900"/>
              <w:spacing w:after="0"/>
              <w:rPr>
                <w:sz w:val="20"/>
                <w:szCs w:val="20"/>
                <w:color w:val="auto"/>
              </w:rPr>
            </w:pPr>
            <w:r>
              <w:rPr>
                <w:rFonts w:ascii="Times New Roman" w:cs="Times New Roman" w:eastAsia="Times New Roman" w:hAnsi="Times New Roman"/>
                <w:sz w:val="18"/>
                <w:szCs w:val="18"/>
                <w:b w:val="1"/>
                <w:bCs w:val="1"/>
                <w:color w:val="auto"/>
              </w:rPr>
              <w:t>CROSS-REFERENCE TABLE</w:t>
            </w:r>
            <w:r>
              <w:rPr>
                <w:rFonts w:ascii="Times New Roman" w:cs="Times New Roman" w:eastAsia="Times New Roman" w:hAnsi="Times New Roman"/>
                <w:sz w:val="26"/>
                <w:szCs w:val="26"/>
                <w:b w:val="1"/>
                <w:bCs w:val="1"/>
                <w:color w:val="auto"/>
                <w:vertAlign w:val="superscript"/>
              </w:rPr>
              <w:t>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64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Section of</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180" w:type="dxa"/>
            <w:vAlign w:val="bottom"/>
            <w:tcBorders>
              <w:bottom w:val="single" w:sz="8" w:color="auto"/>
            </w:tcBorders>
            <w:vMerge w:val="continue"/>
          </w:tcPr>
          <w:p>
            <w:pPr>
              <w:spacing w:after="0"/>
              <w:rPr>
                <w:sz w:val="15"/>
                <w:szCs w:val="15"/>
                <w:color w:val="auto"/>
              </w:rPr>
            </w:pPr>
          </w:p>
        </w:tc>
        <w:tc>
          <w:tcPr>
            <w:tcW w:w="6400" w:type="dxa"/>
            <w:vAlign w:val="bottom"/>
          </w:tcPr>
          <w:p>
            <w:pPr>
              <w:spacing w:after="0"/>
              <w:rPr>
                <w:sz w:val="15"/>
                <w:szCs w:val="15"/>
                <w:color w:val="auto"/>
              </w:rPr>
            </w:pPr>
          </w:p>
        </w:tc>
        <w:tc>
          <w:tcPr>
            <w:tcW w:w="10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Indenture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310(a)</w:t>
            </w:r>
          </w:p>
        </w:tc>
        <w:tc>
          <w:tcPr>
            <w:tcW w:w="6400" w:type="dxa"/>
            <w:vAlign w:val="bottom"/>
          </w:tcPr>
          <w:p>
            <w:pPr>
              <w:spacing w:after="0"/>
              <w:rPr>
                <w:sz w:val="16"/>
                <w:szCs w:val="16"/>
                <w:color w:val="auto"/>
              </w:rPr>
            </w:pPr>
          </w:p>
        </w:tc>
        <w:tc>
          <w:tcPr>
            <w:tcW w:w="9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7.10 310(c)</w:t>
            </w:r>
          </w:p>
        </w:tc>
        <w:tc>
          <w:tcPr>
            <w:tcW w:w="6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Inapplicable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311(c)</w:t>
            </w:r>
          </w:p>
        </w:tc>
        <w:tc>
          <w:tcPr>
            <w:tcW w:w="6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Inapplicable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312(c)</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13.12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314(b)</w:t>
            </w:r>
          </w:p>
        </w:tc>
        <w:tc>
          <w:tcPr>
            <w:tcW w:w="6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Inapplicable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314(d)</w:t>
            </w:r>
          </w:p>
        </w:tc>
        <w:tc>
          <w:tcPr>
            <w:tcW w:w="6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Inapplicable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314(f)</w:t>
            </w:r>
          </w:p>
        </w:tc>
        <w:tc>
          <w:tcPr>
            <w:tcW w:w="6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Inapplicable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315(c)</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315(e)</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316(c)</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317(b)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ind w:left="424" w:right="320" w:hanging="424"/>
        <w:spacing w:after="0" w:line="208" w:lineRule="auto"/>
        <w:tabs>
          <w:tab w:leader="none" w:pos="424" w:val="left"/>
        </w:tabs>
        <w:numPr>
          <w:ilvl w:val="0"/>
          <w:numId w:val="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0964"/>
          </w:cols>
          <w:pgMar w:left="436" w:top="266" w:right="49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 xml:space="preserve">Dated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ectPr>
          <w:pgSz w:w="11900" w:h="16838" w:orient="portrait"/>
          <w:cols w:equalWidth="0" w:num="1">
            <w:col w:w="10020"/>
          </w:cols>
          <w:pgMar w:left="1440" w:top="117" w:right="439" w:bottom="1440" w:gutter="0" w:footer="0" w:header="0"/>
        </w:sectPr>
      </w:pPr>
    </w:p>
    <w:bookmarkStart w:id="82" w:name="page83"/>
    <w:bookmarkEnd w:id="82"/>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r>
        <w:rPr>
          <w:rFonts w:ascii="Times New Roman" w:cs="Times New Roman" w:eastAsia="Times New Roman" w:hAnsi="Times New Roman"/>
          <w:sz w:val="26"/>
          <w:szCs w:val="26"/>
          <w:b w:val="1"/>
          <w:bCs w:val="1"/>
          <w:color w:val="auto"/>
          <w:vertAlign w:val="superscript"/>
        </w:rPr>
        <w:t>1</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Section 1.01</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 of Terms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2.01  Designation and Terms of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2.02  Form of Securities and Trustee’s Certificate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2.03  Denominations: Provisions for Payment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2.04  Execution and Authentications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2.05  Registration of Transfer and Exchange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2.06</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Temporary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2.07  Mutilated, Destroyed, Lost or Stolen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2.08</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2.09  Benefits of Indenture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2.10</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Authenticating Agent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2.11</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3.01</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3.02  Notice of Redemption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3.03  Payment Upon Redemption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3.04</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Sinking Fund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3.05  Satisfaction of Sinking Fund Payments with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3.06  Redemption of Securities for Sinking Fund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4.01  Payment of Principal, Premium and Interest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4.03</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Paying Agents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4.04  Appointment to Fill Vacancy in Office of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4.05  Compliance with Consolidation Provisions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5.01  Company to Furnish Trustee Names and Addresses of Securityholders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5.02  Preservation Of Information; Communications With Securityholders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5.03  Reports by the Company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5.04  Reports by the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6.02  Collection of Indebtedness and Suits for Enforcement by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6.03  Application of Moneys Collected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6.04  Limitation on Suits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6.05  Rights and Remedies Cumulative; Delay or Omission Not Waiver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6.06  Control by Securityholders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6.07  Undertaking to Pay 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7.01  Certain Duties and Responsibilities of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7.02  Certain Rights of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7.03  Trustee Not Responsible for Recitals or Issuance or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7.04  May Hold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Section 7.05  Moneys Held in Trust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680" w:hanging="424"/>
        <w:spacing w:after="0" w:line="208" w:lineRule="auto"/>
        <w:tabs>
          <w:tab w:leader="none" w:pos="424"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4"/>
          </w:cols>
          <w:pgMar w:left="436" w:top="266" w:right="4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0"/>
        </w:trPr>
        <w:tc>
          <w:tcPr>
            <w:tcW w:w="1560" w:type="dxa"/>
            <w:vAlign w:val="bottom"/>
          </w:tcPr>
          <w:p>
            <w:pPr>
              <w:spacing w:after="0"/>
              <w:rPr>
                <w:sz w:val="19"/>
                <w:szCs w:val="19"/>
                <w:color w:val="auto"/>
              </w:rPr>
            </w:pPr>
          </w:p>
        </w:tc>
        <w:tc>
          <w:tcPr>
            <w:tcW w:w="75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00" w:type="dxa"/>
            <w:vAlign w:val="bottom"/>
          </w:tcPr>
          <w:p>
            <w:pPr>
              <w:spacing w:after="0"/>
              <w:rPr>
                <w:sz w:val="19"/>
                <w:szCs w:val="19"/>
                <w:color w:val="auto"/>
              </w:rPr>
            </w:pPr>
          </w:p>
        </w:tc>
      </w:tr>
      <w:tr>
        <w:trPr>
          <w:trHeight w:val="234"/>
        </w:trPr>
        <w:tc>
          <w:tcPr>
            <w:tcW w:w="1560" w:type="dxa"/>
            <w:vAlign w:val="bottom"/>
          </w:tcPr>
          <w:p>
            <w:pPr>
              <w:spacing w:after="0"/>
              <w:rPr>
                <w:sz w:val="20"/>
                <w:szCs w:val="20"/>
                <w:color w:val="auto"/>
              </w:rPr>
            </w:pPr>
          </w:p>
        </w:tc>
        <w:tc>
          <w:tcPr>
            <w:tcW w:w="75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(continued)</w:t>
            </w:r>
          </w:p>
        </w:tc>
        <w:tc>
          <w:tcPr>
            <w:tcW w:w="1900" w:type="dxa"/>
            <w:vAlign w:val="bottom"/>
          </w:tcPr>
          <w:p>
            <w:pPr>
              <w:spacing w:after="0"/>
              <w:rPr>
                <w:sz w:val="20"/>
                <w:szCs w:val="20"/>
                <w:color w:val="auto"/>
              </w:rPr>
            </w:pPr>
          </w:p>
        </w:tc>
      </w:tr>
      <w:tr>
        <w:trPr>
          <w:trHeight w:val="314"/>
        </w:trPr>
        <w:tc>
          <w:tcPr>
            <w:tcW w:w="15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       Section 7.06</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7.07</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7.08</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7.09</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7.10</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7.11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7.12</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7.13</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7.14</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Default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8.01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8.02</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8.03</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8.04</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8.05</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9.01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9.02</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9.03</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9.04</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9.05</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10.01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10.02</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11.01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11.02</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11.03</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11.04</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11.05</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Company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12.01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13.01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13.02</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Actions by Successor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13.03</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13.04</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13.05</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13.06</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13.07</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13.08</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13.09</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13.10</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13.11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Separability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13.12</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SUBORDINATION OF SECURITIES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14.01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Subordination Terms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65"/>
        </w:trPr>
        <w:tc>
          <w:tcPr>
            <w:tcW w:w="1560" w:type="dxa"/>
            <w:vAlign w:val="bottom"/>
          </w:tcPr>
          <w:p>
            <w:pPr>
              <w:spacing w:after="0"/>
              <w:rPr>
                <w:sz w:val="24"/>
                <w:szCs w:val="24"/>
                <w:color w:val="auto"/>
              </w:rPr>
            </w:pPr>
          </w:p>
        </w:tc>
        <w:tc>
          <w:tcPr>
            <w:tcW w:w="75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-ii-</w:t>
            </w:r>
          </w:p>
        </w:tc>
        <w:tc>
          <w:tcPr>
            <w:tcW w:w="19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INDENTURE, </w:t>
      </w:r>
      <w:r>
        <w:rPr>
          <w:rFonts w:ascii="Times New Roman" w:cs="Times New Roman" w:eastAsia="Times New Roman" w:hAnsi="Times New Roman"/>
          <w:sz w:val="18"/>
          <w:szCs w:val="18"/>
          <w:color w:val="auto"/>
        </w:rPr>
        <w:t>dated as of [  ], among</w:t>
      </w:r>
      <w:r>
        <w:rPr>
          <w:rFonts w:ascii="Times New Roman" w:cs="Times New Roman" w:eastAsia="Times New Roman" w:hAnsi="Times New Roman"/>
          <w:sz w:val="18"/>
          <w:szCs w:val="18"/>
          <w:b w:val="1"/>
          <w:bCs w:val="1"/>
          <w:color w:val="auto"/>
        </w:rPr>
        <w:t xml:space="preserve"> DISC MEDICINE, INC., </w:t>
      </w:r>
      <w:r>
        <w:rPr>
          <w:rFonts w:ascii="Times New Roman" w:cs="Times New Roman" w:eastAsia="Times New Roman" w:hAnsi="Times New Roman"/>
          <w:sz w:val="18"/>
          <w:szCs w:val="18"/>
          <w:color w:val="auto"/>
        </w:rPr>
        <w:t>a Delaware corporation (the “Company”), and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 for the equal and ratable benefit of the holders of Securities: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 of Terms</w:t>
      </w:r>
      <w:r>
        <w:rPr>
          <w:rFonts w:ascii="Times New Roman" w:cs="Times New Roman" w:eastAsia="Times New Roman" w:hAnsi="Times New Roman"/>
          <w:sz w:val="18"/>
          <w:szCs w:val="18"/>
          <w:color w:val="auto"/>
        </w:rPr>
        <w:t>. 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85" w:name="page86"/>
    <w:bookmarkEnd w:id="85"/>
    <w:p>
      <w:pPr>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Disc Medicine, Inc., a corporation duly organized and existing under the laws of the State of Delaware, and, subject to the provisions of Article Ten, shall also include its successors and assigns.</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86" w:name="page87"/>
    <w:bookmarkEnd w:id="86"/>
    <w:p>
      <w:pPr>
        <w:ind w:right="3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5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229" w:lineRule="exact"/>
        <w:rPr>
          <w:sz w:val="20"/>
          <w:szCs w:val="20"/>
          <w:color w:val="auto"/>
        </w:rPr>
      </w:pPr>
    </w:p>
    <w:p>
      <w:pPr>
        <w:jc w:val="both"/>
        <w:ind w:firstLine="436"/>
        <w:spacing w:after="0" w:line="266"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by one or more subsidiaries of such Person or by such Person and one or more subsidiaries of such Person;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in which such Person or a subsidiary of such Person is, at the date of determination, a general partner of such partnership; or</w:t>
      </w:r>
    </w:p>
    <w:p>
      <w:pPr>
        <w:spacing w:after="0" w:line="225"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Designation and Terms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36"/>
        <w:spacing w:after="0" w:line="261"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color w:val="auto"/>
        </w:rPr>
      </w:pPr>
    </w:p>
    <w:p>
      <w:pPr>
        <w:jc w:val="both"/>
        <w:ind w:right="420" w:firstLine="987"/>
        <w:spacing w:after="0" w:line="266" w:lineRule="auto"/>
        <w:tabs>
          <w:tab w:leader="none" w:pos="124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225" w:lineRule="exact"/>
        <w:rPr>
          <w:rFonts w:ascii="Times New Roman" w:cs="Times New Roman" w:eastAsia="Times New Roman" w:hAnsi="Times New Roman"/>
          <w:sz w:val="18"/>
          <w:szCs w:val="18"/>
          <w:color w:val="auto"/>
        </w:rPr>
      </w:pPr>
    </w:p>
    <w:p>
      <w:pPr>
        <w:ind w:right="40" w:firstLine="987"/>
        <w:spacing w:after="0" w:line="266" w:lineRule="auto"/>
        <w:tabs>
          <w:tab w:leader="none" w:pos="121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converted or exchanged, in whole or in part;</w:t>
      </w:r>
    </w:p>
    <w:p>
      <w:pPr>
        <w:spacing w:after="0" w:line="161" w:lineRule="exact"/>
        <w:rPr>
          <w:rFonts w:ascii="Times New Roman" w:cs="Times New Roman" w:eastAsia="Times New Roman" w:hAnsi="Times New Roman"/>
          <w:sz w:val="18"/>
          <w:szCs w:val="18"/>
          <w:color w:val="auto"/>
        </w:rPr>
      </w:pPr>
    </w:p>
    <w:p>
      <w:pPr>
        <w:ind w:right="280" w:firstLine="987"/>
        <w:spacing w:after="0" w:line="261" w:lineRule="auto"/>
        <w:tabs>
          <w:tab w:leader="none" w:pos="120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88" w:name="page89"/>
    <w:bookmarkEnd w:id="88"/>
    <w:p>
      <w:pPr>
        <w:ind w:left="-60" w:right="100" w:firstLine="987"/>
        <w:spacing w:after="0" w:line="261" w:lineRule="auto"/>
        <w:tabs>
          <w:tab w:leader="none" w:pos="11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9" w:lineRule="exact"/>
        <w:rPr>
          <w:rFonts w:ascii="Times New Roman" w:cs="Times New Roman" w:eastAsia="Times New Roman" w:hAnsi="Times New Roman"/>
          <w:sz w:val="18"/>
          <w:szCs w:val="18"/>
          <w:color w:val="auto"/>
        </w:rPr>
      </w:pPr>
    </w:p>
    <w:p>
      <w:pPr>
        <w:ind w:left="-60" w:right="300" w:firstLine="987"/>
        <w:spacing w:after="0" w:line="266"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color w:val="auto"/>
        </w:rPr>
      </w:pPr>
    </w:p>
    <w:p>
      <w:pPr>
        <w:ind w:left="-60" w:right="140" w:firstLine="987"/>
        <w:spacing w:after="0" w:line="261" w:lineRule="auto"/>
        <w:tabs>
          <w:tab w:leader="none" w:pos="11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color w:val="auto"/>
        </w:rPr>
      </w:pPr>
    </w:p>
    <w:p>
      <w:pPr>
        <w:ind w:left="-60" w:right="280" w:firstLine="987"/>
        <w:spacing w:after="0" w:line="282" w:lineRule="auto"/>
        <w:tabs>
          <w:tab w:leader="none" w:pos="11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225" w:lineRule="exact"/>
        <w:rPr>
          <w:rFonts w:ascii="Times New Roman" w:cs="Times New Roman" w:eastAsia="Times New Roman" w:hAnsi="Times New Roman"/>
          <w:sz w:val="18"/>
          <w:szCs w:val="18"/>
          <w:color w:val="auto"/>
        </w:rPr>
      </w:pPr>
    </w:p>
    <w:p>
      <w:pPr>
        <w:ind w:left="-60" w:firstLine="987"/>
        <w:spacing w:after="0" w:line="254" w:lineRule="auto"/>
        <w:tabs>
          <w:tab w:leader="none" w:pos="11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91" w:lineRule="exact"/>
        <w:rPr>
          <w:rFonts w:ascii="Times New Roman" w:cs="Times New Roman" w:eastAsia="Times New Roman" w:hAnsi="Times New Roman"/>
          <w:sz w:val="18"/>
          <w:szCs w:val="18"/>
          <w:color w:val="auto"/>
        </w:rPr>
      </w:pPr>
    </w:p>
    <w:p>
      <w:pPr>
        <w:ind w:left="-60" w:right="100" w:firstLine="987"/>
        <w:spacing w:after="0" w:line="266" w:lineRule="auto"/>
        <w:tabs>
          <w:tab w:leader="none" w:pos="11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75" w:lineRule="exact"/>
        <w:rPr>
          <w:rFonts w:ascii="Times New Roman" w:cs="Times New Roman" w:eastAsia="Times New Roman" w:hAnsi="Times New Roman"/>
          <w:sz w:val="18"/>
          <w:szCs w:val="18"/>
          <w:color w:val="auto"/>
        </w:rPr>
      </w:pPr>
    </w:p>
    <w:p>
      <w:pPr>
        <w:jc w:val="both"/>
        <w:ind w:left="-60" w:right="160" w:firstLine="987"/>
        <w:spacing w:after="0" w:line="266" w:lineRule="auto"/>
        <w:tabs>
          <w:tab w:leader="none" w:pos="116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175" w:lineRule="exact"/>
        <w:rPr>
          <w:rFonts w:ascii="Times New Roman" w:cs="Times New Roman" w:eastAsia="Times New Roman" w:hAnsi="Times New Roman"/>
          <w:sz w:val="18"/>
          <w:szCs w:val="18"/>
          <w:color w:val="auto"/>
        </w:rPr>
      </w:pPr>
    </w:p>
    <w:p>
      <w:pPr>
        <w:ind w:left="-60" w:right="360" w:firstLine="987"/>
        <w:spacing w:after="0" w:line="282" w:lineRule="auto"/>
        <w:tabs>
          <w:tab w:leader="none" w:pos="11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161" w:lineRule="exact"/>
        <w:rPr>
          <w:rFonts w:ascii="Times New Roman" w:cs="Times New Roman" w:eastAsia="Times New Roman" w:hAnsi="Times New Roman"/>
          <w:sz w:val="18"/>
          <w:szCs w:val="18"/>
          <w:color w:val="auto"/>
        </w:rPr>
      </w:pPr>
    </w:p>
    <w:p>
      <w:pPr>
        <w:ind w:left="-60" w:right="300" w:firstLine="987"/>
        <w:spacing w:after="0" w:line="282" w:lineRule="auto"/>
        <w:tabs>
          <w:tab w:leader="none" w:pos="11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61"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225" w:lineRule="exact"/>
        <w:rPr>
          <w:rFonts w:ascii="Times New Roman" w:cs="Times New Roman" w:eastAsia="Times New Roman" w:hAnsi="Times New Roman"/>
          <w:sz w:val="18"/>
          <w:szCs w:val="18"/>
          <w:color w:val="auto"/>
        </w:rPr>
      </w:pPr>
    </w:p>
    <w:p>
      <w:pPr>
        <w:ind w:left="1220" w:hanging="293"/>
        <w:spacing w:after="0"/>
        <w:tabs>
          <w:tab w:leader="none" w:pos="12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and</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terms of the Securities of the series.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70" w:right="519" w:bottom="1440" w:gutter="0" w:footer="0" w:header="0"/>
        </w:sectPr>
      </w:pPr>
    </w:p>
    <w:bookmarkStart w:id="89" w:name="page90"/>
    <w:bookmarkEnd w:id="89"/>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Securities and Trustee’s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Denominations: Provisions for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0" w:lineRule="exact"/>
        <w:rPr>
          <w:sz w:val="20"/>
          <w:szCs w:val="20"/>
          <w:color w:val="auto"/>
        </w:rPr>
      </w:pPr>
    </w:p>
    <w:p>
      <w:pPr>
        <w:ind w:firstLine="436"/>
        <w:spacing w:after="0" w:line="272" w:lineRule="auto"/>
        <w:tabs>
          <w:tab w:leader="none" w:pos="69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0" w:name="page91"/>
    <w:bookmarkEnd w:id="90"/>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3" w:lineRule="exact"/>
        <w:rPr>
          <w:sz w:val="20"/>
          <w:szCs w:val="20"/>
          <w:color w:val="auto"/>
        </w:rPr>
      </w:pPr>
    </w:p>
    <w:p>
      <w:pPr>
        <w:ind w:firstLine="436"/>
        <w:spacing w:after="0" w:line="261"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Execution and Authentications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Times New Roman" w:cs="Times New Roman" w:eastAsia="Times New Roman" w:hAnsi="Times New Roman"/>
          <w:sz w:val="18"/>
          <w:szCs w:val="18"/>
          <w:u w:val="single" w:color="auto"/>
          <w:color w:val="auto"/>
        </w:rPr>
        <w:t>Registration of 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8"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3"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ind w:right="200" w:firstLine="436"/>
        <w:spacing w:after="0" w:line="261"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79"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Mutilated, Destroyed, Lost or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93" w:name="page94"/>
    <w:bookmarkEnd w:id="9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left="4" w:right="280"/>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36"/>
        <w:spacing w:after="0" w:line="255" w:lineRule="auto"/>
        <w:tabs>
          <w:tab w:leader="none" w:pos="6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w:t>
      </w:r>
    </w:p>
    <w:p>
      <w:pPr>
        <w:spacing w:after="0" w:line="2" w:lineRule="exact"/>
        <w:rPr>
          <w:rFonts w:ascii="Times New Roman" w:cs="Times New Roman" w:eastAsia="Times New Roman" w:hAnsi="Times New Roman"/>
          <w:sz w:val="18"/>
          <w:szCs w:val="18"/>
          <w:color w:val="auto"/>
        </w:rPr>
      </w:pPr>
    </w:p>
    <w:p>
      <w:pPr>
        <w:ind w:left="4" w:right="560" w:hanging="4"/>
        <w:spacing w:after="0" w:line="255" w:lineRule="auto"/>
        <w:tabs>
          <w:tab w:leader="none" w:pos="30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5"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ind w:firstLine="436"/>
        <w:spacing w:after="0" w:line="253"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Payment Upon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4"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96" w:name="page97"/>
    <w:bookmarkEnd w:id="9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line="272" w:lineRule="auto"/>
        <w:rPr>
          <w:sz w:val="20"/>
          <w:szCs w:val="20"/>
          <w:color w:val="auto"/>
        </w:rPr>
      </w:pPr>
      <w:r>
        <w:rPr>
          <w:rFonts w:ascii="Times New Roman" w:cs="Times New Roman" w:eastAsia="Times New Roman" w:hAnsi="Times New Roman"/>
          <w:sz w:val="17"/>
          <w:szCs w:val="17"/>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20"/>
        <w:spacing w:after="0" w:line="276" w:lineRule="auto"/>
        <w:rPr>
          <w:sz w:val="20"/>
          <w:szCs w:val="20"/>
          <w:color w:val="auto"/>
        </w:rPr>
      </w:pPr>
      <w:r>
        <w:rPr>
          <w:rFonts w:ascii="Times New Roman" w:cs="Times New Roman" w:eastAsia="Times New Roman" w:hAnsi="Times New Roman"/>
          <w:sz w:val="17"/>
          <w:szCs w:val="17"/>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w:t>
      </w:r>
    </w:p>
    <w:p>
      <w:pPr>
        <w:spacing w:after="0" w:line="1" w:lineRule="exact"/>
        <w:rPr>
          <w:sz w:val="20"/>
          <w:szCs w:val="20"/>
          <w:color w:val="auto"/>
        </w:rPr>
      </w:pPr>
    </w:p>
    <w:p>
      <w:pPr>
        <w:ind w:left="4" w:right="20" w:hanging="4"/>
        <w:spacing w:after="0" w:line="252" w:lineRule="auto"/>
        <w:tabs>
          <w:tab w:leader="none" w:pos="26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Paying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436"/>
        <w:spacing w:after="0" w:line="266" w:lineRule="auto"/>
        <w:tabs>
          <w:tab w:leader="none" w:pos="6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7" w:lineRule="exact"/>
        <w:rPr>
          <w:rFonts w:ascii="Times New Roman" w:cs="Times New Roman" w:eastAsia="Times New Roman" w:hAnsi="Times New Roman"/>
          <w:sz w:val="18"/>
          <w:szCs w:val="18"/>
          <w:color w:val="auto"/>
        </w:rPr>
      </w:pPr>
    </w:p>
    <w:p>
      <w:pPr>
        <w:jc w:val="both"/>
        <w:ind w:left="4" w:right="140" w:firstLine="987"/>
        <w:spacing w:after="0" w:line="266" w:lineRule="auto"/>
        <w:tabs>
          <w:tab w:leader="none" w:pos="12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left="4" w:right="460" w:firstLine="987"/>
        <w:spacing w:after="0" w:line="282" w:lineRule="auto"/>
        <w:tabs>
          <w:tab w:leader="none" w:pos="12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color w:val="auto"/>
        </w:rPr>
      </w:pPr>
    </w:p>
    <w:p>
      <w:pPr>
        <w:jc w:val="both"/>
        <w:ind w:left="4" w:right="100" w:firstLine="436"/>
        <w:spacing w:after="0" w:line="261" w:lineRule="auto"/>
        <w:tabs>
          <w:tab w:leader="none" w:pos="6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97" w:name="page98"/>
    <w:bookmarkEnd w:id="97"/>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3" w:lineRule="exact"/>
        <w:rPr>
          <w:sz w:val="20"/>
          <w:szCs w:val="20"/>
          <w:color w:val="auto"/>
        </w:rPr>
      </w:pPr>
    </w:p>
    <w:p>
      <w:pPr>
        <w:ind w:firstLine="436"/>
        <w:spacing w:after="0" w:line="256"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Appointment to Fill Vacancy in Office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Compliance with Consolidation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Company to Furnish Trustee Names and Addresses of Securityholders.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Preservation Of Information; Communications With Securityholders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66"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5.03 </w:t>
      </w:r>
      <w:r>
        <w:rPr>
          <w:rFonts w:ascii="Times New Roman" w:cs="Times New Roman" w:eastAsia="Times New Roman" w:hAnsi="Times New Roman"/>
          <w:sz w:val="18"/>
          <w:szCs w:val="18"/>
          <w:u w:val="single" w:color="auto"/>
          <w:color w:val="auto"/>
        </w:rPr>
        <w:t>Reports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3"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194"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Reports by the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66"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u w:val="single" w:color="auto"/>
          <w:color w:val="auto"/>
        </w:rPr>
      </w:pPr>
    </w:p>
    <w:p>
      <w:pPr>
        <w:ind w:right="240" w:firstLine="436"/>
        <w:spacing w:after="0" w:line="266"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82"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53" w:lineRule="exact"/>
        <w:rPr>
          <w:rFonts w:ascii="Times New Roman" w:cs="Times New Roman" w:eastAsia="Times New Roman" w:hAnsi="Times New Roman"/>
          <w:sz w:val="18"/>
          <w:szCs w:val="18"/>
          <w:color w:val="auto"/>
        </w:rPr>
      </w:pPr>
    </w:p>
    <w:p>
      <w:pPr>
        <w:ind w:firstLine="987"/>
        <w:spacing w:after="0" w:line="289" w:lineRule="auto"/>
        <w:tabs>
          <w:tab w:leader="none" w:pos="1236"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57" w:lineRule="exact"/>
        <w:rPr>
          <w:rFonts w:ascii="Times New Roman" w:cs="Times New Roman" w:eastAsia="Times New Roman" w:hAnsi="Times New Roman"/>
          <w:sz w:val="17"/>
          <w:szCs w:val="17"/>
          <w:color w:val="auto"/>
        </w:rPr>
      </w:pPr>
    </w:p>
    <w:p>
      <w:pPr>
        <w:jc w:val="both"/>
        <w:ind w:firstLine="987"/>
        <w:spacing w:after="0" w:line="261" w:lineRule="auto"/>
        <w:tabs>
          <w:tab w:leader="none" w:pos="124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99" w:name="page100"/>
    <w:bookmarkEnd w:id="99"/>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0" w:lineRule="exact"/>
        <w:rPr>
          <w:sz w:val="20"/>
          <w:szCs w:val="20"/>
          <w:color w:val="auto"/>
        </w:rPr>
      </w:pPr>
    </w:p>
    <w:p>
      <w:pPr>
        <w:ind w:left="4" w:firstLine="987"/>
        <w:spacing w:after="0" w:line="261" w:lineRule="auto"/>
        <w:tabs>
          <w:tab w:leader="none" w:pos="125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ind w:left="304" w:hanging="304"/>
        <w:spacing w:after="0"/>
        <w:tabs>
          <w:tab w:leader="none" w:pos="3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06"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4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699"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Times New Roman" w:cs="Times New Roman" w:eastAsia="Times New Roman" w:hAnsi="Times New Roman"/>
          <w:sz w:val="17"/>
          <w:szCs w:val="17"/>
          <w:color w:val="auto"/>
        </w:rPr>
      </w:pPr>
    </w:p>
    <w:p>
      <w:pPr>
        <w:ind w:left="4"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1" w:lineRule="exact"/>
        <w:rPr>
          <w:rFonts w:ascii="Times New Roman" w:cs="Times New Roman" w:eastAsia="Times New Roman" w:hAnsi="Times New Roman"/>
          <w:sz w:val="17"/>
          <w:szCs w:val="17"/>
          <w:color w:val="auto"/>
        </w:rPr>
      </w:pPr>
    </w:p>
    <w:p>
      <w:pPr>
        <w:ind w:left="4" w:firstLine="436"/>
        <w:spacing w:after="0" w:line="253" w:lineRule="auto"/>
        <w:tabs>
          <w:tab w:leader="none" w:pos="69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left="4" w:firstLine="436"/>
        <w:spacing w:after="0" w:line="258" w:lineRule="auto"/>
        <w:tabs>
          <w:tab w:leader="none" w:pos="69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58" w:lineRule="auto"/>
        <w:tabs>
          <w:tab w:leader="none" w:pos="6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00" w:name="page101"/>
    <w:bookmarkEnd w:id="10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3" w:lineRule="exact"/>
        <w:rPr>
          <w:sz w:val="20"/>
          <w:szCs w:val="20"/>
          <w:color w:val="auto"/>
        </w:rPr>
      </w:pPr>
    </w:p>
    <w:p>
      <w:pPr>
        <w:ind w:right="180" w:firstLine="436"/>
        <w:spacing w:after="0" w:line="258"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ind w:right="80" w:firstLine="436"/>
        <w:spacing w:after="0" w:line="253"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94"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Application of Moneys Collected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68" w:lineRule="exact"/>
        <w:rPr>
          <w:sz w:val="20"/>
          <w:szCs w:val="20"/>
          <w:color w:val="auto"/>
        </w:rPr>
      </w:pPr>
    </w:p>
    <w:p>
      <w:pPr>
        <w:ind w:left="440" w:right="900"/>
        <w:spacing w:after="0" w:line="282" w:lineRule="auto"/>
        <w:rPr>
          <w:sz w:val="20"/>
          <w:szCs w:val="20"/>
          <w:color w:val="auto"/>
        </w:rPr>
      </w:pPr>
      <w:r>
        <w:rPr>
          <w:rFonts w:ascii="Times New Roman" w:cs="Times New Roman" w:eastAsia="Times New Roman" w:hAnsi="Times New Roman"/>
          <w:sz w:val="18"/>
          <w:szCs w:val="18"/>
          <w:color w:val="auto"/>
        </w:rPr>
        <w:t>FIRST: To the payment of all indebtedness of the Company to which such series of Securities is subordinated to the extent required by Section 7.06 and any subordination terms of the series specified as contemplated by Article Fourteen;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101" w:name="page102"/>
    <w:bookmarkEnd w:id="101"/>
    <w:p>
      <w:pPr>
        <w:jc w:val="both"/>
        <w:ind w:left="440"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Rights and Remedies Cumulative; 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61"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Control by Securityholders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02" w:name="page103"/>
    <w:bookmarkEnd w:id="10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decline to follow any such direction if the Trustee in good faith shall, by a Responsible Officer or Responsible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Undertaking to Pay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Certain Duties and Responsibilities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6"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right="520" w:firstLine="987"/>
        <w:spacing w:after="0" w:line="282" w:lineRule="auto"/>
        <w:tabs>
          <w:tab w:leader="none" w:pos="12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53" w:lineRule="exact"/>
        <w:rPr>
          <w:rFonts w:ascii="Times New Roman" w:cs="Times New Roman" w:eastAsia="Times New Roman" w:hAnsi="Times New Roman"/>
          <w:sz w:val="18"/>
          <w:szCs w:val="18"/>
          <w:color w:val="auto"/>
        </w:rPr>
      </w:pPr>
    </w:p>
    <w:p>
      <w:pPr>
        <w:ind w:right="20" w:firstLine="1428"/>
        <w:spacing w:after="0" w:line="261" w:lineRule="auto"/>
        <w:tabs>
          <w:tab w:leader="none" w:pos="1727"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9" w:lineRule="exact"/>
        <w:rPr>
          <w:rFonts w:ascii="Times New Roman" w:cs="Times New Roman" w:eastAsia="Times New Roman" w:hAnsi="Times New Roman"/>
          <w:sz w:val="18"/>
          <w:szCs w:val="18"/>
          <w:color w:val="auto"/>
        </w:rPr>
      </w:pPr>
    </w:p>
    <w:p>
      <w:pPr>
        <w:ind w:right="40" w:firstLine="1428"/>
        <w:spacing w:after="0" w:line="258" w:lineRule="auto"/>
        <w:tabs>
          <w:tab w:leader="none" w:pos="1717"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03" w:name="page104"/>
    <w:bookmarkEnd w:id="103"/>
    <w:p>
      <w:pPr>
        <w:ind w:right="300" w:firstLine="987"/>
        <w:spacing w:after="0" w:line="282"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liable for any error of judgment made in good faith by a Responsible Officer or Responsible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9"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117" w:lineRule="exact"/>
        <w:rPr>
          <w:sz w:val="20"/>
          <w:szCs w:val="20"/>
          <w:color w:val="auto"/>
        </w:rPr>
      </w:pPr>
    </w:p>
    <w:p>
      <w:pPr>
        <w:ind w:right="20" w:firstLine="436"/>
        <w:spacing w:after="0" w:line="266"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right="560" w:firstLine="436"/>
        <w:spacing w:after="0" w:line="266"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right="620" w:firstLine="436"/>
        <w:spacing w:after="0" w:line="282"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104" w:name="page105"/>
    <w:bookmarkEnd w:id="104"/>
    <w:p>
      <w:pPr>
        <w:ind w:right="280" w:firstLine="436"/>
        <w:spacing w:after="0" w:line="266"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175" w:lineRule="exact"/>
        <w:rPr>
          <w:rFonts w:ascii="Times New Roman" w:cs="Times New Roman" w:eastAsia="Times New Roman" w:hAnsi="Times New Roman"/>
          <w:sz w:val="18"/>
          <w:szCs w:val="18"/>
          <w:color w:val="auto"/>
        </w:rPr>
      </w:pPr>
    </w:p>
    <w:p>
      <w:pPr>
        <w:ind w:right="20" w:firstLine="436"/>
        <w:spacing w:after="0" w:line="253" w:lineRule="auto"/>
        <w:tabs>
          <w:tab w:leader="none" w:pos="7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Trustee Not Responsible for Recitals or Issuance or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82" w:lineRule="auto"/>
        <w:tabs>
          <w:tab w:leader="none" w:pos="6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7.05 </w:t>
      </w:r>
      <w:r>
        <w:rPr>
          <w:rFonts w:ascii="Times New Roman" w:cs="Times New Roman" w:eastAsia="Times New Roman" w:hAnsi="Times New Roman"/>
          <w:sz w:val="18"/>
          <w:szCs w:val="18"/>
          <w:u w:val="single" w:color="auto"/>
          <w:color w:val="auto"/>
        </w:rPr>
        <w:t>Moneys Held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194" w:lineRule="exact"/>
        <w:rPr>
          <w:rFonts w:ascii="Times New Roman" w:cs="Times New Roman" w:eastAsia="Times New Roman" w:hAnsi="Times New Roman"/>
          <w:sz w:val="18"/>
          <w:szCs w:val="18"/>
          <w:color w:val="auto"/>
        </w:rPr>
      </w:pPr>
    </w:p>
    <w:p>
      <w:pPr>
        <w:jc w:val="both"/>
        <w:ind w:right="380" w:firstLine="436"/>
        <w:spacing w:after="0" w:line="261" w:lineRule="auto"/>
        <w:tabs>
          <w:tab w:leader="none" w:pos="6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69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Reliance on Officer’s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Corporate Trustee Required; 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117" w:lineRule="exact"/>
        <w:rPr>
          <w:rFonts w:ascii="Times New Roman" w:cs="Times New Roman" w:eastAsia="Times New Roman" w:hAnsi="Times New Roman"/>
          <w:sz w:val="18"/>
          <w:szCs w:val="18"/>
          <w:color w:val="auto"/>
        </w:rPr>
      </w:pPr>
    </w:p>
    <w:p>
      <w:pPr>
        <w:ind w:right="900" w:firstLine="987"/>
        <w:spacing w:after="0" w:line="282" w:lineRule="auto"/>
        <w:tabs>
          <w:tab w:leader="none" w:pos="12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color w:val="auto"/>
        </w:rPr>
      </w:pPr>
    </w:p>
    <w:p>
      <w:pPr>
        <w:ind w:right="400" w:firstLine="987"/>
        <w:spacing w:after="0" w:line="266" w:lineRule="auto"/>
        <w:tabs>
          <w:tab w:leader="none" w:pos="12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3" w:lineRule="exact"/>
        <w:rPr>
          <w:sz w:val="20"/>
          <w:szCs w:val="20"/>
          <w:color w:val="auto"/>
        </w:rPr>
      </w:pPr>
    </w:p>
    <w:p>
      <w:pPr>
        <w:ind w:right="60" w:firstLine="436"/>
        <w:spacing w:after="0" w:line="266"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07" w:name="page108"/>
    <w:bookmarkEnd w:id="107"/>
    <w:p>
      <w:pPr>
        <w:ind w:right="240" w:firstLine="436"/>
        <w:spacing w:after="0" w:line="282" w:lineRule="auto"/>
        <w:tabs>
          <w:tab w:leader="none" w:pos="6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36"/>
        <w:spacing w:after="0" w:line="274" w:lineRule="auto"/>
        <w:tabs>
          <w:tab w:leader="none" w:pos="69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2" w:lineRule="exact"/>
        <w:rPr>
          <w:rFonts w:ascii="Times New Roman" w:cs="Times New Roman" w:eastAsia="Times New Roman" w:hAnsi="Times New Roman"/>
          <w:sz w:val="17"/>
          <w:szCs w:val="17"/>
          <w:color w:val="auto"/>
        </w:rPr>
      </w:pPr>
    </w:p>
    <w:p>
      <w:pPr>
        <w:ind w:firstLine="436"/>
        <w:spacing w:after="0" w:line="267" w:lineRule="auto"/>
        <w:tabs>
          <w:tab w:leader="none" w:pos="69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89" w:lineRule="exact"/>
        <w:rPr>
          <w:rFonts w:ascii="Times New Roman" w:cs="Times New Roman" w:eastAsia="Times New Roman" w:hAnsi="Times New Roman"/>
          <w:sz w:val="17"/>
          <w:szCs w:val="17"/>
          <w:color w:val="auto"/>
        </w:rPr>
      </w:pPr>
    </w:p>
    <w:p>
      <w:pPr>
        <w:ind w:right="380" w:firstLine="436"/>
        <w:spacing w:after="0" w:line="282" w:lineRule="auto"/>
        <w:tabs>
          <w:tab w:leader="none" w:pos="6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(1) or (2) of this Section, as the case may be.</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08" w:name="page109"/>
    <w:bookmarkEnd w:id="10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Preferential Collection of Claims Against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Evidence of Action by Securityholders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Proof of Execution by Securityholders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54" w:lineRule="exact"/>
        <w:rPr>
          <w:sz w:val="20"/>
          <w:szCs w:val="20"/>
          <w:color w:val="auto"/>
        </w:rPr>
      </w:pPr>
    </w:p>
    <w:p>
      <w:pPr>
        <w:jc w:val="center"/>
        <w:ind w:left="5420" w:right="200" w:hanging="4984"/>
        <w:spacing w:after="0" w:line="454" w:lineRule="auto"/>
        <w:tabs>
          <w:tab w:leader="none" w:pos="69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 25</w:t>
      </w:r>
    </w:p>
    <w:p>
      <w:pPr>
        <w:sectPr>
          <w:pgSz w:w="11900" w:h="16838" w:orient="portrait"/>
          <w:cols w:equalWidth="0" w:num="1">
            <w:col w:w="10960"/>
          </w:cols>
          <w:pgMar w:left="440" w:top="270" w:right="499" w:bottom="1440" w:gutter="0" w:footer="0" w:header="0"/>
        </w:sectPr>
      </w:pPr>
    </w:p>
    <w:bookmarkStart w:id="109" w:name="page110"/>
    <w:bookmarkEnd w:id="109"/>
    <w:p>
      <w:pPr>
        <w:ind w:right="320" w:firstLine="436"/>
        <w:spacing w:after="0" w:line="500" w:lineRule="auto"/>
        <w:tabs>
          <w:tab w:leader="none" w:pos="6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Who May be Deemed Owners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Certain Securities Owned by Company Disregarded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Actions Binding on Future Securityholders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the Consent of Securityholders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68" w:lineRule="exact"/>
        <w:rPr>
          <w:sz w:val="20"/>
          <w:szCs w:val="20"/>
          <w:color w:val="auto"/>
        </w:rPr>
      </w:pPr>
    </w:p>
    <w:p>
      <w:pPr>
        <w:ind w:left="5420" w:right="4060" w:hanging="4984"/>
        <w:spacing w:after="0" w:line="454" w:lineRule="auto"/>
        <w:tabs>
          <w:tab w:leader="none" w:pos="69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 26</w:t>
      </w:r>
    </w:p>
    <w:p>
      <w:pPr>
        <w:sectPr>
          <w:pgSz w:w="11900" w:h="16838" w:orient="portrait"/>
          <w:cols w:equalWidth="0" w:num="1">
            <w:col w:w="11000"/>
          </w:cols>
          <w:pgMar w:left="440" w:top="270" w:right="459" w:bottom="1440" w:gutter="0" w:footer="0" w:header="0"/>
        </w:sectPr>
      </w:pPr>
    </w:p>
    <w:bookmarkStart w:id="110" w:name="page111"/>
    <w:bookmarkEnd w:id="110"/>
    <w:p>
      <w:pPr>
        <w:ind w:left="700" w:hanging="264"/>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comply with Article Ten;</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3" w:lineRule="exact"/>
        <w:rPr>
          <w:rFonts w:ascii="Times New Roman" w:cs="Times New Roman" w:eastAsia="Times New Roman" w:hAnsi="Times New Roman"/>
          <w:sz w:val="18"/>
          <w:szCs w:val="18"/>
          <w:color w:val="auto"/>
        </w:rPr>
      </w:pPr>
    </w:p>
    <w:p>
      <w:pPr>
        <w:ind w:right="940" w:firstLine="436"/>
        <w:spacing w:after="0" w:line="282"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Securityholders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70" w:right="519" w:bottom="1440" w:gutter="0" w:footer="0" w:header="0"/>
        </w:sectPr>
      </w:pPr>
    </w:p>
    <w:bookmarkStart w:id="111" w:name="page112"/>
    <w:bookmarkEnd w:id="111"/>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Securities Affected by Supplemental Indentures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Company May Consolidate,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112" w:name="page113"/>
    <w:bookmarkEnd w:id="112"/>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w:t>
      </w:r>
    </w:p>
    <w:p>
      <w:pPr>
        <w:spacing w:after="0" w:line="5" w:lineRule="exact"/>
        <w:rPr>
          <w:sz w:val="20"/>
          <w:szCs w:val="20"/>
          <w:color w:val="auto"/>
        </w:rPr>
      </w:pPr>
    </w:p>
    <w:p>
      <w:pPr>
        <w:ind w:left="4" w:hanging="4"/>
        <w:spacing w:after="0" w:line="253" w:lineRule="auto"/>
        <w:tabs>
          <w:tab w:leader="none" w:pos="25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Successor Entity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58" w:lineRule="auto"/>
        <w:tabs>
          <w:tab w:leader="none" w:pos="69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9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69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2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11.02 </w:t>
      </w:r>
      <w:r>
        <w:rPr>
          <w:rFonts w:ascii="Times New Roman" w:cs="Times New Roman" w:eastAsia="Times New Roman" w:hAnsi="Times New Roman"/>
          <w:sz w:val="18"/>
          <w:szCs w:val="18"/>
          <w:u w:val="single" w:color="auto"/>
          <w:color w:val="auto"/>
        </w:rPr>
        <w:t>Discharge of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Deposited Moneys to be Held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Payment of Moneys Held by Paying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114" w:name="page115"/>
    <w:bookmarkEnd w:id="114"/>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Effect on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Actions by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Surrender of Company 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Treatment of Securities as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Certificates and Opinions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6"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115" w:name="page116"/>
    <w:bookmarkEnd w:id="115"/>
    <w:p>
      <w:pPr>
        <w:ind w:firstLine="436"/>
        <w:spacing w:after="0" w:line="256"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Subordination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payment by the Company of the principal of, premium, if any, and interest on any series of Securities issued hereunder shall be subordinated to the extent set forth in an indenture supplemental hereto relating to such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ectPr>
          <w:pgSz w:w="11900" w:h="16838" w:orient="portrait"/>
          <w:cols w:equalWidth="0" w:num="1">
            <w:col w:w="10040"/>
          </w:cols>
          <w:pgMar w:left="440" w:top="266" w:right="1419" w:bottom="1440" w:gutter="0" w:footer="0" w:header="0"/>
        </w:sectPr>
      </w:pP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DISC MEDICINE,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040"/>
          </w:cols>
          <w:pgMar w:left="440" w:top="266" w:right="1419" w:bottom="1440" w:gutter="0" w:footer="0" w:header="0"/>
          <w:type w:val="continuous"/>
        </w:sectPr>
      </w:pPr>
    </w:p>
    <w:bookmarkStart w:id="117" w:name="page118"/>
    <w:bookmarkEnd w:id="117"/>
    <w:tbl>
      <w:tblPr>
        <w:tblLayout w:type="fixed"/>
        <w:tblInd w:w="4" w:type="dxa"/>
        <w:tblCellMar>
          <w:top w:w="0" w:type="dxa"/>
          <w:left w:w="0" w:type="dxa"/>
          <w:bottom w:w="0" w:type="dxa"/>
          <w:right w:w="0" w:type="dxa"/>
        </w:tblCellMar>
      </w:tblPr>
      <w:tr>
        <w:trPr>
          <w:trHeight w:val="364"/>
        </w:trPr>
        <w:tc>
          <w:tcPr>
            <w:tcW w:w="3180" w:type="dxa"/>
            <w:vAlign w:val="bottom"/>
          </w:tcPr>
          <w:p>
            <w:pPr>
              <w:spacing w:after="0"/>
              <w:rPr>
                <w:sz w:val="24"/>
                <w:szCs w:val="24"/>
                <w:color w:val="auto"/>
              </w:rPr>
            </w:pPr>
          </w:p>
        </w:tc>
        <w:tc>
          <w:tcPr>
            <w:tcW w:w="7460" w:type="dxa"/>
            <w:vAlign w:val="bottom"/>
            <w:gridSpan w:val="3"/>
          </w:tcPr>
          <w:p>
            <w:pPr>
              <w:jc w:val="right"/>
              <w:ind w:right="3900"/>
              <w:spacing w:after="0"/>
              <w:rPr>
                <w:sz w:val="20"/>
                <w:szCs w:val="20"/>
                <w:color w:val="auto"/>
              </w:rPr>
            </w:pPr>
            <w:r>
              <w:rPr>
                <w:rFonts w:ascii="Times New Roman" w:cs="Times New Roman" w:eastAsia="Times New Roman" w:hAnsi="Times New Roman"/>
                <w:sz w:val="18"/>
                <w:szCs w:val="18"/>
                <w:b w:val="1"/>
                <w:bCs w:val="1"/>
                <w:color w:val="auto"/>
              </w:rPr>
              <w:t>CROSS-REFERENCE TABLE</w:t>
            </w:r>
            <w:r>
              <w:rPr>
                <w:rFonts w:ascii="Times New Roman" w:cs="Times New Roman" w:eastAsia="Times New Roman" w:hAnsi="Times New Roman"/>
                <w:sz w:val="26"/>
                <w:szCs w:val="26"/>
                <w:b w:val="1"/>
                <w:bCs w:val="1"/>
                <w:color w:val="auto"/>
                <w:vertAlign w:val="superscript"/>
              </w:rPr>
              <w:t>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64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Section of</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180" w:type="dxa"/>
            <w:vAlign w:val="bottom"/>
            <w:tcBorders>
              <w:bottom w:val="single" w:sz="8" w:color="auto"/>
            </w:tcBorders>
            <w:vMerge w:val="continue"/>
          </w:tcPr>
          <w:p>
            <w:pPr>
              <w:spacing w:after="0"/>
              <w:rPr>
                <w:sz w:val="15"/>
                <w:szCs w:val="15"/>
                <w:color w:val="auto"/>
              </w:rPr>
            </w:pPr>
          </w:p>
        </w:tc>
        <w:tc>
          <w:tcPr>
            <w:tcW w:w="6400" w:type="dxa"/>
            <w:vAlign w:val="bottom"/>
          </w:tcPr>
          <w:p>
            <w:pPr>
              <w:spacing w:after="0"/>
              <w:rPr>
                <w:sz w:val="15"/>
                <w:szCs w:val="15"/>
                <w:color w:val="auto"/>
              </w:rPr>
            </w:pPr>
          </w:p>
        </w:tc>
        <w:tc>
          <w:tcPr>
            <w:tcW w:w="10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Indenture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310(a)</w:t>
            </w:r>
          </w:p>
        </w:tc>
        <w:tc>
          <w:tcPr>
            <w:tcW w:w="6400" w:type="dxa"/>
            <w:vAlign w:val="bottom"/>
          </w:tcPr>
          <w:p>
            <w:pPr>
              <w:spacing w:after="0"/>
              <w:rPr>
                <w:sz w:val="16"/>
                <w:szCs w:val="16"/>
                <w:color w:val="auto"/>
              </w:rPr>
            </w:pPr>
          </w:p>
        </w:tc>
        <w:tc>
          <w:tcPr>
            <w:tcW w:w="9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6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Inapplicable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311(c)</w:t>
            </w:r>
          </w:p>
        </w:tc>
        <w:tc>
          <w:tcPr>
            <w:tcW w:w="6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Inapplicable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312(c)</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13.12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314(b)</w:t>
            </w:r>
          </w:p>
        </w:tc>
        <w:tc>
          <w:tcPr>
            <w:tcW w:w="6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Inapplicable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314(d)</w:t>
            </w:r>
          </w:p>
        </w:tc>
        <w:tc>
          <w:tcPr>
            <w:tcW w:w="6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Inapplicable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314(f)</w:t>
            </w:r>
          </w:p>
        </w:tc>
        <w:tc>
          <w:tcPr>
            <w:tcW w:w="6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Inapplicable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315(c)</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315(e)</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316(c)</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317(b)</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320" w:hanging="424"/>
        <w:spacing w:after="0" w:line="208" w:lineRule="auto"/>
        <w:tabs>
          <w:tab w:leader="none" w:pos="424" w:val="left"/>
        </w:tabs>
        <w:numPr>
          <w:ilvl w:val="0"/>
          <w:numId w:val="1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0964"/>
          </w:cols>
          <w:pgMar w:left="436" w:top="266" w:right="4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S-3ASR</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S-3ASR (as amended or supplemented, the “Registration Statement”) filed on August 8, 2024 with the Securities and Exchange Commission (the “Commission”) pursuant to the Securities Act of 1933, as amended (the “Securities Act”), relating to the registration of the offer by Disc Medicine, Inc., a Delaware corporation (the “Company”), of an unspecified amount of any combination of (i) the Company’s common stock, par value $0.0001 per share (“Common Stock”), (ii) the Company’s preferred stock, par value $0.0001 per share (“Preferred Stock”), (iii) the Company’s debt securities (“Debt Securities”), (iv) warrants to purchase Common Stock, Preferred Stock, Debt Securities or Units (as defined below ) (“Warrants”) and (v) units comprised of 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w:t>
      </w:r>
    </w:p>
    <w:p>
      <w:pPr>
        <w:sectPr>
          <w:pgSz w:w="11900" w:h="16838" w:orient="portrait"/>
          <w:cols w:equalWidth="0" w:num="1">
            <w:col w:w="11020"/>
          </w:cols>
          <w:pgMar w:left="440" w:top="121"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opinions set forth below, we refer to the following as the “Future Approval and Issuance” of Securities:</w:t>
      </w:r>
    </w:p>
    <w:p>
      <w:pPr>
        <w:spacing w:after="0" w:line="131" w:lineRule="exact"/>
        <w:rPr>
          <w:sz w:val="20"/>
          <w:szCs w:val="20"/>
          <w:color w:val="auto"/>
        </w:rPr>
      </w:pPr>
    </w:p>
    <w:p>
      <w:pPr>
        <w:ind w:left="960" w:hanging="424"/>
        <w:spacing w:after="0" w:line="261" w:lineRule="auto"/>
        <w:tabs>
          <w:tab w:leader="none" w:pos="9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85" w:lineRule="exact"/>
        <w:rPr>
          <w:rFonts w:ascii="Times New Roman" w:cs="Times New Roman" w:eastAsia="Times New Roman" w:hAnsi="Times New Roman"/>
          <w:sz w:val="18"/>
          <w:szCs w:val="18"/>
          <w:color w:val="auto"/>
        </w:rPr>
      </w:pPr>
    </w:p>
    <w:p>
      <w:pPr>
        <w:ind w:left="960" w:right="60" w:hanging="424"/>
        <w:spacing w:after="0" w:line="289" w:lineRule="auto"/>
        <w:tabs>
          <w:tab w:leader="none" w:pos="9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63" w:lineRule="exact"/>
        <w:rPr>
          <w:rFonts w:ascii="Times New Roman" w:cs="Times New Roman" w:eastAsia="Times New Roman" w:hAnsi="Times New Roman"/>
          <w:sz w:val="17"/>
          <w:szCs w:val="17"/>
          <w:color w:val="auto"/>
        </w:rPr>
      </w:pPr>
    </w:p>
    <w:p>
      <w:pPr>
        <w:ind w:left="960" w:right="60" w:hanging="424"/>
        <w:spacing w:after="0" w:line="261" w:lineRule="auto"/>
        <w:tabs>
          <w:tab w:leader="none" w:pos="9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w:t>
      </w:r>
    </w:p>
    <w:p>
      <w:pPr>
        <w:spacing w:after="0" w:line="85"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Warrants or Units,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qualifications set forth below, we are of the opinion that:</w:t>
      </w:r>
    </w:p>
    <w:p>
      <w:pPr>
        <w:spacing w:after="0" w:line="117" w:lineRule="exact"/>
        <w:rPr>
          <w:sz w:val="20"/>
          <w:szCs w:val="20"/>
          <w:color w:val="auto"/>
        </w:rPr>
      </w:pPr>
    </w:p>
    <w:p>
      <w:pPr>
        <w:ind w:right="480" w:firstLine="436"/>
        <w:spacing w:after="0" w:line="282" w:lineRule="auto"/>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shares of Common Stock, such shares of Common Stock will be validly issued, fully paid and nonassessable.</w:t>
      </w:r>
    </w:p>
    <w:p>
      <w:pPr>
        <w:spacing w:after="0" w:line="161" w:lineRule="exact"/>
        <w:rPr>
          <w:rFonts w:ascii="Times New Roman" w:cs="Times New Roman" w:eastAsia="Times New Roman" w:hAnsi="Times New Roman"/>
          <w:sz w:val="18"/>
          <w:szCs w:val="18"/>
          <w:color w:val="auto"/>
        </w:rPr>
      </w:pPr>
    </w:p>
    <w:p>
      <w:pPr>
        <w:ind w:right="480" w:firstLine="436"/>
        <w:spacing w:after="0" w:line="282" w:lineRule="auto"/>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shares of Preferred Stock, such shares of Preferred Stock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Debt Securities, such Debt Securities will be valid and binding obligations of the Company.</w:t>
      </w:r>
    </w:p>
    <w:p>
      <w:pPr>
        <w:sectPr>
          <w:pgSz w:w="11900" w:h="16838" w:orient="portrait"/>
          <w:cols w:equalWidth="0" w:num="1">
            <w:col w:w="10980"/>
          </w:cols>
          <w:pgMar w:left="440" w:top="270"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620" w:hanging="184"/>
        <w:spacing w:after="0"/>
        <w:tabs>
          <w:tab w:leader="none" w:pos="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Warrants, such Warrants will be valid and binding obligations of the Company.</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Units, such Units will be valid and binding obligations of the Company.</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60"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Lawyer </w:t>
      </w:r>
      <w:r>
        <w:rPr>
          <w:rFonts w:ascii="Times New Roman" w:cs="Times New Roman" w:eastAsia="Times New Roman" w:hAnsi="Times New Roman"/>
          <w:sz w:val="18"/>
          <w:szCs w:val="18"/>
          <w:color w:val="auto"/>
        </w:rPr>
        <w:t>815 (Summer 2019).</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0980"/>
          </w:cols>
          <w:pgMar w:left="440" w:top="270" w:right="47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Disc Medicine, Inc. for the registration of common stock, preferred stock, debt securities, warrants, and units and to the incorporation by reference therein of our report dated March 21, 2024, with respect to the consolidated financial statements of Disc Medicine, Inc. included in its Annual Report (Form 10-K) for the year ended December 31,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Youing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ectPr>
          <w:pgSz w:w="11900" w:h="16838" w:orient="portrait"/>
          <w:cols w:equalWidth="0" w:num="1">
            <w:col w:w="11020"/>
          </w:cols>
          <w:pgMar w:left="440" w:top="117" w:right="4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278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3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Filing Fee</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640" w:type="dxa"/>
            <w:vAlign w:val="bottom"/>
            <w:tcBorders>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Unsold</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to be</w:t>
            </w:r>
          </w:p>
        </w:tc>
        <w:tc>
          <w:tcPr>
            <w:tcW w:w="0" w:type="dxa"/>
            <w:vAlign w:val="bottom"/>
          </w:tcPr>
          <w:p>
            <w:pPr>
              <w:spacing w:after="0"/>
              <w:rPr>
                <w:sz w:val="1"/>
                <w:szCs w:val="1"/>
                <w:color w:val="auto"/>
              </w:rPr>
            </w:pPr>
          </w:p>
        </w:tc>
      </w:tr>
      <w:tr>
        <w:trPr>
          <w:trHeight w:val="140"/>
        </w:trPr>
        <w:tc>
          <w:tcPr>
            <w:tcW w:w="278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1040" w:type="dxa"/>
            <w:vAlign w:val="bottom"/>
          </w:tcPr>
          <w:p>
            <w:pPr>
              <w:jc w:val="center"/>
              <w:ind w:left="33"/>
              <w:spacing w:after="0" w:line="140" w:lineRule="exact"/>
              <w:rPr>
                <w:sz w:val="20"/>
                <w:szCs w:val="20"/>
                <w:color w:val="auto"/>
              </w:rPr>
            </w:pPr>
            <w:r>
              <w:rPr>
                <w:rFonts w:ascii="Times New Roman" w:cs="Times New Roman" w:eastAsia="Times New Roman" w:hAnsi="Times New Roman"/>
                <w:sz w:val="13"/>
                <w:szCs w:val="13"/>
                <w:color w:val="auto"/>
                <w:w w:val="96"/>
              </w:rPr>
              <w:t>Security Class</w:t>
            </w:r>
          </w:p>
        </w:tc>
        <w:tc>
          <w:tcPr>
            <w:tcW w:w="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Forward</w:t>
            </w:r>
          </w:p>
        </w:tc>
        <w:tc>
          <w:tcPr>
            <w:tcW w:w="780" w:type="dxa"/>
            <w:vAlign w:val="bottom"/>
            <w:tcBorders>
              <w:right w:val="single" w:sz="8" w:color="auto"/>
            </w:tcBorders>
          </w:tcPr>
          <w:p>
            <w:pPr>
              <w:jc w:val="right"/>
              <w:ind w:right="96"/>
              <w:spacing w:after="0" w:line="140" w:lineRule="exact"/>
              <w:rPr>
                <w:sz w:val="20"/>
                <w:szCs w:val="20"/>
                <w:color w:val="auto"/>
              </w:rPr>
            </w:pPr>
            <w:r>
              <w:rPr>
                <w:rFonts w:ascii="Times New Roman" w:cs="Times New Roman" w:eastAsia="Times New Roman" w:hAnsi="Times New Roman"/>
                <w:sz w:val="13"/>
                <w:szCs w:val="13"/>
                <w:color w:val="auto"/>
              </w:rPr>
              <w:t>Amount</w:t>
            </w:r>
          </w:p>
        </w:tc>
        <w:tc>
          <w:tcPr>
            <w:tcW w:w="6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Price Per</w:t>
            </w: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Offering</w:t>
            </w:r>
          </w:p>
        </w:tc>
        <w:tc>
          <w:tcPr>
            <w:tcW w:w="3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c>
          <w:tcPr>
            <w:tcW w:w="7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2"/>
              </w:rPr>
              <w:t>Form</w:t>
            </w:r>
          </w:p>
        </w:tc>
        <w:tc>
          <w:tcPr>
            <w:tcW w:w="5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88"/>
              </w:rPr>
              <w:t>File</w:t>
            </w: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Effective</w:t>
            </w:r>
          </w:p>
        </w:tc>
        <w:tc>
          <w:tcPr>
            <w:tcW w:w="7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278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04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3"/>
                <w:szCs w:val="13"/>
                <w:color w:val="auto"/>
                <w:w w:val="97"/>
              </w:rPr>
              <w:t>Title</w:t>
            </w:r>
          </w:p>
        </w:tc>
        <w:tc>
          <w:tcPr>
            <w:tcW w:w="6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8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Registered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233"/>
        </w:trPr>
        <w:tc>
          <w:tcPr>
            <w:tcW w:w="278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right="61"/>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8"/>
              </w:rPr>
              <w:t>Common</w:t>
            </w: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Stock,</w:t>
            </w: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par value</w:t>
            </w: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Fees to Be</w:t>
            </w:r>
          </w:p>
        </w:tc>
        <w:tc>
          <w:tcPr>
            <w:tcW w:w="640" w:type="dxa"/>
            <w:vAlign w:val="bottom"/>
            <w:tcBorders>
              <w:right w:val="single" w:sz="8" w:color="auto"/>
            </w:tcBorders>
          </w:tcPr>
          <w:p>
            <w:pPr>
              <w:spacing w:after="0"/>
              <w:rPr>
                <w:sz w:val="18"/>
                <w:szCs w:val="18"/>
                <w:color w:val="auto"/>
              </w:rPr>
            </w:pPr>
          </w:p>
        </w:tc>
        <w:tc>
          <w:tcPr>
            <w:tcW w:w="10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$0.0001 per</w:t>
            </w: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4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9"/>
              </w:rPr>
              <w:t>share</w:t>
            </w:r>
          </w:p>
        </w:tc>
        <w:tc>
          <w:tcPr>
            <w:tcW w:w="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1"/>
        </w:trPr>
        <w:tc>
          <w:tcPr>
            <w:tcW w:w="27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Fees to Be</w:t>
            </w:r>
          </w:p>
        </w:tc>
        <w:tc>
          <w:tcPr>
            <w:tcW w:w="640" w:type="dxa"/>
            <w:vAlign w:val="bottom"/>
            <w:tcBorders>
              <w:right w:val="single" w:sz="8" w:color="auto"/>
            </w:tcBorders>
          </w:tcPr>
          <w:p>
            <w:pPr>
              <w:spacing w:after="0"/>
              <w:rPr>
                <w:sz w:val="18"/>
                <w:szCs w:val="18"/>
                <w:color w:val="auto"/>
              </w:rPr>
            </w:pPr>
          </w:p>
        </w:tc>
        <w:tc>
          <w:tcPr>
            <w:tcW w:w="1040" w:type="dxa"/>
            <w:vAlign w:val="bottom"/>
            <w:vMerge w:val="restart"/>
          </w:tcPr>
          <w:p>
            <w:pPr>
              <w:jc w:val="center"/>
              <w:ind w:left="53"/>
              <w:spacing w:after="0"/>
              <w:rPr>
                <w:sz w:val="20"/>
                <w:szCs w:val="20"/>
                <w:color w:val="auto"/>
              </w:rPr>
            </w:pPr>
            <w:r>
              <w:rPr>
                <w:rFonts w:ascii="Times New Roman" w:cs="Times New Roman" w:eastAsia="Times New Roman" w:hAnsi="Times New Roman"/>
                <w:sz w:val="18"/>
                <w:szCs w:val="18"/>
                <w:color w:val="auto"/>
                <w:w w:val="98"/>
              </w:rPr>
              <w:t>Preferred</w:t>
            </w: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vMerge w:val="continue"/>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 Rule</w:t>
            </w:r>
          </w:p>
        </w:tc>
        <w:tc>
          <w:tcPr>
            <w:tcW w:w="7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4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rPr>
              <w:t>Stock</w:t>
            </w:r>
          </w:p>
        </w:tc>
        <w:tc>
          <w:tcPr>
            <w:tcW w:w="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1"/>
        </w:trPr>
        <w:tc>
          <w:tcPr>
            <w:tcW w:w="27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Fees to Be</w:t>
            </w:r>
          </w:p>
        </w:tc>
        <w:tc>
          <w:tcPr>
            <w:tcW w:w="640" w:type="dxa"/>
            <w:vAlign w:val="bottom"/>
            <w:tcBorders>
              <w:right w:val="single" w:sz="8" w:color="auto"/>
            </w:tcBorders>
          </w:tcPr>
          <w:p>
            <w:pPr>
              <w:spacing w:after="0"/>
              <w:rPr>
                <w:sz w:val="18"/>
                <w:szCs w:val="18"/>
                <w:color w:val="auto"/>
              </w:rPr>
            </w:pPr>
          </w:p>
        </w:tc>
        <w:tc>
          <w:tcPr>
            <w:tcW w:w="1040" w:type="dxa"/>
            <w:vAlign w:val="bottom"/>
            <w:vMerge w:val="restart"/>
          </w:tcPr>
          <w:p>
            <w:pPr>
              <w:jc w:val="center"/>
              <w:ind w:left="53"/>
              <w:spacing w:after="0"/>
              <w:rPr>
                <w:sz w:val="20"/>
                <w:szCs w:val="20"/>
                <w:color w:val="auto"/>
              </w:rPr>
            </w:pPr>
            <w:r>
              <w:rPr>
                <w:rFonts w:ascii="Times New Roman" w:cs="Times New Roman" w:eastAsia="Times New Roman" w:hAnsi="Times New Roman"/>
                <w:sz w:val="18"/>
                <w:szCs w:val="18"/>
                <w:color w:val="auto"/>
                <w:w w:val="97"/>
              </w:rPr>
              <w:t>Debt</w:t>
            </w: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vMerge w:val="continue"/>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 Rule</w:t>
            </w:r>
          </w:p>
        </w:tc>
        <w:tc>
          <w:tcPr>
            <w:tcW w:w="7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4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8"/>
              </w:rPr>
              <w:t>Securities</w:t>
            </w:r>
          </w:p>
        </w:tc>
        <w:tc>
          <w:tcPr>
            <w:tcW w:w="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1"/>
        </w:trPr>
        <w:tc>
          <w:tcPr>
            <w:tcW w:w="27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Fees to Be</w:t>
            </w:r>
          </w:p>
        </w:tc>
        <w:tc>
          <w:tcPr>
            <w:tcW w:w="64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vMerge w:val="continue"/>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 Rule</w:t>
            </w:r>
          </w:p>
        </w:tc>
        <w:tc>
          <w:tcPr>
            <w:tcW w:w="7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1"/>
        </w:trPr>
        <w:tc>
          <w:tcPr>
            <w:tcW w:w="27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Fees to Be</w:t>
            </w:r>
          </w:p>
        </w:tc>
        <w:tc>
          <w:tcPr>
            <w:tcW w:w="64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vMerge w:val="continue"/>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 Rule</w:t>
            </w:r>
          </w:p>
        </w:tc>
        <w:tc>
          <w:tcPr>
            <w:tcW w:w="7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4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7"/>
              </w:rPr>
              <w:t>Units</w:t>
            </w:r>
          </w:p>
        </w:tc>
        <w:tc>
          <w:tcPr>
            <w:tcW w:w="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27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Fees Previously 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278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101"/>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Carry</w:t>
            </w:r>
          </w:p>
        </w:tc>
        <w:tc>
          <w:tcPr>
            <w:tcW w:w="64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Forward</w:t>
            </w:r>
          </w:p>
        </w:tc>
        <w:tc>
          <w:tcPr>
            <w:tcW w:w="64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Securities</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Total Offering Amount(3) </w:t>
            </w:r>
          </w:p>
        </w:tc>
        <w:tc>
          <w:tcPr>
            <w:tcW w:w="6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6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6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6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ind w:left="424" w:right="100" w:hanging="424"/>
        <w:spacing w:after="0" w:line="250" w:lineRule="auto"/>
        <w:tabs>
          <w:tab w:leader="none" w:pos="4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2"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the registrant is deferring payment of all registration fees and will pay the registration fees subsequently in advance or on a “pay-as-you-go” basis.</w:t>
      </w:r>
    </w:p>
    <w:p>
      <w:pPr>
        <w:ind w:left="424" w:hanging="424"/>
        <w:spacing w:after="0"/>
        <w:tabs>
          <w:tab w:leader="none" w:pos="4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registered hereunder may be sold separately or in a combination with other securities registered hereby.</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decimal"/>
      <w:start w:val="617"/>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
      <w:numFmt w:val="bullet"/>
      <w:start w:val="1"/>
    </w:lvl>
  </w:abstractNum>
  <w:abstractNum w:abstractNumId="36">
    <w:nsid w:val="94211F2"/>
    <w:multiLevelType w:val="hybridMultilevel"/>
    <w:lvl w:ilvl="0">
      <w:lvlJc w:val="left"/>
      <w:lvlText w:val=" "/>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1)"/>
      <w:numFmt w:val="lowerLetter"/>
      <w:start w:val="1"/>
    </w:lvl>
  </w:abstractNum>
  <w:abstractNum w:abstractNumId="39">
    <w:nsid w:val="4C04A8AF"/>
    <w:multiLevelType w:val="hybridMultilevel"/>
    <w:lvl w:ilvl="0">
      <w:lvlJc w:val="left"/>
      <w:lvlText w:val="(%1)"/>
      <w:numFmt w:val="decimal"/>
      <w:start w:val="1"/>
    </w:lvl>
    <w:lvl w:ilvl="1">
      <w:lvlJc w:val="left"/>
      <w:lvlText w:val="(%2)"/>
      <w:numFmt w:val="lowerRoman"/>
      <w:start w:val="1"/>
    </w:lvl>
  </w:abstractNum>
  <w:abstractNum w:abstractNumId="40">
    <w:nsid w:val="1716703B"/>
    <w:multiLevelType w:val="hybridMultilevel"/>
    <w:lvl w:ilvl="0">
      <w:lvlJc w:val="left"/>
      <w:lvlText w:val="(%1)"/>
      <w:numFmt w:val="lowerRoman"/>
      <w:start w:val="3"/>
    </w:lvl>
  </w:abstractNum>
  <w:abstractNum w:abstractNumId="41">
    <w:nsid w:val="14E17E33"/>
    <w:multiLevelType w:val="hybridMultilevel"/>
    <w:lvl w:ilvl="0">
      <w:lvlJc w:val="left"/>
      <w:lvlText w:val="(%1)"/>
      <w:numFmt w:val="decimal"/>
      <w:start w:val="2"/>
    </w:lvl>
    <w:lvl w:ilvl="1">
      <w:lvlJc w:val="left"/>
      <w:lvlText w:val="(%2)"/>
      <w:numFmt w:val="lowerRoman"/>
      <w:start w:val="1"/>
    </w:lvl>
  </w:abstractNum>
  <w:abstractNum w:abstractNumId="42">
    <w:nsid w:val="3222E7CD"/>
    <w:multiLevelType w:val="hybridMultilevel"/>
    <w:lvl w:ilvl="0">
      <w:lvlJc w:val="left"/>
      <w:lvlText w:val="(%1)"/>
      <w:numFmt w:val="lowerRoman"/>
      <w:start w:val="1"/>
    </w:lvl>
  </w:abstractNum>
  <w:abstractNum w:abstractNumId="43">
    <w:nsid w:val="74DE0EE3"/>
    <w:multiLevelType w:val="hybridMultilevel"/>
    <w:lvl w:ilvl="0">
      <w:lvlJc w:val="left"/>
      <w:lvlText w:val="%1"/>
      <w:numFmt w:val="decimal"/>
      <w:start w:val="1"/>
    </w:lvl>
    <w:lvl w:ilvl="1">
      <w:lvlJc w:val="left"/>
      <w:lvlText w:val="(%2)"/>
      <w:numFmt w:val="lowerRoman"/>
      <w:start w:val="4"/>
    </w:lvl>
  </w:abstractNum>
  <w:abstractNum w:abstractNumId="44">
    <w:nsid w:val="68EBC550"/>
    <w:multiLevelType w:val="hybridMultilevel"/>
    <w:lvl w:ilvl="0">
      <w:lvlJc w:val="left"/>
      <w:lvlText w:val="(%1)"/>
      <w:numFmt w:val="decimal"/>
      <w:start w:val="6"/>
    </w:lvl>
    <w:lvl w:ilvl="1">
      <w:lvlJc w:val="left"/>
      <w:lvlText w:val="%2"/>
      <w:numFmt w:val="lowerRoman"/>
      <w:start w:val="1"/>
    </w:lvl>
  </w:abstractNum>
  <w:abstractNum w:abstractNumId="45">
    <w:nsid w:val="2DF6D648"/>
    <w:multiLevelType w:val="hybridMultilevel"/>
    <w:lvl w:ilvl="0">
      <w:lvlJc w:val="left"/>
      <w:lvlText w:val="1"/>
      <w:numFmt w:val="bullet"/>
      <w:start w:val="1"/>
    </w:lvl>
  </w:abstractNum>
  <w:abstractNum w:abstractNumId="46">
    <w:nsid w:val="46B7D447"/>
    <w:multiLevelType w:val="hybridMultilevel"/>
    <w:lvl w:ilvl="0">
      <w:lvlJc w:val="left"/>
      <w:lvlText w:val="(%1)"/>
      <w:numFmt w:val="decimal"/>
      <w:start w:val="1"/>
    </w:lvl>
  </w:abstractNum>
  <w:abstractNum w:abstractNumId="47">
    <w:nsid w:val="4A2AC315"/>
    <w:multiLevelType w:val="hybridMultilevel"/>
    <w:lvl w:ilvl="0">
      <w:lvlJc w:val="left"/>
      <w:lvlText w:val="(%1)"/>
      <w:numFmt w:val="decimal"/>
      <w:start w:val="1"/>
    </w:lvl>
    <w:lvl w:ilvl="1">
      <w:lvlJc w:val="left"/>
      <w:lvlText w:val="(%2)"/>
      <w:numFmt w:val="lowerLetter"/>
      <w:start w:val="1"/>
    </w:lvl>
  </w:abstractNum>
  <w:abstractNum w:abstractNumId="48">
    <w:nsid w:val="39EE015C"/>
    <w:multiLevelType w:val="hybridMultilevel"/>
    <w:lvl w:ilvl="0">
      <w:lvlJc w:val="left"/>
      <w:lvlText w:val="(%1)"/>
      <w:numFmt w:val="lowerLetter"/>
      <w:start w:val="12"/>
    </w:lvl>
  </w:abstractNum>
  <w:abstractNum w:abstractNumId="49">
    <w:nsid w:val="57FC4FBB"/>
    <w:multiLevelType w:val="hybridMultilevel"/>
    <w:lvl w:ilvl="0">
      <w:lvlJc w:val="left"/>
      <w:lvlText w:val="(%1)"/>
      <w:numFmt w:val="decimal"/>
      <w:start w:val="1"/>
    </w:lvl>
  </w:abstractNum>
  <w:abstractNum w:abstractNumId="50">
    <w:nsid w:val="CC1016F"/>
    <w:multiLevelType w:val="hybridMultilevel"/>
    <w:lvl w:ilvl="0">
      <w:lvlJc w:val="left"/>
      <w:lvlText w:val="(%1)"/>
      <w:numFmt w:val="decimal"/>
      <w:start w:val="2"/>
    </w:lvl>
  </w:abstractNum>
  <w:abstractNum w:abstractNumId="51">
    <w:nsid w:val="43F18422"/>
    <w:multiLevelType w:val="hybridMultilevel"/>
    <w:lvl w:ilvl="0">
      <w:lvlJc w:val="left"/>
      <w:lvlText w:val="(%1)"/>
      <w:numFmt w:val="decimal"/>
      <w:start w:val="1"/>
    </w:lvl>
  </w:abstractNum>
  <w:abstractNum w:abstractNumId="52">
    <w:nsid w:val="60EF0119"/>
    <w:multiLevelType w:val="hybridMultilevel"/>
    <w:lvl w:ilvl="0">
      <w:lvlJc w:val="left"/>
      <w:lvlText w:val="(%1)"/>
      <w:numFmt w:val="decimal"/>
      <w:start w:val="3"/>
    </w:lvl>
  </w:abstractNum>
  <w:abstractNum w:abstractNumId="53">
    <w:nsid w:val="26F324BA"/>
    <w:multiLevelType w:val="hybridMultilevel"/>
    <w:lvl w:ilvl="0">
      <w:lvlJc w:val="left"/>
      <w:lvlText w:val="%1"/>
      <w:numFmt w:val="lowerRoman"/>
      <w:start w:val="1"/>
    </w:lvl>
    <w:lvl w:ilvl="1">
      <w:lvlJc w:val="left"/>
      <w:lvlText w:val="(%2)"/>
      <w:numFmt w:val="decimal"/>
      <w:start w:val="1"/>
    </w:lvl>
  </w:abstractNum>
  <w:abstractNum w:abstractNumId="54">
    <w:nsid w:val="7F01579B"/>
    <w:multiLevelType w:val="hybridMultilevel"/>
    <w:lvl w:ilvl="0">
      <w:lvlJc w:val="left"/>
      <w:lvlText w:val="(%1)"/>
      <w:numFmt w:val="lowerRoman"/>
      <w:start w:val="4"/>
    </w:lvl>
    <w:lvl w:ilvl="1">
      <w:lvlJc w:val="left"/>
      <w:lvlText w:val="(%2)"/>
      <w:numFmt w:val="decimal"/>
      <w:start w:val="2"/>
    </w:lvl>
  </w:abstractNum>
  <w:abstractNum w:abstractNumId="55">
    <w:nsid w:val="49DA307D"/>
    <w:multiLevelType w:val="hybridMultilevel"/>
    <w:lvl w:ilvl="0">
      <w:lvlJc w:val="left"/>
      <w:lvlText w:val="(%1)"/>
      <w:numFmt w:val="decimal"/>
      <w:start w:val="1"/>
    </w:lvl>
  </w:abstractNum>
  <w:abstractNum w:abstractNumId="56">
    <w:nsid w:val="7055A5F5"/>
    <w:multiLevelType w:val="hybridMultilevel"/>
    <w:lvl w:ilvl="0">
      <w:lvlJc w:val="left"/>
      <w:lvlText w:val="(%1)"/>
      <w:numFmt w:val="decimal"/>
      <w:start w:val="2"/>
    </w:lvl>
  </w:abstractNum>
  <w:abstractNum w:abstractNumId="57">
    <w:nsid w:val="5FB8370B"/>
    <w:multiLevelType w:val="hybridMultilevel"/>
    <w:lvl w:ilvl="0">
      <w:lvlJc w:val="left"/>
      <w:lvlText w:val="(%1)"/>
      <w:numFmt w:val="decimal"/>
      <w:start w:val="1"/>
    </w:lvl>
  </w:abstractNum>
  <w:abstractNum w:abstractNumId="58">
    <w:nsid w:val="50801EE1"/>
    <w:multiLevelType w:val="hybridMultilevel"/>
    <w:lvl w:ilvl="0">
      <w:lvlJc w:val="left"/>
      <w:lvlText w:val="(%1)"/>
      <w:numFmt w:val="decimal"/>
      <w:start w:val="1"/>
    </w:lvl>
    <w:lvl w:ilvl="1">
      <w:lvlJc w:val="left"/>
      <w:lvlText w:val="(%2)"/>
      <w:numFmt w:val="lowerLetter"/>
      <w:start w:val="1"/>
    </w:lvl>
  </w:abstractNum>
  <w:abstractNum w:abstractNumId="59">
    <w:nsid w:val="488AC1A"/>
    <w:multiLevelType w:val="hybridMultilevel"/>
    <w:lvl w:ilvl="0">
      <w:lvlJc w:val="left"/>
      <w:lvlText w:val="(%1)"/>
      <w:numFmt w:val="lowerLetter"/>
      <w:start w:val="1"/>
    </w:lvl>
  </w:abstractNum>
  <w:abstractNum w:abstractNumId="60">
    <w:nsid w:val="5FB8011C"/>
    <w:multiLevelType w:val="hybridMultilevel"/>
    <w:lvl w:ilvl="0">
      <w:lvlJc w:val="left"/>
      <w:lvlText w:val="(%1)"/>
      <w:numFmt w:val="decimal"/>
      <w:start w:val="1"/>
    </w:lvl>
  </w:abstractNum>
  <w:abstractNum w:abstractNumId="61">
    <w:nsid w:val="6AA78F7F"/>
    <w:multiLevelType w:val="hybridMultilevel"/>
    <w:lvl w:ilvl="0">
      <w:lvlJc w:val="left"/>
      <w:lvlText w:val="(%1)"/>
      <w:numFmt w:val="decimal"/>
      <w:start w:val="1"/>
    </w:lvl>
  </w:abstractNum>
  <w:abstractNum w:abstractNumId="62">
    <w:nsid w:val="7672BD23"/>
    <w:multiLevelType w:val="hybridMultilevel"/>
    <w:lvl w:ilvl="0">
      <w:lvlJc w:val="left"/>
      <w:lvlText w:val="%1"/>
      <w:numFmt w:val="decimal"/>
      <w:start w:val="1"/>
    </w:lvl>
    <w:lvl w:ilvl="1">
      <w:lvlJc w:val="left"/>
      <w:lvlText w:val="(%2)"/>
      <w:numFmt w:val="decimal"/>
      <w:start w:val="1"/>
    </w:lvl>
  </w:abstractNum>
  <w:abstractNum w:abstractNumId="63">
    <w:nsid w:val="6FC75AF8"/>
    <w:multiLevelType w:val="hybridMultilevel"/>
    <w:lvl w:ilvl="0">
      <w:lvlJc w:val="left"/>
      <w:lvlText w:val="(%1)"/>
      <w:numFmt w:val="decimal"/>
      <w:start w:val="3"/>
    </w:lvl>
    <w:lvl w:ilvl="1">
      <w:lvlJc w:val="left"/>
      <w:lvlText w:val="%2"/>
      <w:numFmt w:val="decimal"/>
      <w:start w:val="1"/>
    </w:lvl>
  </w:abstractNum>
  <w:abstractNum w:abstractNumId="64">
    <w:nsid w:val="6A5F702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5">
    <w:nsid w:val="7D5E18F8"/>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5"/>
    </w:lvl>
  </w:abstractNum>
  <w:abstractNum w:abstractNumId="66">
    <w:nsid w:val="5F3534A4"/>
    <w:multiLevelType w:val="hybridMultilevel"/>
    <w:lvl w:ilvl="0">
      <w:lvlJc w:val="left"/>
      <w:lvlText w:val="(%1)"/>
      <w:numFmt w:val="decimal"/>
      <w:start w:val="4"/>
    </w:lvl>
  </w:abstractNum>
  <w:abstractNum w:abstractNumId="67">
    <w:nsid w:val="73A1821B"/>
    <w:multiLevelType w:val="hybridMultilevel"/>
    <w:lvl w:ilvl="0">
      <w:lvlJc w:val="left"/>
      <w:lvlText w:val="(%1)"/>
      <w:numFmt w:val="decimal"/>
      <w:start w:val="1"/>
    </w:lvl>
  </w:abstractNum>
  <w:abstractNum w:abstractNumId="68">
    <w:nsid w:val="7DE67713"/>
    <w:multiLevelType w:val="hybridMultilevel"/>
    <w:lvl w:ilvl="0">
      <w:lvlJc w:val="left"/>
      <w:lvlText w:val="(%1)"/>
      <w:numFmt w:val="decimal"/>
      <w:start w:val="1"/>
    </w:lvl>
  </w:abstractNum>
  <w:abstractNum w:abstractNumId="69">
    <w:nsid w:val="555C55B5"/>
    <w:multiLevelType w:val="hybridMultilevel"/>
    <w:lvl w:ilvl="0">
      <w:lvlJc w:val="left"/>
      <w:lvlText w:val="(%1)"/>
      <w:numFmt w:val="decimal"/>
      <w:start w:val="1"/>
    </w:lvl>
  </w:abstractNum>
  <w:abstractNum w:abstractNumId="70">
    <w:nsid w:val="3FA62ACA"/>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71">
    <w:nsid w:val="14FCE74E"/>
    <w:multiLevelType w:val="hybridMultilevel"/>
    <w:lvl w:ilvl="0">
      <w:lvlJc w:val="left"/>
      <w:lvlText w:val="(%1)"/>
      <w:numFmt w:val="decimal"/>
      <w:start w:val="1"/>
    </w:lvl>
  </w:abstractNum>
  <w:abstractNum w:abstractNumId="72">
    <w:nsid w:val="6A3DD3E8"/>
    <w:multiLevelType w:val="hybridMultilevel"/>
    <w:lvl w:ilvl="0">
      <w:lvlJc w:val="left"/>
      <w:lvlText w:val="(%1)"/>
      <w:numFmt w:val="decimal"/>
      <w:start w:val="5"/>
    </w:lvl>
  </w:abstractNum>
  <w:abstractNum w:abstractNumId="73">
    <w:nsid w:val="71C91298"/>
    <w:multiLevelType w:val="hybridMultilevel"/>
    <w:lvl w:ilvl="0">
      <w:lvlJc w:val="left"/>
      <w:lvlText w:val="(%1)"/>
      <w:numFmt w:val="decimal"/>
      <w:start w:val="1"/>
    </w:lvl>
  </w:abstractNum>
  <w:abstractNum w:abstractNumId="74">
    <w:nsid w:val="9DAF632"/>
    <w:multiLevelType w:val="hybridMultilevel"/>
    <w:lvl w:ilvl="0">
      <w:lvlJc w:val="left"/>
      <w:lvlText w:val="(%1)"/>
      <w:numFmt w:val="decimal"/>
      <w:start w:val="1"/>
    </w:lvl>
  </w:abstractNum>
  <w:abstractNum w:abstractNumId="75">
    <w:nsid w:val="53299938"/>
    <w:multiLevelType w:val="hybridMultilevel"/>
    <w:lvl w:ilvl="0">
      <w:lvlJc w:val="left"/>
      <w:lvlText w:val="(%1)"/>
      <w:numFmt w:val="decimal"/>
      <w:start w:val="1"/>
    </w:lvl>
    <w:lvl w:ilvl="1">
      <w:lvlJc w:val="left"/>
      <w:lvlText w:val="(%2)"/>
      <w:numFmt w:val="lowerLetter"/>
      <w:start w:val="1"/>
    </w:lvl>
  </w:abstractNum>
  <w:abstractNum w:abstractNumId="76">
    <w:nsid w:val="1FBFE8E0"/>
    <w:multiLevelType w:val="hybridMultilevel"/>
    <w:lvl w:ilvl="0">
      <w:lvlJc w:val="left"/>
      <w:lvlText w:val="(%1)"/>
      <w:numFmt w:val="decimal"/>
      <w:start w:val="4"/>
    </w:lvl>
  </w:abstractNum>
  <w:abstractNum w:abstractNumId="77">
    <w:nsid w:val="5092CA79"/>
    <w:multiLevelType w:val="hybridMultilevel"/>
    <w:lvl w:ilvl="0">
      <w:lvlJc w:val="left"/>
      <w:lvlText w:val="(%1)"/>
      <w:numFmt w:val="decimal"/>
      <w:start w:val="1"/>
    </w:lvl>
  </w:abstractNum>
  <w:abstractNum w:abstractNumId="78">
    <w:nsid w:val="1D545C4D"/>
    <w:multiLevelType w:val="hybridMultilevel"/>
    <w:lvl w:ilvl="0">
      <w:lvlJc w:val="left"/>
      <w:lvlText w:val="(%1)"/>
      <w:numFmt w:val="decimal"/>
      <w:start w:val="1"/>
    </w:lvl>
  </w:abstractNum>
  <w:abstractNum w:abstractNumId="79">
    <w:nsid w:val="59ADEA3D"/>
    <w:multiLevelType w:val="hybridMultilevel"/>
    <w:lvl w:ilvl="0">
      <w:lvlJc w:val="left"/>
      <w:lvlText w:val="(%1)"/>
      <w:numFmt w:val="decimal"/>
      <w:start w:val="2"/>
    </w:lvl>
  </w:abstractNum>
  <w:abstractNum w:abstractNumId="80">
    <w:nsid w:val="288F1A34"/>
    <w:multiLevelType w:val="hybridMultilevel"/>
    <w:lvl w:ilvl="0">
      <w:lvlJc w:val="left"/>
      <w:lvlText w:val="(%1)"/>
      <w:numFmt w:val="decimal"/>
      <w:start w:val="1"/>
    </w:lvl>
  </w:abstractNum>
  <w:abstractNum w:abstractNumId="81">
    <w:nsid w:val="2A155DBC"/>
    <w:multiLevelType w:val="hybridMultilevel"/>
    <w:lvl w:ilvl="0">
      <w:lvlJc w:val="left"/>
      <w:lvlText w:val="(%1)"/>
      <w:numFmt w:val="decimal"/>
      <w:start w:val="4"/>
    </w:lvl>
  </w:abstractNum>
  <w:abstractNum w:abstractNumId="82">
    <w:nsid w:val="1D9F6E5F"/>
    <w:multiLevelType w:val="hybridMultilevel"/>
    <w:lvl w:ilvl="0">
      <w:lvlJc w:val="left"/>
      <w:lvlText w:val="(%1)"/>
      <w:numFmt w:val="decimal"/>
      <w:start w:val="1"/>
    </w:lvl>
  </w:abstractNum>
  <w:abstractNum w:abstractNumId="83">
    <w:nsid w:val="97E1B4E"/>
    <w:multiLevelType w:val="hybridMultilevel"/>
    <w:lvl w:ilvl="0">
      <w:lvlJc w:val="left"/>
      <w:lvlText w:val="(%1)"/>
      <w:numFmt w:val="decimal"/>
      <w:start w:val="2"/>
    </w:lvl>
  </w:abstractNum>
  <w:abstractNum w:abstractNumId="84">
    <w:nsid w:val="51088277"/>
    <w:multiLevelType w:val="hybridMultilevel"/>
    <w:lvl w:ilvl="0">
      <w:lvlJc w:val="left"/>
      <w:lvlText w:val="(%1)"/>
      <w:numFmt w:val="decimal"/>
      <w:start w:val="1"/>
    </w:lvl>
  </w:abstractNum>
  <w:abstractNum w:abstractNumId="85">
    <w:nsid w:val="1CA0C5FA"/>
    <w:multiLevelType w:val="hybridMultilevel"/>
    <w:lvl w:ilvl="0">
      <w:lvlJc w:val="left"/>
      <w:lvlText w:val="2"/>
      <w:numFmt w:val="bullet"/>
      <w:start w:val="1"/>
    </w:lvl>
  </w:abstractNum>
  <w:abstractNum w:abstractNumId="86">
    <w:nsid w:val="53584BCB"/>
    <w:multiLevelType w:val="hybridMultilevel"/>
    <w:lvl w:ilvl="0">
      <w:lvlJc w:val="left"/>
      <w:lvlText w:val="1"/>
      <w:numFmt w:val="bullet"/>
      <w:start w:val="1"/>
    </w:lvl>
  </w:abstractNum>
  <w:abstractNum w:abstractNumId="87">
    <w:nsid w:val="415E286C"/>
    <w:multiLevelType w:val="hybridMultilevel"/>
    <w:lvl w:ilvl="0">
      <w:lvlJc w:val="left"/>
      <w:lvlText w:val="(%1)"/>
      <w:numFmt w:val="decimal"/>
      <w:start w:val="1"/>
    </w:lvl>
  </w:abstractNum>
  <w:abstractNum w:abstractNumId="88">
    <w:nsid w:val="7C58FD05"/>
    <w:multiLevelType w:val="hybridMultilevel"/>
    <w:lvl w:ilvl="0">
      <w:lvlJc w:val="left"/>
      <w:lvlText w:val="(%1)"/>
      <w:numFmt w:val="decimal"/>
      <w:start w:val="1"/>
    </w:lvl>
    <w:lvl w:ilvl="1">
      <w:lvlJc w:val="left"/>
      <w:lvlText w:val="(%2)"/>
      <w:numFmt w:val="lowerLetter"/>
      <w:start w:val="1"/>
    </w:lvl>
  </w:abstractNum>
  <w:abstractNum w:abstractNumId="89">
    <w:nsid w:val="23D86AAC"/>
    <w:multiLevelType w:val="hybridMultilevel"/>
    <w:lvl w:ilvl="0">
      <w:lvlJc w:val="left"/>
      <w:lvlText w:val="(%1)"/>
      <w:numFmt w:val="lowerLetter"/>
      <w:start w:val="12"/>
    </w:lvl>
  </w:abstractNum>
  <w:abstractNum w:abstractNumId="90">
    <w:nsid w:val="45E6D486"/>
    <w:multiLevelType w:val="hybridMultilevel"/>
    <w:lvl w:ilvl="0">
      <w:lvlJc w:val="left"/>
      <w:lvlText w:val="(%1)"/>
      <w:numFmt w:val="decimal"/>
      <w:start w:val="1"/>
    </w:lvl>
  </w:abstractNum>
  <w:abstractNum w:abstractNumId="91">
    <w:nsid w:val="5C10FE21"/>
    <w:multiLevelType w:val="hybridMultilevel"/>
    <w:lvl w:ilvl="0">
      <w:lvlJc w:val="left"/>
      <w:lvlText w:val="(%1)"/>
      <w:numFmt w:val="decimal"/>
      <w:start w:val="2"/>
    </w:lvl>
  </w:abstractNum>
  <w:abstractNum w:abstractNumId="92">
    <w:nsid w:val="E7FFA2B"/>
    <w:multiLevelType w:val="hybridMultilevel"/>
    <w:lvl w:ilvl="0">
      <w:lvlJc w:val="left"/>
      <w:lvlText w:val="(%1)"/>
      <w:numFmt w:val="decimal"/>
      <w:start w:val="1"/>
    </w:lvl>
  </w:abstractNum>
  <w:abstractNum w:abstractNumId="93">
    <w:nsid w:val="3C5991AA"/>
    <w:multiLevelType w:val="hybridMultilevel"/>
    <w:lvl w:ilvl="0">
      <w:lvlJc w:val="left"/>
      <w:lvlText w:val="(%1)"/>
      <w:numFmt w:val="decimal"/>
      <w:start w:val="3"/>
    </w:lvl>
  </w:abstractNum>
  <w:abstractNum w:abstractNumId="94">
    <w:nsid w:val="4BD8591A"/>
    <w:multiLevelType w:val="hybridMultilevel"/>
    <w:lvl w:ilvl="0">
      <w:lvlJc w:val="left"/>
      <w:lvlText w:val="%1"/>
      <w:numFmt w:val="lowerRoman"/>
      <w:start w:val="1"/>
    </w:lvl>
    <w:lvl w:ilvl="1">
      <w:lvlJc w:val="left"/>
      <w:lvlText w:val="(%2)"/>
      <w:numFmt w:val="decimal"/>
      <w:start w:val="1"/>
    </w:lvl>
  </w:abstractNum>
  <w:abstractNum w:abstractNumId="95">
    <w:nsid w:val="78DF6A55"/>
    <w:multiLevelType w:val="hybridMultilevel"/>
    <w:lvl w:ilvl="0">
      <w:lvlJc w:val="left"/>
      <w:lvlText w:val="(%1)"/>
      <w:numFmt w:val="lowerRoman"/>
      <w:start w:val="4"/>
    </w:lvl>
    <w:lvl w:ilvl="1">
      <w:lvlJc w:val="left"/>
      <w:lvlText w:val="(%2)"/>
      <w:numFmt w:val="decimal"/>
      <w:start w:val="2"/>
    </w:lvl>
  </w:abstractNum>
  <w:abstractNum w:abstractNumId="96">
    <w:nsid w:val="39B7AAA2"/>
    <w:multiLevelType w:val="hybridMultilevel"/>
    <w:lvl w:ilvl="0">
      <w:lvlJc w:val="left"/>
      <w:lvlText w:val="(%1)"/>
      <w:numFmt w:val="decimal"/>
      <w:start w:val="1"/>
    </w:lvl>
  </w:abstractNum>
  <w:abstractNum w:abstractNumId="97">
    <w:nsid w:val="2B0D8DBE"/>
    <w:multiLevelType w:val="hybridMultilevel"/>
    <w:lvl w:ilvl="0">
      <w:lvlJc w:val="left"/>
      <w:lvlText w:val="(%1)"/>
      <w:numFmt w:val="decimal"/>
      <w:start w:val="2"/>
    </w:lvl>
  </w:abstractNum>
  <w:abstractNum w:abstractNumId="98">
    <w:nsid w:val="6C80EC70"/>
    <w:multiLevelType w:val="hybridMultilevel"/>
    <w:lvl w:ilvl="0">
      <w:lvlJc w:val="left"/>
      <w:lvlText w:val="(%1)"/>
      <w:numFmt w:val="decimal"/>
      <w:start w:val="1"/>
    </w:lvl>
  </w:abstractNum>
  <w:abstractNum w:abstractNumId="99">
    <w:nsid w:val="379E21B5"/>
    <w:multiLevelType w:val="hybridMultilevel"/>
    <w:lvl w:ilvl="0">
      <w:lvlJc w:val="left"/>
      <w:lvlText w:val="(%1)"/>
      <w:numFmt w:val="lowerRoman"/>
      <w:start w:val="2"/>
    </w:lvl>
  </w:abstractNum>
  <w:abstractNum w:abstractNumId="100">
    <w:nsid w:val="69E373"/>
    <w:multiLevelType w:val="hybridMultilevel"/>
    <w:lvl w:ilvl="0">
      <w:lvlJc w:val="left"/>
      <w:lvlText w:val="(%1)"/>
      <w:numFmt w:val="decimal"/>
      <w:start w:val="1"/>
    </w:lvl>
    <w:lvl w:ilvl="1">
      <w:lvlJc w:val="left"/>
      <w:lvlText w:val="(%2)"/>
      <w:numFmt w:val="lowerLetter"/>
      <w:start w:val="1"/>
    </w:lvl>
  </w:abstractNum>
  <w:abstractNum w:abstractNumId="101">
    <w:nsid w:val="2C27173B"/>
    <w:multiLevelType w:val="hybridMultilevel"/>
    <w:lvl w:ilvl="0">
      <w:lvlJc w:val="left"/>
      <w:lvlText w:val="(%1)"/>
      <w:numFmt w:val="decimal"/>
      <w:start w:val="3"/>
    </w:lvl>
  </w:abstractNum>
  <w:abstractNum w:abstractNumId="102">
    <w:nsid w:val="4C9B0904"/>
    <w:multiLevelType w:val="hybridMultilevel"/>
    <w:lvl w:ilvl="0">
      <w:lvlJc w:val="left"/>
      <w:lvlText w:val="(%1)"/>
      <w:numFmt w:val="decimal"/>
      <w:start w:val="1"/>
    </w:lvl>
  </w:abstractNum>
  <w:abstractNum w:abstractNumId="103">
    <w:nsid w:val="6AA7B75C"/>
    <w:multiLevelType w:val="hybridMultilevel"/>
    <w:lvl w:ilvl="0">
      <w:lvlJc w:val="left"/>
      <w:lvlText w:val="(%1)"/>
      <w:numFmt w:val="decimal"/>
      <w:start w:val="1"/>
    </w:lvl>
  </w:abstractNum>
  <w:abstractNum w:abstractNumId="104">
    <w:nsid w:val="1DF029D3"/>
    <w:multiLevelType w:val="hybridMultilevel"/>
    <w:lvl w:ilvl="0">
      <w:lvlJc w:val="left"/>
      <w:lvlText w:val="(%1)"/>
      <w:numFmt w:val="decimal"/>
      <w:start w:val="1"/>
    </w:lvl>
  </w:abstractNum>
  <w:abstractNum w:abstractNumId="105">
    <w:nsid w:val="5675FF36"/>
    <w:multiLevelType w:val="hybridMultilevel"/>
    <w:lvl w:ilvl="0">
      <w:lvlJc w:val="left"/>
      <w:lvlText w:val="(%1)"/>
      <w:numFmt w:val="decimal"/>
      <w:start w:val="1"/>
    </w:lvl>
    <w:lvl w:ilvl="1">
      <w:lvlJc w:val="left"/>
      <w:lvlText w:val="(%2)"/>
      <w:numFmt w:val="lowerLetter"/>
      <w:start w:val="1"/>
    </w:lvl>
  </w:abstractNum>
  <w:abstractNum w:abstractNumId="106">
    <w:nsid w:val="3DD1509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107">
    <w:nsid w:val="3DB012B3"/>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5"/>
    </w:lvl>
  </w:abstractNum>
  <w:abstractNum w:abstractNumId="108">
    <w:nsid w:val="2708C9AF"/>
    <w:multiLevelType w:val="hybridMultilevel"/>
    <w:lvl w:ilvl="0">
      <w:lvlJc w:val="left"/>
      <w:lvlText w:val="(%1)"/>
      <w:numFmt w:val="decimal"/>
      <w:start w:val="4"/>
    </w:lvl>
  </w:abstractNum>
  <w:abstractNum w:abstractNumId="109">
    <w:nsid w:val="5B25ACE2"/>
    <w:multiLevelType w:val="hybridMultilevel"/>
    <w:lvl w:ilvl="0">
      <w:lvlJc w:val="left"/>
      <w:lvlText w:val="(%1)"/>
      <w:numFmt w:val="decimal"/>
      <w:start w:val="1"/>
    </w:lvl>
  </w:abstractNum>
  <w:abstractNum w:abstractNumId="110">
    <w:nsid w:val="175DFCF0"/>
    <w:multiLevelType w:val="hybridMultilevel"/>
    <w:lvl w:ilvl="0">
      <w:lvlJc w:val="left"/>
      <w:lvlText w:val="(%1)"/>
      <w:numFmt w:val="decimal"/>
      <w:start w:val="2"/>
    </w:lvl>
  </w:abstractNum>
  <w:abstractNum w:abstractNumId="111">
    <w:nsid w:val="4F97E3E4"/>
    <w:multiLevelType w:val="hybridMultilevel"/>
    <w:lvl w:ilvl="0">
      <w:lvlJc w:val="left"/>
      <w:lvlText w:val="(%1)"/>
      <w:numFmt w:val="decimal"/>
      <w:start w:val="1"/>
    </w:lvl>
  </w:abstractNum>
  <w:abstractNum w:abstractNumId="112">
    <w:nsid w:val="53B0A9E"/>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13">
    <w:nsid w:val="34FD6B4F"/>
    <w:multiLevelType w:val="hybridMultilevel"/>
    <w:lvl w:ilvl="0">
      <w:lvlJc w:val="left"/>
      <w:lvlText w:val="(%1)"/>
      <w:numFmt w:val="lowerLetter"/>
      <w:start w:val="2"/>
    </w:lvl>
  </w:abstractNum>
  <w:abstractNum w:abstractNumId="114">
    <w:nsid w:val="5915FF32"/>
    <w:multiLevelType w:val="hybridMultilevel"/>
    <w:lvl w:ilvl="0">
      <w:lvlJc w:val="left"/>
      <w:lvlText w:val="(%1)"/>
      <w:numFmt w:val="decimal"/>
      <w:start w:val="1"/>
    </w:lvl>
  </w:abstractNum>
  <w:abstractNum w:abstractNumId="115">
    <w:nsid w:val="56438D15"/>
    <w:multiLevelType w:val="hybridMultilevel"/>
    <w:lvl w:ilvl="0">
      <w:lvlJc w:val="left"/>
      <w:lvlText w:val="(%1)"/>
      <w:numFmt w:val="decimal"/>
      <w:start w:val="7"/>
    </w:lvl>
  </w:abstractNum>
  <w:abstractNum w:abstractNumId="116">
    <w:nsid w:val="519E3149"/>
    <w:multiLevelType w:val="hybridMultilevel"/>
    <w:lvl w:ilvl="0">
      <w:lvlJc w:val="left"/>
      <w:lvlText w:val="(%1)"/>
      <w:numFmt w:val="decimal"/>
      <w:start w:val="1"/>
    </w:lvl>
  </w:abstractNum>
  <w:abstractNum w:abstractNumId="117">
    <w:nsid w:val="2C6E4AFD"/>
    <w:multiLevelType w:val="hybridMultilevel"/>
    <w:lvl w:ilvl="0">
      <w:lvlJc w:val="left"/>
      <w:lvlText w:val="(%1)"/>
      <w:numFmt w:val="decimal"/>
      <w:start w:val="1"/>
    </w:lvl>
  </w:abstractNum>
  <w:abstractNum w:abstractNumId="118">
    <w:nsid w:val="17A1B582"/>
    <w:multiLevelType w:val="hybridMultilevel"/>
    <w:lvl w:ilvl="0">
      <w:lvlJc w:val="left"/>
      <w:lvlText w:val="(%1)"/>
      <w:numFmt w:val="decimal"/>
      <w:start w:val="1"/>
    </w:lvl>
    <w:lvl w:ilvl="1">
      <w:lvlJc w:val="left"/>
      <w:lvlText w:val="(%2)"/>
      <w:numFmt w:val="lowerLetter"/>
      <w:start w:val="1"/>
    </w:lvl>
  </w:abstractNum>
  <w:abstractNum w:abstractNumId="119">
    <w:nsid w:val="4DF72E4E"/>
    <w:multiLevelType w:val="hybridMultilevel"/>
    <w:lvl w:ilvl="0">
      <w:lvlJc w:val="left"/>
      <w:lvlText w:val="(%1)"/>
      <w:numFmt w:val="decimal"/>
      <w:start w:val="3"/>
    </w:lvl>
  </w:abstractNum>
  <w:abstractNum w:abstractNumId="120">
    <w:nsid w:val="5046B5A9"/>
    <w:multiLevelType w:val="hybridMultilevel"/>
    <w:lvl w:ilvl="0">
      <w:lvlJc w:val="left"/>
      <w:lvlText w:val="(%1)"/>
      <w:numFmt w:val="decimal"/>
      <w:start w:val="5"/>
    </w:lvl>
  </w:abstractNum>
  <w:abstractNum w:abstractNumId="121">
    <w:nsid w:val="5D888A08"/>
    <w:multiLevelType w:val="hybridMultilevel"/>
    <w:lvl w:ilvl="0">
      <w:lvlJc w:val="left"/>
      <w:lvlText w:val="(%1)"/>
      <w:numFmt w:val="decimal"/>
      <w:start w:val="1"/>
    </w:lvl>
  </w:abstractNum>
  <w:abstractNum w:abstractNumId="122">
    <w:nsid w:val="2A082C70"/>
    <w:multiLevelType w:val="hybridMultilevel"/>
    <w:lvl w:ilvl="0">
      <w:lvlJc w:val="left"/>
      <w:lvlText w:val="(%1)"/>
      <w:numFmt w:val="decimal"/>
      <w:start w:val="1"/>
    </w:lvl>
  </w:abstractNum>
  <w:abstractNum w:abstractNumId="123">
    <w:nsid w:val="5EC6AFD4"/>
    <w:multiLevelType w:val="hybridMultilevel"/>
    <w:lvl w:ilvl="0">
      <w:lvlJc w:val="left"/>
      <w:lvlText w:val="(%1)"/>
      <w:numFmt w:val="decimal"/>
      <w:start w:val="2"/>
    </w:lvl>
  </w:abstractNum>
  <w:abstractNum w:abstractNumId="124">
    <w:nsid w:val="19E21BB2"/>
    <w:multiLevelType w:val="hybridMultilevel"/>
    <w:lvl w:ilvl="0">
      <w:lvlJc w:val="left"/>
      <w:lvlText w:val="(%1)"/>
      <w:numFmt w:val="decimal"/>
      <w:start w:val="1"/>
    </w:lvl>
  </w:abstractNum>
  <w:abstractNum w:abstractNumId="125">
    <w:nsid w:val="75E0858A"/>
    <w:multiLevelType w:val="hybridMultilevel"/>
    <w:lvl w:ilvl="0">
      <w:lvlJc w:val="left"/>
      <w:lvlText w:val="(%1)"/>
      <w:numFmt w:val="decimal"/>
      <w:start w:val="2"/>
    </w:lvl>
  </w:abstractNum>
  <w:abstractNum w:abstractNumId="126">
    <w:nsid w:val="57A61A29"/>
    <w:multiLevelType w:val="hybridMultilevel"/>
    <w:lvl w:ilvl="0">
      <w:lvlJc w:val="left"/>
      <w:lvlText w:val="(%1)"/>
      <w:numFmt w:val="lowerLetter"/>
      <w:start w:val="2"/>
    </w:lvl>
  </w:abstractNum>
  <w:abstractNum w:abstractNumId="127">
    <w:nsid w:val="5399C654"/>
    <w:multiLevelType w:val="hybridMultilevel"/>
    <w:lvl w:ilvl="0">
      <w:lvlJc w:val="left"/>
      <w:lvlText w:val="(%1)"/>
      <w:numFmt w:val="decimal"/>
      <w:start w:val="1"/>
    </w:lvl>
  </w:abstractNum>
  <w:abstractNum w:abstractNumId="128">
    <w:nsid w:val="20EE1348"/>
    <w:multiLevelType w:val="hybridMultilevel"/>
    <w:lvl w:ilvl="0">
      <w:lvlJc w:val="left"/>
      <w:lvlText w:val="(%1)"/>
      <w:numFmt w:val="decimal"/>
      <w:start w:val="1"/>
    </w:lvl>
  </w:abstractNum>
  <w:abstractNum w:abstractNumId="129">
    <w:nsid w:val="4427069A"/>
    <w:multiLevelType w:val="hybridMultilevel"/>
    <w:lvl w:ilvl="0">
      <w:lvlJc w:val="left"/>
      <w:lvlText w:val="(%1)"/>
      <w:numFmt w:val="decimal"/>
      <w:start w:val="2"/>
    </w:lvl>
  </w:abstractNum>
  <w:abstractNum w:abstractNumId="130">
    <w:nsid w:val="B37E80A"/>
    <w:multiLevelType w:val="hybridMultilevel"/>
    <w:lvl w:ilvl="0">
      <w:lvlJc w:val="left"/>
      <w:lvlText w:val="2"/>
      <w:numFmt w:val="bullet"/>
      <w:start w:val="1"/>
    </w:lvl>
  </w:abstractNum>
  <w:abstractNum w:abstractNumId="131">
    <w:nsid w:val="2157F6BC"/>
    <w:multiLevelType w:val="hybridMultilevel"/>
    <w:lvl w:ilvl="0">
      <w:lvlJc w:val="left"/>
      <w:lvlText w:val="•"/>
      <w:numFmt w:val="bullet"/>
      <w:start w:val="1"/>
    </w:lvl>
  </w:abstractNum>
  <w:abstractNum w:abstractNumId="132">
    <w:nsid w:val="704E1DD5"/>
    <w:multiLevelType w:val="hybridMultilevel"/>
    <w:lvl w:ilvl="0">
      <w:lvlJc w:val="left"/>
      <w:lvlText w:val="%1."/>
      <w:numFmt w:val="decimal"/>
      <w:start w:val="1"/>
    </w:lvl>
  </w:abstractNum>
  <w:abstractNum w:abstractNumId="133">
    <w:nsid w:val="57D2F10E"/>
    <w:multiLevelType w:val="hybridMultilevel"/>
    <w:lvl w:ilvl="0">
      <w:lvlJc w:val="left"/>
      <w:lvlText w:val="%1."/>
      <w:numFmt w:val="decimal"/>
      <w:start w:val="4"/>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jpe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5"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26" Type="http://schemas.openxmlformats.org/officeDocument/2006/relationships/hyperlink" Target="http://www.sec.gov/ix?doc=/Archives/edgar/data/0001816736/000095017024034432/iron-20231231.htm" TargetMode="External"/><Relationship Id="rId27" Type="http://schemas.openxmlformats.org/officeDocument/2006/relationships/hyperlink" Target="http://www.sec.gov/ix?doc=/Archives/edgar/data/1816736/000095017024093357/iron-20240630.htm" TargetMode="External"/><Relationship Id="rId28" Type="http://schemas.openxmlformats.org/officeDocument/2006/relationships/hyperlink" Target="http://www.sec.gov/ix?doc=/Archives/edgar/data/0001816736/000119312524025951/d758257d8k.htm" TargetMode="External"/><Relationship Id="rId29" Type="http://schemas.openxmlformats.org/officeDocument/2006/relationships/hyperlink" Target="http://www.sec.gov/ix?doc=/Archives/edgar/data/0001816736/000119312524084937/d815786d8k.htm" TargetMode="External"/><Relationship Id="rId30" Type="http://schemas.openxmlformats.org/officeDocument/2006/relationships/hyperlink" Target="http://www.sec.gov/ix?doc=/Archives/edgar/data/0001816736/000119312524161170/d826950d8k.htm" TargetMode="External"/><Relationship Id="rId31" Type="http://schemas.openxmlformats.org/officeDocument/2006/relationships/hyperlink" Target="http://www.sec.gov/ix?doc=/Archives/edgar/data/0001816736/000119312524161587/d828009d8k.htm" TargetMode="External"/><Relationship Id="rId32" Type="http://schemas.openxmlformats.org/officeDocument/2006/relationships/hyperlink" Target="http://www.sec.gov/ix?doc=/Archives/edgar/data/0001816736/000119312524161603/d829753d8k.htm" TargetMode="External"/><Relationship Id="rId33" Type="http://schemas.openxmlformats.org/officeDocument/2006/relationships/hyperlink" Target="http://www.sec.gov/Archives/edgar/data/1816736/000121390020021145/ea125295-8a12b_fsdevelop.htm" TargetMode="External"/><Relationship Id="rId34" Type="http://schemas.openxmlformats.org/officeDocument/2006/relationships/hyperlink" Target="http://www.sec.gov/Archives/edgar/data/1816736/000095017022003288/gmtx-ex4_4.htm" TargetMode="External"/><Relationship Id="rId35" Type="http://schemas.openxmlformats.org/officeDocument/2006/relationships/hyperlink" Target="http://www.sec.gov/ix?doc=/Archives/edgar/data/1816736/000095017022003288/gmtx-20211231.htm" TargetMode="External"/><Relationship Id="rId36" Type="http://schemas.openxmlformats.org/officeDocument/2006/relationships/hyperlink" Target="http://www.sec.gov/Archives/edgar/data/1816736/000114036122043943/ny20005172x8_s4a.htm" TargetMode="External"/><Relationship Id="rId80" Type="http://schemas.openxmlformats.org/officeDocument/2006/relationships/hyperlink" Target="http://www.sec.gov/Archives/edgar/data/1816736/000114036122032239/ny20005172x1_s4.htm#tANNEXA" TargetMode="External"/><Relationship Id="rId81" Type="http://schemas.openxmlformats.org/officeDocument/2006/relationships/hyperlink" Target="http://www.sec.gov/Archives/edgar/data/1816736/000121390020034347/fs42020_geminifsdevcorp.htm#T52" TargetMode="External"/><Relationship Id="rId82" Type="http://schemas.openxmlformats.org/officeDocument/2006/relationships/hyperlink" Target="http://www.sec.gov/Archives/edgar/data/1816736/000114036122047453/brhc10045896_ex3-1.htm" TargetMode="External"/><Relationship Id="rId83" Type="http://schemas.openxmlformats.org/officeDocument/2006/relationships/hyperlink" Target="http://www.sec.gov/Archives/edgar/data/1816736/000114036122047453/brhc10045896_ex3-2.htm" TargetMode="External"/><Relationship Id="rId84" Type="http://schemas.openxmlformats.org/officeDocument/2006/relationships/hyperlink" Target="http://www.sec.gov/Archives/edgar/data/1816736/000121390020034347/fs42020_geminifsdevcorp.htm#T53" TargetMode="External"/><Relationship Id="rId86" Type="http://schemas.openxmlformats.org/officeDocument/2006/relationships/hyperlink" Target="http://www.sec.gov/Archives/edgar/data/1816736/000121390021002636/fs42021a5ex4-1_fsdevelop.htm" TargetMode="External"/><Relationship Id="rId87" Type="http://schemas.openxmlformats.org/officeDocument/2006/relationships/hyperlink" Target="http://www.sec.gov/Archives/edgar/data/1816736/000114036122047453/brhc10045896_ex10-1.htm" TargetMode="External"/><Relationship Id="rId88" Type="http://schemas.openxmlformats.org/officeDocument/2006/relationships/hyperlink" Target="http://www.sec.gov/Archives/edgar/data/1816736/000121390021007091/ea134758ex10-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2024-08-08T08:29:15Z</dcterms:created>
  <dcterms:modified xsi:type="dcterms:W3CDTF">2024-08-08T08:29:15Z</dcterms:modified>
</cp:coreProperties>
</file>