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85-1612845</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15" w:lineRule="exact"/>
        <w:rPr>
          <w:sz w:val="24"/>
          <w:szCs w:val="24"/>
          <w:color w:val="auto"/>
        </w:rPr>
      </w:pPr>
    </w:p>
    <w:p>
      <w:pPr>
        <w:ind w:left="764"/>
        <w:spacing w:after="0"/>
        <w:rPr>
          <w:sz w:val="20"/>
          <w:szCs w:val="20"/>
          <w:color w:val="auto"/>
        </w:rPr>
      </w:pPr>
      <w:r>
        <w:rPr>
          <w:rFonts w:ascii="Times New Roman" w:cs="Times New Roman" w:eastAsia="Times New Roman" w:hAnsi="Times New Roman"/>
          <w:sz w:val="17"/>
          <w:szCs w:val="17"/>
          <w:b w:val="1"/>
          <w:bCs w:val="1"/>
          <w:color w:val="auto"/>
        </w:rPr>
        <w:t>321 Arsenal Street, Suite 101, Watertown, MA 02472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02472</w:t>
      </w:r>
    </w:p>
    <w:p>
      <w:pPr>
        <w:spacing w:after="0" w:line="43"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674-9274</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IRON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On February 27, 2025, Disc Medicine, Inc. announced its financial results for the fourth quarter and fiscal year ended December 31, 2024 and provided a corporate update. A copy of the press release in connection with the announcement is being furnished as Exhibit 99.1 to this Current Report on Form 8-K.</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exhibit relating to Item 2.02 of this Current Report on Form 8-K shall be deemed to be furnished and not filed: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ind w:left="120"/>
        <w:spacing w:after="0" w:line="185" w:lineRule="auto"/>
        <w:tabs>
          <w:tab w:leader="none" w:pos="860" w:val="left"/>
        </w:tabs>
        <w:rPr>
          <w:sz w:val="20"/>
          <w:szCs w:val="20"/>
          <w:color w:val="auto"/>
        </w:rPr>
      </w:pPr>
      <w:r>
        <w:rPr>
          <w:rFonts w:ascii="Times New Roman" w:cs="Times New Roman" w:eastAsia="Times New Roman" w:hAnsi="Times New Roman"/>
          <w:sz w:val="22"/>
          <w:szCs w:val="22"/>
          <w:b w:val="1"/>
          <w:bCs w:val="1"/>
          <w:u w:val="single" w:color="auto"/>
          <w:color w:val="auto"/>
          <w:vertAlign w:val="superscript"/>
        </w:rPr>
        <w:t>No.</w:t>
      </w:r>
      <w:r>
        <w:rPr>
          <w:sz w:val="20"/>
          <w:szCs w:val="20"/>
          <w:color w:val="auto"/>
        </w:rPr>
        <w:tab/>
      </w:r>
      <w:r>
        <w:rPr>
          <w:rFonts w:ascii="Times New Roman" w:cs="Times New Roman" w:eastAsia="Times New Roman" w:hAnsi="Times New Roman"/>
          <w:sz w:val="12"/>
          <w:szCs w:val="12"/>
          <w:b w:val="1"/>
          <w:bCs w:val="1"/>
          <w:u w:val="single" w:color="auto"/>
          <w:color w:val="auto"/>
        </w:rPr>
        <w:t>Description</w:t>
      </w:r>
    </w:p>
    <w:p>
      <w:pPr>
        <w:spacing w:after="0" w:line="11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Disc Medicine, Inc. on February 27, 2025.</w:t>
      </w:r>
    </w:p>
    <w:p>
      <w:pPr>
        <w:spacing w:after="0" w:line="9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20"/>
          </w:cols>
          <w:pgMar w:left="440" w:top="293"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3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DISC MEDICINE, INC.</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2025</w:t>
            </w: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 Franchi</w:t>
            </w:r>
          </w:p>
        </w:tc>
      </w:tr>
      <w:tr>
        <w:trPr>
          <w:trHeight w:val="205"/>
        </w:trPr>
        <w:tc>
          <w:tcPr>
            <w:tcW w:w="3640" w:type="dxa"/>
            <w:vAlign w:val="bottom"/>
          </w:tcPr>
          <w:p>
            <w:pPr>
              <w:spacing w:after="0"/>
              <w:rPr>
                <w:sz w:val="17"/>
                <w:szCs w:val="17"/>
                <w:color w:val="auto"/>
              </w:rPr>
            </w:pPr>
          </w:p>
        </w:tc>
        <w:tc>
          <w:tcPr>
            <w:tcW w:w="2520" w:type="dxa"/>
            <w:vAlign w:val="bottom"/>
          </w:tcPr>
          <w:p>
            <w:pPr>
              <w:ind w:left="18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Jean Franchi</w:t>
            </w:r>
          </w:p>
        </w:tc>
      </w:tr>
      <w:tr>
        <w:trPr>
          <w:trHeight w:val="234"/>
        </w:trPr>
        <w:tc>
          <w:tcPr>
            <w:tcW w:w="364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322830" cy="420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2283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Reports Fourth Quarter and Full Year 2024 Financial Results and Provides Business Update</w:t>
      </w:r>
    </w:p>
    <w:p>
      <w:pPr>
        <w:spacing w:after="0" w:line="254" w:lineRule="exact"/>
        <w:rPr>
          <w:sz w:val="20"/>
          <w:szCs w:val="20"/>
          <w:color w:val="auto"/>
        </w:rPr>
      </w:pPr>
    </w:p>
    <w:p>
      <w:pPr>
        <w:ind w:left="960" w:right="24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Targeting NDA submission for bitopertin in erythropoietic protoporphyria (EPP) in H2 2025 through accelerated approval pathway; on track to initiate APOLLO post-marketing confirmatory trial by mid-2025</w:t>
      </w:r>
    </w:p>
    <w:p>
      <w:pPr>
        <w:spacing w:after="0" w:line="63" w:lineRule="exact"/>
        <w:rPr>
          <w:rFonts w:ascii="Times New Roman" w:cs="Times New Roman" w:eastAsia="Times New Roman" w:hAnsi="Times New Roman"/>
          <w:sz w:val="18"/>
          <w:szCs w:val="18"/>
          <w:color w:val="auto"/>
        </w:rPr>
      </w:pPr>
    </w:p>
    <w:p>
      <w:pPr>
        <w:ind w:left="960" w:right="12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Positive update from Phase 1b trial of DISC-0974 in patients with anemia of myelofibrosis (MF) presented at ASH 2024; initial data from ongoing Phase 2 expected in H2 2025</w:t>
      </w:r>
    </w:p>
    <w:p>
      <w:pPr>
        <w:spacing w:after="0" w:line="63" w:lineRule="exact"/>
        <w:rPr>
          <w:rFonts w:ascii="Times New Roman" w:cs="Times New Roman" w:eastAsia="Times New Roman" w:hAnsi="Times New Roman"/>
          <w:sz w:val="18"/>
          <w:szCs w:val="18"/>
          <w:color w:val="auto"/>
        </w:rPr>
      </w:pPr>
    </w:p>
    <w:p>
      <w:pPr>
        <w:ind w:left="960" w:right="60" w:hanging="424"/>
        <w:spacing w:after="0" w:line="315" w:lineRule="auto"/>
        <w:tabs>
          <w:tab w:leader="none" w:pos="9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Positive data from initial cohorts of ongoing Phase 1b study of DISC-0974 in patients with anemia of non-dialysis-dependent chronic kidney disease (NDD-CKD) presented at ASN Kidney Week 2024; initial data from multiple dose portion of this study expected in H2 2025</w:t>
      </w:r>
    </w:p>
    <w:p>
      <w:pPr>
        <w:spacing w:after="0" w:line="40" w:lineRule="exact"/>
        <w:rPr>
          <w:rFonts w:ascii="Times New Roman" w:cs="Times New Roman" w:eastAsia="Times New Roman" w:hAnsi="Times New Roman"/>
          <w:sz w:val="17"/>
          <w:szCs w:val="17"/>
          <w:color w:val="auto"/>
        </w:rPr>
      </w:pPr>
    </w:p>
    <w:p>
      <w:pPr>
        <w:ind w:left="960" w:right="66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Presented first-in-human SAD/MAD data from Phase 1 trial of DISC-3405 demonstrating proof-of-mechanism; a Phase 2 study in polycythemia vera (PV) expected to initiate in H1 2025</w:t>
      </w:r>
    </w:p>
    <w:p>
      <w:pPr>
        <w:spacing w:after="0" w:line="63" w:lineRule="exact"/>
        <w:rPr>
          <w:rFonts w:ascii="Times New Roman" w:cs="Times New Roman" w:eastAsia="Times New Roman" w:hAnsi="Times New Roman"/>
          <w:sz w:val="18"/>
          <w:szCs w:val="18"/>
          <w:color w:val="auto"/>
        </w:rPr>
      </w:pPr>
    </w:p>
    <w:p>
      <w:pPr>
        <w:ind w:left="960" w:right="18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Strong financial position ending 2024 with $490 million in cash, cash equivalents, and marketable securities, further strengthened by the net proceeds of our public offering in January 2025, expected to fund operations into 2028</w:t>
      </w:r>
    </w:p>
    <w:p>
      <w:pPr>
        <w:spacing w:after="0" w:line="16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WATERTOWN, Mass. (February 27, 2025) – Disc Medicine, Inc. (NASDAQ:IRON), a clinical-stage biopharmaceutical company focused on the discovery, development, and commercialization of novel treatments for patients suffering from serious hematologic diseases, today reported financial results for the fourth quarter and full year ended December 31, 2024, and provided a recap of recent program and corporate developments.</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“2024 was a transformative year for Disc, marked by the achievement of several milestones, most notably opening the door to a potential accelerated approval for bitopertin based on Phase 2 results linking PPIX reduction to improvement on clinical outcomes in EPP patients, and subsequently gaining alignment on the design of the APOLLO trial as a confirmatory study,” said John Quisel, J.D., Ph.D., Chief Executive Officer and President of Disc. “These achievements bring us meaningfully closer to delivering a potentially disease-modifying and life-altering treatment to patients. We expect to initiate the APOLLO trial in mid-2025 followed by an NDA submission in the second half of this year and are diligently preparing for the opportunity to bring bitopertin to market. In addition, we saw momentum across our portfolio, presenting positive clinical data readouts for each of our clinical programs. This included exciting data updates for DISC-0974 in anemias of MF and NDD-CKD, both serious conditions with high unmet patient need and significant opportunity for better treatment options. These latest clinical results strengthen our belief in the potential of our iron homeostasis portfolio assets to address a range of hematological diseases.”</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322830" cy="419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322830" cy="419735"/>
                    </a:xfrm>
                    <a:prstGeom prst="rect">
                      <a:avLst/>
                    </a:prstGeom>
                    <a:noFill/>
                  </pic:spPr>
                </pic:pic>
              </a:graphicData>
            </a:graphic>
          </wp:anchor>
        </w:drawing>
        <w:t>Recent Highlights and Anticipated Milestones: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Bitopertin: GlyTI Inhibitor (Heme Synthesis Modulator)</w:t>
      </w:r>
    </w:p>
    <w:p>
      <w:pPr>
        <w:spacing w:after="0" w:line="135" w:lineRule="exact"/>
        <w:rPr>
          <w:sz w:val="20"/>
          <w:szCs w:val="20"/>
          <w:color w:val="auto"/>
        </w:rPr>
      </w:pPr>
    </w:p>
    <w:p>
      <w:pPr>
        <w:ind w:left="960" w:right="34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of full results from Phase 2 AURORA and BEACON studies at 2024 ASH Annual Meeting demonstrating significant reductions in PPIX are associated with substantial improvements in time spent in sunlight, measures of quality of life, and reduction in phototoxic reactions</w:t>
      </w:r>
    </w:p>
    <w:p>
      <w:pPr>
        <w:spacing w:after="0" w:line="81" w:lineRule="exact"/>
        <w:rPr>
          <w:rFonts w:ascii="Times New Roman" w:cs="Times New Roman" w:eastAsia="Times New Roman" w:hAnsi="Times New Roman"/>
          <w:sz w:val="18"/>
          <w:szCs w:val="18"/>
          <w:color w:val="auto"/>
        </w:rPr>
      </w:pPr>
    </w:p>
    <w:p>
      <w:pPr>
        <w:ind w:left="960" w:right="10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end-of-phase 2 meeting with FDA providing a path toward potential accelerated approval for bitopertin in EPP with protoporphyrin IX (PPIX) reduction as a surrogate endpoint</w:t>
      </w:r>
    </w:p>
    <w:p>
      <w:pPr>
        <w:spacing w:after="0" w:line="67"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Type C meeting with FDA to achieve regulatory alignment on APOLLO post-marketing confirmatory trial design; on track to initiate trial by mid-year 2025</w:t>
      </w:r>
    </w:p>
    <w:p>
      <w:pPr>
        <w:spacing w:after="0" w:line="67"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Planning to submit NDA under accelerated approval pathway in H2 2025 based on existing clinical data, including results from BEACON and AURORA Phase 2 trials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DISC-0974: Anti-Hemojuvelin Antibody (Hepcidin Suppression)</w:t>
      </w:r>
    </w:p>
    <w:p>
      <w:pPr>
        <w:spacing w:after="0" w:line="135" w:lineRule="exact"/>
        <w:rPr>
          <w:sz w:val="20"/>
          <w:szCs w:val="20"/>
          <w:color w:val="auto"/>
        </w:rPr>
      </w:pPr>
    </w:p>
    <w:p>
      <w:pPr>
        <w:ind w:left="960" w:right="60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positive data from the Phase 1b/2 study of DISC-0974 in anemia of myelofibrosis (MF), demonstrating robust and broad hematologic activity across patient segments</w:t>
      </w:r>
    </w:p>
    <w:p>
      <w:pPr>
        <w:spacing w:after="0" w:line="67" w:lineRule="exact"/>
        <w:rPr>
          <w:rFonts w:ascii="Times New Roman" w:cs="Times New Roman" w:eastAsia="Times New Roman" w:hAnsi="Times New Roman"/>
          <w:sz w:val="18"/>
          <w:szCs w:val="18"/>
          <w:color w:val="auto"/>
        </w:rPr>
      </w:pPr>
    </w:p>
    <w:p>
      <w:pPr>
        <w:ind w:left="2080" w:right="100" w:hanging="545"/>
        <w:spacing w:after="0" w:line="282" w:lineRule="auto"/>
        <w:tabs>
          <w:tab w:leader="none" w:pos="20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showed substantial and durable improvements in hemoglobin, reductions in transfusion burden, and improvements in fatigue scores</w:t>
      </w:r>
    </w:p>
    <w:p>
      <w:pPr>
        <w:spacing w:after="0" w:line="67" w:lineRule="exact"/>
        <w:rPr>
          <w:rFonts w:ascii="Times New Roman" w:cs="Times New Roman" w:eastAsia="Times New Roman" w:hAnsi="Times New Roman"/>
          <w:sz w:val="18"/>
          <w:szCs w:val="18"/>
          <w:color w:val="auto"/>
        </w:rPr>
      </w:pPr>
    </w:p>
    <w:p>
      <w:pPr>
        <w:ind w:left="2080" w:right="220" w:hanging="545"/>
        <w:spacing w:after="0" w:line="282" w:lineRule="auto"/>
        <w:tabs>
          <w:tab w:leader="none" w:pos="20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Phase 2 portion of the study in December 2024, enrolling a broad range of patients after positive discussions with FDA</w:t>
      </w:r>
    </w:p>
    <w:p>
      <w:pPr>
        <w:spacing w:after="0" w:line="67" w:lineRule="exact"/>
        <w:rPr>
          <w:rFonts w:ascii="Times New Roman" w:cs="Times New Roman" w:eastAsia="Times New Roman" w:hAnsi="Times New Roman"/>
          <w:sz w:val="18"/>
          <w:szCs w:val="18"/>
          <w:color w:val="auto"/>
        </w:rPr>
      </w:pPr>
    </w:p>
    <w:p>
      <w:pPr>
        <w:ind w:left="960" w:right="62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data from initial cohorts of ongoing Phase 1b study of DISC-0974 in patients with anemia of NDD-CKD, demonstrating hematologic activity following a single dose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Presented preclinical data at ASH 2024 demonstrating the potential of DISC-0974 to treat anemia of chronic inflammatory diseases such as</w:t>
      </w:r>
    </w:p>
    <w:p>
      <w:pPr>
        <w:spacing w:after="0" w:line="38" w:lineRule="exact"/>
        <w:rPr>
          <w:rFonts w:ascii="Times New Roman" w:cs="Times New Roman" w:eastAsia="Times New Roman" w:hAnsi="Times New Roman"/>
          <w:sz w:val="17"/>
          <w:szCs w:val="17"/>
          <w:color w:val="auto"/>
        </w:rPr>
      </w:pPr>
    </w:p>
    <w:p>
      <w:pPr>
        <w:ind w:left="9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IBD</w:t>
      </w:r>
    </w:p>
    <w:p>
      <w:pPr>
        <w:spacing w:after="0" w:line="112" w:lineRule="exact"/>
        <w:rPr>
          <w:rFonts w:ascii="Times New Roman" w:cs="Times New Roman" w:eastAsia="Times New Roman" w:hAnsi="Times New Roman"/>
          <w:sz w:val="17"/>
          <w:szCs w:val="17"/>
          <w:color w:val="auto"/>
        </w:rPr>
      </w:pPr>
    </w:p>
    <w:p>
      <w:pPr>
        <w:ind w:left="960" w:right="84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initial data from the ongoing Phase 2 MF anemia trial and multiple-dose data from the ongoing Phase 1b NDD-CKD trial in H2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DISC-3405: Anti-TMPRSS6 Antibody (Hepcidin Induction)</w:t>
      </w:r>
    </w:p>
    <w:p>
      <w:pPr>
        <w:spacing w:after="0" w:line="135" w:lineRule="exact"/>
        <w:rPr>
          <w:sz w:val="20"/>
          <w:szCs w:val="20"/>
          <w:color w:val="auto"/>
        </w:rPr>
      </w:pPr>
    </w:p>
    <w:p>
      <w:pPr>
        <w:ind w:left="960" w:right="40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complete data from the Phase 1 SAD/MAD trial in healthy volunteers, demonstrating proof-of-mechanism with substantial, dose-dependent increases in hepcidin and reductions in serum iron supportive of a once-monthly dosing regimen</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positive preclinical data in sickle cell disease highlighting the potential for DISC-3405 to provide therapeutic benefit in SCD by restricting iron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plans to initiate a Phase 2 study in PV in H1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w:t>
      </w:r>
    </w:p>
    <w:p>
      <w:pPr>
        <w:spacing w:after="0" w:line="135" w:lineRule="exact"/>
        <w:rPr>
          <w:sz w:val="20"/>
          <w:szCs w:val="20"/>
          <w:color w:val="auto"/>
        </w:rPr>
      </w:pPr>
    </w:p>
    <w:p>
      <w:pPr>
        <w:ind w:left="960" w:right="40" w:hanging="424"/>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the Company completed an underwritten public offering of 4,533,182 shares of its common stock at $55.00 per share and 181,818 pre-funded warrants at $54.9999 per pre-funded warrant. The offering included 615,000 shares which were issued upon the exercise in full by the underwriters of their option to purchase additional shares of common stock.</w:t>
      </w:r>
    </w:p>
    <w:p>
      <w:pPr>
        <w:spacing w:after="0" w:line="81" w:lineRule="exact"/>
        <w:rPr>
          <w:rFonts w:ascii="Times New Roman" w:cs="Times New Roman" w:eastAsia="Times New Roman" w:hAnsi="Times New Roman"/>
          <w:sz w:val="18"/>
          <w:szCs w:val="18"/>
          <w:color w:val="auto"/>
        </w:rPr>
      </w:pPr>
    </w:p>
    <w:p>
      <w:pPr>
        <w:ind w:left="2080" w:right="340" w:hanging="545"/>
        <w:spacing w:after="0" w:line="282" w:lineRule="auto"/>
        <w:tabs>
          <w:tab w:leader="none" w:pos="20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proceeds to the Company from the offering were approximately $259 million, before deducting underwriting discounts, commissions and offering expenses.</w:t>
      </w:r>
    </w:p>
    <w:p>
      <w:pPr>
        <w:spacing w:after="0" w:line="67" w:lineRule="exact"/>
        <w:rPr>
          <w:rFonts w:ascii="Times New Roman" w:cs="Times New Roman" w:eastAsia="Times New Roman" w:hAnsi="Times New Roman"/>
          <w:sz w:val="18"/>
          <w:szCs w:val="18"/>
          <w:color w:val="auto"/>
        </w:rPr>
      </w:pPr>
    </w:p>
    <w:p>
      <w:pPr>
        <w:ind w:left="960" w:right="60" w:hanging="424"/>
        <w:spacing w:after="0" w:line="261"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2024, the Company closed a $200 million non-dilutive debt financing with Hercules Capital. An initial $30 million was drawn at closing. An additional $80 million is available to be drawn through the second half of 2026 at the Company’s discretion. An additional $65 million is available subject to the Company’s achievement of certain performance milestones. The final $25 million is available subject to Hercules’ consent during the interest-only period, which lasts for a minimum of 48 months from closing.</w:t>
      </w:r>
    </w:p>
    <w:p>
      <w:pPr>
        <w:sectPr>
          <w:pgSz w:w="11900" w:h="16838" w:orient="portrait"/>
          <w:cols w:equalWidth="0" w:num="1">
            <w:col w:w="11000"/>
          </w:cols>
          <w:pgMar w:left="440" w:top="1076"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322830" cy="419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322830" cy="419735"/>
                    </a:xfrm>
                    <a:prstGeom prst="rect">
                      <a:avLst/>
                    </a:prstGeom>
                    <a:noFill/>
                  </pic:spPr>
                </pic:pic>
              </a:graphicData>
            </a:graphic>
          </wp:anchor>
        </w:drawing>
        <w:t>Full Year 2024 Financial Results:</w:t>
      </w:r>
    </w:p>
    <w:p>
      <w:pPr>
        <w:spacing w:after="0" w:line="131" w:lineRule="exact"/>
        <w:rPr>
          <w:sz w:val="20"/>
          <w:szCs w:val="20"/>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Cash, cash equivalents, and marketable securities were $489.9 million as of December 31, 2024, compared to</w:t>
      </w:r>
    </w:p>
    <w:p>
      <w:pPr>
        <w:spacing w:after="0" w:line="31" w:lineRule="exact"/>
        <w:rPr>
          <w:rFonts w:ascii="Times New Roman" w:cs="Times New Roman" w:eastAsia="Times New Roman" w:hAnsi="Times New Roman"/>
          <w:sz w:val="18"/>
          <w:szCs w:val="18"/>
          <w:color w:val="auto"/>
        </w:rPr>
      </w:pPr>
    </w:p>
    <w:p>
      <w:pPr>
        <w:ind w:left="9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$360.4 million as of December 31, 2023. The increase was largely due to net proceeds of $172.5 million and $27.6 million from the follow-on offering in June 2024 and the debt financing in November 2024, respectively. We expect that our existing cash, cash equivalents, and marketable securities as of December 31, 2024, together with the estimated net proceeds of $243.3 million from our underwritten public offering completed in January 2025, will be sufficient to fund operational plans into 2028.</w:t>
      </w:r>
    </w:p>
    <w:p>
      <w:pPr>
        <w:spacing w:after="0" w:line="9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R&amp;D expenses were $96.7 million for the full year ended December 31, 2024, as compared to</w:t>
      </w:r>
    </w:p>
    <w:p>
      <w:pPr>
        <w:spacing w:after="0" w:line="31" w:lineRule="exact"/>
        <w:rPr>
          <w:rFonts w:ascii="Times New Roman" w:cs="Times New Roman" w:eastAsia="Times New Roman" w:hAnsi="Times New Roman"/>
          <w:sz w:val="18"/>
          <w:szCs w:val="18"/>
          <w:color w:val="auto"/>
        </w:rPr>
      </w:pPr>
    </w:p>
    <w:p>
      <w:pPr>
        <w:jc w:val="both"/>
        <w:ind w:left="96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$69.3 million for the full year ended December 31, 2023. The increase in R&amp;D expenses was primarily driven by the progression of Disc’s portfolio, including bitopertin’s clinical studies and drug manufacturing, advancement of DISC-0974 and DISC-3405 programs deeper into development, and increased headcount.</w:t>
      </w:r>
    </w:p>
    <w:p>
      <w:pPr>
        <w:spacing w:after="0" w:line="87" w:lineRule="exact"/>
        <w:rPr>
          <w:rFonts w:ascii="Times New Roman" w:cs="Times New Roman" w:eastAsia="Times New Roman" w:hAnsi="Times New Roman"/>
          <w:sz w:val="18"/>
          <w:szCs w:val="18"/>
          <w:color w:val="auto"/>
        </w:rPr>
      </w:pPr>
    </w:p>
    <w:p>
      <w:pPr>
        <w:ind w:left="960" w:right="340" w:hanging="424"/>
        <w:spacing w:after="0" w:line="268"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SG&amp;A expenses were $33.0 million for the full year ended December 31, 2024,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$21.9 million for the full year ended December 31, 2023. The increase in SG&amp;A expenses was primarily due to increased headcount including establishing infrastructure to support potential commercialization.</w:t>
      </w:r>
    </w:p>
    <w:p>
      <w:pPr>
        <w:spacing w:after="0" w:line="76" w:lineRule="exact"/>
        <w:rPr>
          <w:rFonts w:ascii="Times New Roman" w:cs="Times New Roman" w:eastAsia="Times New Roman" w:hAnsi="Times New Roman"/>
          <w:sz w:val="18"/>
          <w:szCs w:val="18"/>
          <w:color w:val="auto"/>
        </w:rPr>
      </w:pPr>
    </w:p>
    <w:p>
      <w:pPr>
        <w:ind w:left="960" w:right="160" w:hanging="424"/>
        <w:spacing w:after="0" w:line="268"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was $109.4 million for the full year ended December 31, 2024, as compared to $76.4 million for the full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2023. The increase was primarily due to higher operating costs in the current period to support the continued advancement of our pipeline.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Disc Medicine</w:t>
      </w:r>
    </w:p>
    <w:p>
      <w:pPr>
        <w:spacing w:after="0" w:line="12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Disc Medicine (NASDAQ:IRON)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For more information, please visit www.discmedicine.com.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Disc announces material information to the public about the Company, its products and services, and other matters through a variety of means, including filings with the U.S. Securities and Exchange Commission (SEC), press releases, public conference calls, webcasts and the investor relations section of the Company website at ir.discmedicine.com in order to achieve broad, non-exclusionary distribution of information to the public and for complying with its disclosure obligations under Regulation FD.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 Cautionary Statement Regarding Forward-Looking Statements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but not limited to, express or implied statements regarding: expectations with respect to the next stages of its development programs for bitopertin, DISC-0974 and DISC-3405, including projected timelines for the initiation and completion of its clinical trials, anticipated timing of release of data, and other clinical activities; the registrational pathway for bitopertin, including the potential for accelerated approval; the potential of its development programs in new indications; and the strength of its financial position and its anticipated cash runway. The use of words such as, but not limited to, “believe,” “expect,” “estimate,” “project,” “intend,” “future,” “potential,” “continue,” “may,” “might,”</w:t>
      </w:r>
    </w:p>
    <w:p>
      <w:pPr>
        <w:sectPr>
          <w:pgSz w:w="11900" w:h="16838" w:orient="portrait"/>
          <w:cols w:equalWidth="0" w:num="1">
            <w:col w:w="11000"/>
          </w:cols>
          <w:pgMar w:left="440" w:top="1076" w:right="459" w:bottom="1440" w:gutter="0" w:footer="0" w:header="0"/>
        </w:sectPr>
      </w:pPr>
    </w:p>
    <w:bookmarkStart w:id="6" w:name="page7"/>
    <w:bookmarkEnd w:id="6"/>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322830" cy="419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322830" cy="419735"/>
                    </a:xfrm>
                    <a:prstGeom prst="rect">
                      <a:avLst/>
                    </a:prstGeom>
                    <a:noFill/>
                  </pic:spPr>
                </pic:pic>
              </a:graphicData>
            </a:graphic>
          </wp:anchor>
        </w:drawing>
        <w:t>“plan,” “will,” “should,” “seek,” “anticipate,” “opportunity,” or “could” or the negative of these terms and other similar words or expressions that are intended to identify forward-looking statements.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18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adequacy of Disc’s capital to support its future operations and its ability to successfully initiate and complete clinical trials; the nature, strategy and focus of Disc; the difficulty in predicting the time and cost of development of Disc’s product candidates; Disc’s plans to research, develop and commercialize its current and future product candidates; the timing of initiation of Disc’s planned preclinical studies and clinical trials; the timing of the availability of data from Disc’s clinical trials; Disc’s ability to identify additional product candidates with significant commercial potential and to expand its pipeline in hematological diseases; the timing and anticipated results of Disc’s preclinical studies and clinical trials and the risk that the results of Disc’s preclinical studies and clinical trials may not be predictive of future results in connection with future studies or clinical trials and may not support further development and marketing approval; and the other risks and uncertainties described in Disc’s filings with the SEC, including in the “Risk Factors” section of our Annual Report on Form 10-K for the year ended December 31, 2024.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w:t>
      </w:r>
    </w:p>
    <w:p>
      <w:pPr>
        <w:spacing w:after="0" w:line="21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tbl>
      <w:tblPr>
        <w:tblLayout w:type="fixed"/>
        <w:tblInd w:w="0" w:type="dxa"/>
        <w:tblCellMar>
          <w:top w:w="0" w:type="dxa"/>
          <w:left w:w="0" w:type="dxa"/>
          <w:bottom w:w="0" w:type="dxa"/>
          <w:right w:w="0" w:type="dxa"/>
        </w:tblCellMar>
      </w:tblPr>
      <w:tr>
        <w:trPr>
          <w:trHeight w:val="158"/>
        </w:trPr>
        <w:tc>
          <w:tcPr>
            <w:tcW w:w="8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60" w:type="dxa"/>
            <w:vAlign w:val="bottom"/>
            <w:gridSpan w:val="6"/>
          </w:tcPr>
          <w:p>
            <w:pPr>
              <w:jc w:val="right"/>
              <w:ind w:right="361"/>
              <w:spacing w:after="0" w:line="157"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96,671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69,264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33,049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21,861</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129,720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(129,720)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(91,125)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20,718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14,795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(109,357</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(76,429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w w:val="98"/>
              </w:rPr>
              <w:t>27,606,022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6"/>
              </w:rPr>
              <w:t>22,315,877</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1080" w:right="439" w:bottom="1440" w:gutter="0" w:footer="0" w:header="0"/>
        </w:sectPr>
      </w:pPr>
    </w:p>
    <w:bookmarkStart w:id="7" w:name="page8"/>
    <w:bookmarkEnd w:id="7"/>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322830" cy="419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322830" cy="419735"/>
                    </a:xfrm>
                    <a:prstGeom prst="rect">
                      <a:avLst/>
                    </a:prstGeom>
                    <a:noFill/>
                  </pic:spPr>
                </pic:pic>
              </a:graphicData>
            </a:graphic>
          </wp:anchor>
        </w:drawing>
        <w:t>DISC MEDICINE,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0" w:type="dxa"/>
        <w:tblCellMar>
          <w:top w:w="0" w:type="dxa"/>
          <w:left w:w="0" w:type="dxa"/>
          <w:bottom w:w="0" w:type="dxa"/>
          <w:right w:w="0" w:type="dxa"/>
        </w:tblCellMar>
      </w:tblPr>
      <w:tr>
        <w:trPr>
          <w:trHeight w:val="133"/>
        </w:trPr>
        <w:tc>
          <w:tcPr>
            <w:tcW w:w="8900" w:type="dxa"/>
            <w:vAlign w:val="bottom"/>
          </w:tcPr>
          <w:p>
            <w:pPr>
              <w:spacing w:after="0"/>
              <w:rPr>
                <w:sz w:val="11"/>
                <w:szCs w:val="11"/>
                <w:color w:val="auto"/>
              </w:rPr>
            </w:pPr>
          </w:p>
        </w:tc>
        <w:tc>
          <w:tcPr>
            <w:tcW w:w="1220" w:type="dxa"/>
            <w:vAlign w:val="bottom"/>
            <w:gridSpan w:val="4"/>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gridSpan w:val="3"/>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9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5"/>
                <w:szCs w:val="15"/>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489,881</w:t>
            </w:r>
          </w:p>
        </w:tc>
        <w:tc>
          <w:tcPr>
            <w:tcW w:w="3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360,382</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5,280</w:t>
            </w:r>
          </w:p>
        </w:tc>
      </w:tr>
      <w:tr>
        <w:trPr>
          <w:trHeight w:val="223"/>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493,615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365,662</w:t>
            </w:r>
          </w:p>
        </w:tc>
        <w:tc>
          <w:tcPr>
            <w:tcW w:w="60" w:type="dxa"/>
            <w:vAlign w:val="bottom"/>
          </w:tcPr>
          <w:p>
            <w:pPr>
              <w:spacing w:after="0"/>
              <w:rPr>
                <w:sz w:val="19"/>
                <w:szCs w:val="19"/>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3,158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2,334</w:t>
            </w:r>
          </w:p>
        </w:tc>
      </w:tr>
      <w:tr>
        <w:trPr>
          <w:trHeight w:val="223"/>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496,773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367,996</w:t>
            </w:r>
          </w:p>
        </w:tc>
        <w:tc>
          <w:tcPr>
            <w:tcW w:w="6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23,316</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21,439</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29,870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1,436</w:t>
            </w:r>
          </w:p>
        </w:tc>
      </w:tr>
      <w:tr>
        <w:trPr>
          <w:trHeight w:val="223"/>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22,875</w:t>
            </w:r>
          </w:p>
        </w:tc>
        <w:tc>
          <w:tcPr>
            <w:tcW w:w="60" w:type="dxa"/>
            <w:vAlign w:val="bottom"/>
          </w:tcPr>
          <w:p>
            <w:pPr>
              <w:spacing w:after="0"/>
              <w:rPr>
                <w:sz w:val="19"/>
                <w:szCs w:val="19"/>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443,587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345,121</w:t>
            </w:r>
          </w:p>
        </w:tc>
      </w:tr>
      <w:tr>
        <w:trPr>
          <w:trHeight w:val="223"/>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496,773</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367,996</w:t>
            </w:r>
          </w:p>
        </w:tc>
        <w:tc>
          <w:tcPr>
            <w:tcW w:w="6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 Rusconi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peg.rusconi@deerfieldgroup.com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Tartaglia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Precision AQ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Christina.tartaglia@precisionaq.com</w:t>
      </w:r>
    </w:p>
    <w:sectPr>
      <w:pgSz w:w="11900" w:h="16838" w:orient="portrait"/>
      <w:cols w:equalWidth="0" w:num="1">
        <w:col w:w="11020"/>
      </w:cols>
      <w:pgMar w:left="440" w:top="107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lvl w:ilvl="1">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2025-02-27T07:14:11Z</dcterms:created>
  <dcterms:modified xsi:type="dcterms:W3CDTF">2025-02-27T07:14:11Z</dcterms:modified>
</cp:coreProperties>
</file>