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93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286"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Bitterman Kevin</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Disc Medicine,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IRON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Borders>
              <w:bottom w:val="single" w:sz="8" w:color="0000EE"/>
            </w:tcBorders>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8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08/22/2025</w:t>
            </w:r>
          </w:p>
        </w:tc>
        <w:tc>
          <w:tcPr>
            <w:tcW w:w="20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DISC MEDICINE, INC.</w:t>
            </w:r>
          </w:p>
        </w:tc>
        <w:tc>
          <w:tcPr>
            <w:tcW w:w="1400" w:type="dxa"/>
            <w:vAlign w:val="bottom"/>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20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40" w:type="dxa"/>
            <w:vAlign w:val="bottom"/>
            <w:gridSpan w:val="3"/>
            <w:vMerge w:val="continue"/>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321 ARSENAL STREET, SUITE 101</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286"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28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08/22/2025</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2,287</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61.03</w:t>
            </w:r>
            <w:r>
              <w:rPr>
                <w:rFonts w:ascii="Times New Roman" w:cs="Times New Roman" w:eastAsia="Times New Roman" w:hAnsi="Times New Roman"/>
                <w:sz w:val="22"/>
                <w:szCs w:val="22"/>
                <w:color w:val="008000"/>
                <w:vertAlign w:val="superscript"/>
              </w:rPr>
              <w:t>(2)</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590,621</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420,549</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51,000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 dated January 31, 2025.</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$60.95 to $61.05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Atlas Venture Opportunity Fund I, LP ("Opportunity I"). The general partner of Opportunity I is Atlas Venture Associates Opportunity I, LP ("Associates I"). Atlas Venture Associates Opportunity I, LLC ("Associates I LLC") is the general partner of Associates I. The Reporting Person is a member of Associates I LLC and disclaims beneficial ownership of such securities held by Opportunity I, except to the extent of his pecuniary interest therein, if any.</w:t>
      </w:r>
    </w:p>
    <w:p>
      <w:pPr>
        <w:spacing w:after="0" w:line="2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Atlas Venture Opportunity Fund II, LP ("Opportunity II"). The general partner of Opportunity II is Atlas Venture Associates Opportunity II, LP ("Associates II"). Atlas Venture Associates Opportunity II, LLC ("Associates II LLC") is the general partner of Associates II. The Reporting Person is a member of Associates II LLC and disclaims beneficial ownership of such securities held by Opportunity II, except to the extent of his pecuniary interest therein, if any.</w:t>
      </w:r>
    </w:p>
    <w:p>
      <w:pPr>
        <w:spacing w:after="0" w:line="20" w:lineRule="exact"/>
        <w:rPr>
          <w:rFonts w:ascii="Times New Roman" w:cs="Times New Roman" w:eastAsia="Times New Roman" w:hAnsi="Times New Roman"/>
          <w:sz w:val="13"/>
          <w:szCs w:val="13"/>
          <w:color w:val="008000"/>
        </w:rPr>
      </w:pPr>
    </w:p>
    <w:p>
      <w:pPr>
        <w:ind w:left="40" w:right="22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Atlas Venture Fund XII, L.P. ("Atlas XII"). The general partner of Atlas XII is Atlas Venture Associates XII, L.P. ("Associates XII"). Atlas Venture Associates XII, LLC ("Associates XII LLC") is the general partner of Associates XII. The Reporting Person is a member of Associates XII LLC and disclaims beneficial ownership of such securities held by Atlas XII, except to the extent of his pecuniary interest therein, if any.</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Ommer Chohan, Attorney-  </w:t>
      </w:r>
      <w:r>
        <w:rPr>
          <w:rFonts w:ascii="Times New Roman" w:cs="Times New Roman" w:eastAsia="Times New Roman" w:hAnsi="Times New Roman"/>
          <w:sz w:val="33"/>
          <w:szCs w:val="33"/>
          <w:color w:val="0000FF"/>
          <w:vertAlign w:val="subscript"/>
        </w:rPr>
        <w:t>08/26/2025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9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2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91747"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2025-08-26T17:04:22Z</dcterms:created>
  <dcterms:modified xsi:type="dcterms:W3CDTF">2025-08-26T17:04:22Z</dcterms:modified>
</cp:coreProperties>
</file>