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113"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2420" w:right="1720" w:hanging="2412"/>
        <w:spacing w:after="0" w:line="314" w:lineRule="auto"/>
        <w:tabs>
          <w:tab w:leader="none" w:pos="358" w:val="left"/>
        </w:tabs>
        <w:numPr>
          <w:ilvl w:val="0"/>
          <w:numId w:val="2"/>
        </w:numPr>
        <w:rPr>
          <w:rFonts w:ascii="MS PGothic" w:cs="MS PGothic" w:eastAsia="MS PGothic" w:hAnsi="MS PGothic"/>
          <w:sz w:val="21"/>
          <w:szCs w:val="21"/>
          <w:color w:val="auto"/>
          <w:highlight w:val="black"/>
        </w:rPr>
      </w:pPr>
      <w:r>
        <w:rPr>
          <w:rFonts w:ascii="Arial" w:cs="Arial" w:eastAsia="Arial" w:hAnsi="Arial"/>
          <w:sz w:val="17"/>
          <w:szCs w:val="17"/>
          <w:b w:val="1"/>
          <w:bCs w:val="1"/>
          <w:color w:val="auto"/>
        </w:rPr>
        <w:t>TRANSITION REPORT PURSUANT TO SECTION 13 OR 15(d) OF THE SECURITIES EXCHANGE ACT OF 1934 For the transition period from _____________________ to 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5" w:lineRule="exact"/>
        <w:rPr>
          <w:sz w:val="24"/>
          <w:szCs w:val="24"/>
          <w:color w:val="auto"/>
        </w:rPr>
      </w:pPr>
    </w:p>
    <w:p>
      <w:pPr>
        <w:jc w:val="center"/>
        <w:ind w:right="100"/>
        <w:spacing w:after="0"/>
        <w:rPr>
          <w:sz w:val="20"/>
          <w:szCs w:val="20"/>
          <w:color w:val="auto"/>
        </w:rPr>
      </w:pPr>
      <w:r>
        <w:rPr>
          <w:rFonts w:ascii="Arial" w:cs="Arial" w:eastAsia="Arial" w:hAnsi="Arial"/>
          <w:sz w:val="40"/>
          <w:szCs w:val="40"/>
          <w:b w:val="1"/>
          <w:bCs w:val="1"/>
          <w:color w:val="auto"/>
        </w:rPr>
        <w:t>GEMINI THERAPEUTICS, INC.</w:t>
      </w:r>
    </w:p>
    <w:p>
      <w:pPr>
        <w:spacing w:after="0" w:line="96" w:lineRule="exact"/>
        <w:rPr>
          <w:sz w:val="24"/>
          <w:szCs w:val="24"/>
          <w:color w:val="auto"/>
        </w:rPr>
      </w:pPr>
    </w:p>
    <w:tbl>
      <w:tblPr>
        <w:tblLayout w:type="fixed"/>
        <w:tblInd w:w="1500" w:type="dxa"/>
        <w:tblCellMar>
          <w:top w:w="0" w:type="dxa"/>
          <w:left w:w="0" w:type="dxa"/>
          <w:bottom w:w="0" w:type="dxa"/>
          <w:right w:w="0" w:type="dxa"/>
        </w:tblCellMar>
      </w:tblPr>
      <w:tr>
        <w:trPr>
          <w:trHeight w:val="234"/>
        </w:trPr>
        <w:tc>
          <w:tcPr>
            <w:tcW w:w="6320" w:type="dxa"/>
            <w:vAlign w:val="bottom"/>
            <w:gridSpan w:val="3"/>
          </w:tcPr>
          <w:p>
            <w:pPr>
              <w:ind w:left="2060"/>
              <w:spacing w:after="0"/>
              <w:rPr>
                <w:sz w:val="20"/>
                <w:szCs w:val="20"/>
                <w:color w:val="auto"/>
              </w:rPr>
            </w:pPr>
            <w:r>
              <w:rPr>
                <w:rFonts w:ascii="Arial" w:cs="Arial" w:eastAsia="Arial" w:hAnsi="Arial"/>
                <w:sz w:val="18"/>
                <w:szCs w:val="18"/>
                <w:b w:val="1"/>
                <w:bCs w:val="1"/>
                <w:color w:val="auto"/>
                <w:w w:val="92"/>
              </w:rPr>
              <w:t>(Exact Name of Registrant as Specified in its Charter)</w:t>
            </w:r>
          </w:p>
        </w:tc>
        <w:tc>
          <w:tcPr>
            <w:tcW w:w="1100" w:type="dxa"/>
            <w:vAlign w:val="bottom"/>
          </w:tcPr>
          <w:p>
            <w:pPr>
              <w:spacing w:after="0"/>
              <w:rPr>
                <w:sz w:val="20"/>
                <w:szCs w:val="20"/>
                <w:color w:val="auto"/>
              </w:rPr>
            </w:pPr>
          </w:p>
        </w:tc>
      </w:tr>
      <w:tr>
        <w:trPr>
          <w:trHeight w:val="81"/>
        </w:trPr>
        <w:tc>
          <w:tcPr>
            <w:tcW w:w="300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37"/>
        </w:trPr>
        <w:tc>
          <w:tcPr>
            <w:tcW w:w="6320" w:type="dxa"/>
            <w:vAlign w:val="bottom"/>
            <w:gridSpan w:val="3"/>
          </w:tcPr>
          <w:p>
            <w:pPr>
              <w:jc w:val="center"/>
              <w:ind w:right="3680"/>
              <w:spacing w:after="0"/>
              <w:rPr>
                <w:sz w:val="20"/>
                <w:szCs w:val="20"/>
                <w:color w:val="auto"/>
              </w:rPr>
            </w:pPr>
            <w:r>
              <w:rPr>
                <w:rFonts w:ascii="Arial" w:cs="Arial" w:eastAsia="Arial" w:hAnsi="Arial"/>
                <w:sz w:val="18"/>
                <w:szCs w:val="18"/>
                <w:b w:val="1"/>
                <w:bCs w:val="1"/>
                <w:color w:val="auto"/>
                <w:w w:val="91"/>
              </w:rPr>
              <w:t>Delaware</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85-1612845</w:t>
            </w:r>
          </w:p>
        </w:tc>
      </w:tr>
      <w:tr>
        <w:trPr>
          <w:trHeight w:val="184"/>
        </w:trPr>
        <w:tc>
          <w:tcPr>
            <w:tcW w:w="6320" w:type="dxa"/>
            <w:vAlign w:val="bottom"/>
            <w:gridSpan w:val="3"/>
          </w:tcPr>
          <w:p>
            <w:pPr>
              <w:jc w:val="center"/>
              <w:ind w:right="3680"/>
              <w:spacing w:after="0"/>
              <w:rPr>
                <w:sz w:val="20"/>
                <w:szCs w:val="20"/>
                <w:color w:val="auto"/>
              </w:rPr>
            </w:pPr>
            <w:r>
              <w:rPr>
                <w:rFonts w:ascii="Arial" w:cs="Arial" w:eastAsia="Arial" w:hAnsi="Arial"/>
                <w:sz w:val="13"/>
                <w:szCs w:val="13"/>
                <w:b w:val="1"/>
                <w:bCs w:val="1"/>
                <w:color w:val="auto"/>
                <w:w w:val="87"/>
              </w:rPr>
              <w:t>( State or other jurisdiction of</w:t>
            </w:r>
          </w:p>
        </w:tc>
        <w:tc>
          <w:tcPr>
            <w:tcW w:w="1100" w:type="dxa"/>
            <w:vAlign w:val="bottom"/>
          </w:tcPr>
          <w:p>
            <w:pPr>
              <w:jc w:val="center"/>
              <w:ind w:left="46"/>
              <w:spacing w:after="0"/>
              <w:rPr>
                <w:sz w:val="20"/>
                <w:szCs w:val="20"/>
                <w:color w:val="auto"/>
              </w:rPr>
            </w:pPr>
            <w:r>
              <w:rPr>
                <w:rFonts w:ascii="Arial" w:cs="Arial" w:eastAsia="Arial" w:hAnsi="Arial"/>
                <w:sz w:val="13"/>
                <w:szCs w:val="13"/>
                <w:b w:val="1"/>
                <w:bCs w:val="1"/>
                <w:color w:val="auto"/>
                <w:w w:val="90"/>
              </w:rPr>
              <w:t>(I.R.S. Employer</w:t>
            </w:r>
          </w:p>
        </w:tc>
      </w:tr>
      <w:tr>
        <w:trPr>
          <w:trHeight w:val="167"/>
        </w:trPr>
        <w:tc>
          <w:tcPr>
            <w:tcW w:w="6320" w:type="dxa"/>
            <w:vAlign w:val="bottom"/>
            <w:gridSpan w:val="3"/>
          </w:tcPr>
          <w:p>
            <w:pPr>
              <w:jc w:val="center"/>
              <w:ind w:right="3680"/>
              <w:spacing w:after="0"/>
              <w:rPr>
                <w:sz w:val="20"/>
                <w:szCs w:val="20"/>
                <w:color w:val="auto"/>
              </w:rPr>
            </w:pPr>
            <w:r>
              <w:rPr>
                <w:rFonts w:ascii="Arial" w:cs="Arial" w:eastAsia="Arial" w:hAnsi="Arial"/>
                <w:sz w:val="13"/>
                <w:szCs w:val="13"/>
                <w:b w:val="1"/>
                <w:bCs w:val="1"/>
                <w:color w:val="auto"/>
                <w:w w:val="88"/>
              </w:rPr>
              <w:t>incorporation or organization)</w:t>
            </w:r>
          </w:p>
        </w:tc>
        <w:tc>
          <w:tcPr>
            <w:tcW w:w="1100" w:type="dxa"/>
            <w:vAlign w:val="bottom"/>
          </w:tcPr>
          <w:p>
            <w:pPr>
              <w:jc w:val="center"/>
              <w:ind w:left="46"/>
              <w:spacing w:after="0"/>
              <w:rPr>
                <w:sz w:val="20"/>
                <w:szCs w:val="20"/>
                <w:color w:val="auto"/>
              </w:rPr>
            </w:pPr>
            <w:r>
              <w:rPr>
                <w:rFonts w:ascii="Arial" w:cs="Arial" w:eastAsia="Arial" w:hAnsi="Arial"/>
                <w:sz w:val="13"/>
                <w:szCs w:val="13"/>
                <w:b w:val="1"/>
                <w:bCs w:val="1"/>
                <w:color w:val="auto"/>
                <w:w w:val="89"/>
              </w:rPr>
              <w:t>Identification No.)</w:t>
            </w:r>
          </w:p>
        </w:tc>
      </w:tr>
      <w:tr>
        <w:trPr>
          <w:trHeight w:val="265"/>
        </w:trPr>
        <w:tc>
          <w:tcPr>
            <w:tcW w:w="6320" w:type="dxa"/>
            <w:vAlign w:val="bottom"/>
            <w:gridSpan w:val="3"/>
          </w:tcPr>
          <w:p>
            <w:pPr>
              <w:jc w:val="center"/>
              <w:ind w:right="3680"/>
              <w:spacing w:after="0" w:line="265" w:lineRule="exact"/>
              <w:rPr>
                <w:sz w:val="20"/>
                <w:szCs w:val="20"/>
                <w:color w:val="auto"/>
              </w:rPr>
            </w:pPr>
            <w:r>
              <w:rPr>
                <w:rFonts w:ascii="Arial" w:cs="Arial" w:eastAsia="Arial" w:hAnsi="Arial"/>
                <w:sz w:val="18"/>
                <w:szCs w:val="18"/>
                <w:b w:val="1"/>
                <w:bCs w:val="1"/>
                <w:color w:val="auto"/>
                <w:w w:val="90"/>
              </w:rPr>
              <w:t>300 One Kendall Square, 3</w:t>
            </w:r>
            <w:r>
              <w:rPr>
                <w:rFonts w:ascii="Arial" w:cs="Arial" w:eastAsia="Arial" w:hAnsi="Arial"/>
                <w:sz w:val="24"/>
                <w:szCs w:val="24"/>
                <w:b w:val="1"/>
                <w:bCs w:val="1"/>
                <w:color w:val="auto"/>
                <w:w w:val="90"/>
                <w:vertAlign w:val="superscript"/>
              </w:rPr>
              <w:t>rd</w:t>
            </w:r>
            <w:r>
              <w:rPr>
                <w:rFonts w:ascii="Arial" w:cs="Arial" w:eastAsia="Arial" w:hAnsi="Arial"/>
                <w:sz w:val="18"/>
                <w:szCs w:val="18"/>
                <w:b w:val="1"/>
                <w:bCs w:val="1"/>
                <w:color w:val="auto"/>
                <w:w w:val="90"/>
              </w:rPr>
              <w:t xml:space="preserve"> Floor</w:t>
            </w:r>
          </w:p>
        </w:tc>
        <w:tc>
          <w:tcPr>
            <w:tcW w:w="1100" w:type="dxa"/>
            <w:vAlign w:val="bottom"/>
          </w:tcPr>
          <w:p>
            <w:pPr>
              <w:spacing w:after="0"/>
              <w:rPr>
                <w:sz w:val="23"/>
                <w:szCs w:val="23"/>
                <w:color w:val="auto"/>
              </w:rPr>
            </w:pPr>
          </w:p>
        </w:tc>
      </w:tr>
      <w:tr>
        <w:trPr>
          <w:trHeight w:val="234"/>
        </w:trPr>
        <w:tc>
          <w:tcPr>
            <w:tcW w:w="6320" w:type="dxa"/>
            <w:vAlign w:val="bottom"/>
            <w:gridSpan w:val="3"/>
          </w:tcPr>
          <w:p>
            <w:pPr>
              <w:jc w:val="center"/>
              <w:ind w:right="3700"/>
              <w:spacing w:after="0"/>
              <w:rPr>
                <w:sz w:val="20"/>
                <w:szCs w:val="20"/>
                <w:color w:val="auto"/>
              </w:rPr>
            </w:pPr>
            <w:r>
              <w:rPr>
                <w:rFonts w:ascii="Arial" w:cs="Arial" w:eastAsia="Arial" w:hAnsi="Arial"/>
                <w:sz w:val="18"/>
                <w:szCs w:val="18"/>
                <w:b w:val="1"/>
                <w:bCs w:val="1"/>
                <w:color w:val="auto"/>
                <w:w w:val="95"/>
              </w:rPr>
              <w:t>Cambridge, MA</w:t>
            </w:r>
          </w:p>
        </w:tc>
        <w:tc>
          <w:tcPr>
            <w:tcW w:w="1100" w:type="dxa"/>
            <w:vAlign w:val="bottom"/>
          </w:tcPr>
          <w:p>
            <w:pPr>
              <w:jc w:val="right"/>
              <w:ind w:right="186"/>
              <w:spacing w:after="0"/>
              <w:rPr>
                <w:sz w:val="20"/>
                <w:szCs w:val="20"/>
                <w:color w:val="auto"/>
              </w:rPr>
            </w:pPr>
            <w:r>
              <w:rPr>
                <w:rFonts w:ascii="Arial" w:cs="Arial" w:eastAsia="Arial" w:hAnsi="Arial"/>
                <w:sz w:val="18"/>
                <w:szCs w:val="18"/>
                <w:b w:val="1"/>
                <w:bCs w:val="1"/>
                <w:color w:val="auto"/>
              </w:rPr>
              <w:t>02139</w:t>
            </w:r>
          </w:p>
        </w:tc>
      </w:tr>
      <w:tr>
        <w:trPr>
          <w:trHeight w:val="186"/>
        </w:trPr>
        <w:tc>
          <w:tcPr>
            <w:tcW w:w="6320" w:type="dxa"/>
            <w:vAlign w:val="bottom"/>
            <w:gridSpan w:val="3"/>
          </w:tcPr>
          <w:p>
            <w:pPr>
              <w:jc w:val="center"/>
              <w:ind w:right="368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100" w:type="dxa"/>
            <w:vAlign w:val="bottom"/>
          </w:tcPr>
          <w:p>
            <w:pPr>
              <w:jc w:val="center"/>
              <w:ind w:left="46"/>
              <w:spacing w:after="0"/>
              <w:rPr>
                <w:sz w:val="20"/>
                <w:szCs w:val="20"/>
                <w:color w:val="auto"/>
              </w:rPr>
            </w:pPr>
            <w:r>
              <w:rPr>
                <w:rFonts w:ascii="Arial" w:cs="Arial" w:eastAsia="Arial" w:hAnsi="Arial"/>
                <w:sz w:val="13"/>
                <w:szCs w:val="13"/>
                <w:b w:val="1"/>
                <w:bCs w:val="1"/>
                <w:color w:val="auto"/>
                <w:w w:val="90"/>
              </w:rPr>
              <w:t>(Zip Code)</w:t>
            </w:r>
          </w:p>
        </w:tc>
      </w:tr>
    </w:tbl>
    <w:p>
      <w:pPr>
        <w:spacing w:after="0" w:line="106"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(617) 401-4400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5"/>
                <w:szCs w:val="15"/>
                <w:color w:val="auto"/>
              </w:rPr>
            </w:pPr>
          </w:p>
        </w:tc>
        <w:tc>
          <w:tcPr>
            <w:tcW w:w="4480" w:type="dxa"/>
            <w:vAlign w:val="bottom"/>
          </w:tcPr>
          <w:p>
            <w:pPr>
              <w:spacing w:after="0"/>
              <w:rPr>
                <w:sz w:val="15"/>
                <w:szCs w:val="15"/>
                <w:color w:val="auto"/>
              </w:rPr>
            </w:pPr>
          </w:p>
        </w:tc>
      </w:tr>
      <w:tr>
        <w:trPr>
          <w:trHeight w:val="192"/>
        </w:trPr>
        <w:tc>
          <w:tcPr>
            <w:tcW w:w="450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4500" w:type="dxa"/>
            <w:vAlign w:val="bottom"/>
          </w:tcPr>
          <w:p>
            <w:pPr>
              <w:ind w:left="20"/>
              <w:spacing w:after="0"/>
              <w:rPr>
                <w:sz w:val="20"/>
                <w:szCs w:val="20"/>
                <w:color w:val="auto"/>
              </w:rPr>
            </w:pPr>
            <w:r>
              <w:rPr>
                <w:rFonts w:ascii="Arial" w:cs="Arial" w:eastAsia="Arial" w:hAnsi="Arial"/>
                <w:sz w:val="16"/>
                <w:szCs w:val="16"/>
                <w:color w:val="auto"/>
              </w:rPr>
              <w:t>Common stock, par value $0.0001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rPr>
              <w:t>GMTX</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04" w:lineRule="exact"/>
        <w:rPr>
          <w:sz w:val="24"/>
          <w:szCs w:val="24"/>
          <w:color w:val="auto"/>
        </w:rPr>
      </w:pPr>
    </w:p>
    <w:p>
      <w:pPr>
        <w:ind w:firstLine="509"/>
        <w:spacing w:after="0" w:line="22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ind w:right="180" w:firstLine="509"/>
        <w:spacing w:after="0" w:line="23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11" w:lineRule="exact"/>
        <w:rPr>
          <w:sz w:val="24"/>
          <w:szCs w:val="24"/>
          <w:color w:val="auto"/>
        </w:rPr>
      </w:pPr>
    </w:p>
    <w:p>
      <w:pPr>
        <w:jc w:val="both"/>
        <w:ind w:right="300" w:firstLine="50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500"/>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500"/>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2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13" w:lineRule="exact"/>
        <w:rPr>
          <w:sz w:val="24"/>
          <w:szCs w:val="24"/>
          <w:color w:val="auto"/>
        </w:rPr>
      </w:pPr>
    </w:p>
    <w:p>
      <w:pPr>
        <w:ind w:right="80" w:firstLine="50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20" w:right="2120"/>
        <w:spacing w:after="0" w:line="248"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r>
        <w:rPr>
          <w:rFonts w:ascii="Arial" w:cs="Arial" w:eastAsia="Arial" w:hAnsi="Arial"/>
          <w:sz w:val="15"/>
          <w:szCs w:val="15"/>
          <w:color w:val="auto"/>
        </w:rPr>
        <w:t xml:space="preserve"> As of November 9, 2021, the registrant had 43,112,742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“anticipate,” “believe,” “contemplate,” “continue,” “could,” “estimate,” “expect,” “intends,” “may,” “might,” “plan,” “possible,” “potential,” “predict,” “project,” “seek,” “should,” “target,” “will,” “would” or the negative of these terms or similar expressions, but the absence of these words does not mean that a statement is not forward-looking.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results of operations, business strategy, short- and long-term business operations and objectives, and financial needs.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referenced in the section titled “Risk Factors” and elsewhere in this Quarterly Report on Form 10-Q.</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These forward-looking statements are made only as of the date of this Quarterly Report on Form 10-Q. 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Quarterly Report on Form 10-Q to conform these statements to actual results or to changes in our expectations.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in this Quarterly Report on Form 10-Q include, but are not limited to, statements about:</w:t>
      </w:r>
    </w:p>
    <w:p>
      <w:pPr>
        <w:spacing w:after="0" w:line="239" w:lineRule="exact"/>
        <w:rPr>
          <w:sz w:val="20"/>
          <w:szCs w:val="20"/>
          <w:color w:val="auto"/>
        </w:rPr>
      </w:pPr>
    </w:p>
    <w:p>
      <w:pPr>
        <w:ind w:left="700" w:right="20"/>
        <w:spacing w:after="0" w:line="293" w:lineRule="auto"/>
        <w:rPr>
          <w:sz w:val="20"/>
          <w:szCs w:val="20"/>
          <w:color w:val="auto"/>
        </w:rPr>
      </w:pPr>
      <w:r>
        <w:rPr>
          <w:rFonts w:ascii="Arial" w:cs="Arial" w:eastAsia="Arial" w:hAnsi="Arial"/>
          <w:sz w:val="18"/>
          <w:szCs w:val="18"/>
          <w:color w:val="auto"/>
        </w:rPr>
        <w:t>the ability of our clinical trials to demonstrate acceptable safety and efficacy of our product candidates, including GEM103, our lead product candidate, and other positive results;</w:t>
      </w:r>
    </w:p>
    <w:p>
      <w:pPr>
        <w:spacing w:after="0" w:line="170" w:lineRule="exact"/>
        <w:rPr>
          <w:sz w:val="20"/>
          <w:szCs w:val="20"/>
          <w:color w:val="auto"/>
        </w:rPr>
      </w:pPr>
    </w:p>
    <w:p>
      <w:pPr>
        <w:ind w:left="700"/>
        <w:spacing w:after="0" w:line="359" w:lineRule="auto"/>
        <w:rPr>
          <w:sz w:val="20"/>
          <w:szCs w:val="20"/>
          <w:color w:val="auto"/>
        </w:rPr>
      </w:pPr>
      <w:r>
        <w:rPr>
          <w:rFonts w:ascii="Arial" w:cs="Arial" w:eastAsia="Arial" w:hAnsi="Arial"/>
          <w:sz w:val="16"/>
          <w:szCs w:val="16"/>
          <w:color w:val="auto"/>
        </w:rPr>
        <w:t>the timing, progress and results of our ongoing and planned clinical trials for GEM103 and our other product candidates, including statements regarding the timing of initiation and completion of studies or trials and related preparatory work and of anticipated result from these trials,</w:t>
      </w:r>
    </w:p>
    <w:p>
      <w:pPr>
        <w:spacing w:after="0" w:line="1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period during which the results of the trials will become available, and our research and development programs;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timing, scope and likelihood of regulatory filings;</w:t>
      </w:r>
    </w:p>
    <w:p>
      <w:pPr>
        <w:spacing w:after="0" w:line="239"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our ability to obtain and maintain marketing approvals of our product candidates and to meet existing or future regulatory standards or comply with post-approval requirements;</w:t>
      </w:r>
    </w:p>
    <w:p>
      <w:pPr>
        <w:spacing w:after="0" w:line="170"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our expectations regarding the potential market size and the size of the patient populations for our product candidates, if approved for commercial use;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commercialization, marketing and manufacturing capabilities and strategy;</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intellectual property position and expectations regarding our ability to obtain and maintain intellectual property protection;</w:t>
      </w:r>
    </w:p>
    <w:p>
      <w:pPr>
        <w:spacing w:after="0" w:line="239"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impact of government laws and regulations;</w:t>
      </w:r>
    </w:p>
    <w:p>
      <w:pPr>
        <w:spacing w:after="0" w:line="239" w:lineRule="exact"/>
        <w:rPr>
          <w:sz w:val="20"/>
          <w:szCs w:val="20"/>
          <w:color w:val="auto"/>
        </w:rPr>
      </w:pPr>
    </w:p>
    <w:p>
      <w:pPr>
        <w:ind w:left="700" w:right="20"/>
        <w:spacing w:after="0" w:line="293" w:lineRule="auto"/>
        <w:rPr>
          <w:sz w:val="20"/>
          <w:szCs w:val="20"/>
          <w:color w:val="auto"/>
        </w:rPr>
      </w:pPr>
      <w:r>
        <w:rPr>
          <w:rFonts w:ascii="Arial" w:cs="Arial" w:eastAsia="Arial" w:hAnsi="Arial"/>
          <w:sz w:val="18"/>
          <w:szCs w:val="18"/>
          <w:color w:val="auto"/>
        </w:rPr>
        <w:t>our competitive position and expectations regarding developments and projections relating to our competitors and any competing therapies that are or become available;</w:t>
      </w:r>
    </w:p>
    <w:p>
      <w:pPr>
        <w:spacing w:after="0" w:line="170" w:lineRule="exact"/>
        <w:rPr>
          <w:sz w:val="20"/>
          <w:szCs w:val="20"/>
          <w:color w:val="auto"/>
        </w:rPr>
      </w:pPr>
    </w:p>
    <w:p>
      <w:pPr>
        <w:ind w:left="5600" w:right="2400" w:hanging="4892"/>
        <w:spacing w:after="0" w:line="293" w:lineRule="auto"/>
        <w:rPr>
          <w:sz w:val="20"/>
          <w:szCs w:val="20"/>
          <w:color w:val="auto"/>
        </w:rPr>
      </w:pPr>
      <w:r>
        <w:rPr>
          <w:rFonts w:ascii="Arial" w:cs="Arial" w:eastAsia="Arial" w:hAnsi="Arial"/>
          <w:sz w:val="18"/>
          <w:szCs w:val="18"/>
          <w:color w:val="auto"/>
        </w:rPr>
        <w:t>developments and expectations regarding developments and projections relating to our competitors and industry;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ind w:right="2880"/>
        <w:spacing w:after="0" w:line="516" w:lineRule="auto"/>
        <w:rPr>
          <w:sz w:val="20"/>
          <w:szCs w:val="20"/>
          <w:color w:val="auto"/>
        </w:rPr>
      </w:pPr>
      <w:r>
        <w:rPr>
          <w:rFonts w:ascii="Arial" w:cs="Arial" w:eastAsia="Arial" w:hAnsi="Arial"/>
          <w:sz w:val="18"/>
          <w:szCs w:val="18"/>
          <w:color w:val="auto"/>
        </w:rPr>
        <w:t>the possibility that we may be adversely impacted by other economic, business and/or competitive factors; future exchange and interest rates;</w:t>
      </w:r>
    </w:p>
    <w:p>
      <w:pPr>
        <w:spacing w:after="0" w:line="1"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our ability to contract with and rely on third parties to assist in conducting our clinical trials and manufacturing our product candidates (including sourcing our raw materials);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attract and retain key scientific, medical, commercial or management personnel;</w:t>
      </w:r>
    </w:p>
    <w:p>
      <w:pPr>
        <w:spacing w:after="0" w:line="239"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our estimates regarding expenses, costs and benefits associated with the restructuring, future revenue, capital requirements and needs for additional financing;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our expectations regarding our cash runway;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ability to recognize the anticipated benefits of the Business Combination (as defined herein); and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potential impact of the COVID-19 pandemic on the foregoing.</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1020" w:top="584"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300" w:type="dxa"/>
            <w:vAlign w:val="bottom"/>
            <w:gridSpan w:val="19"/>
          </w:tcPr>
          <w:p>
            <w:pPr>
              <w:spacing w:after="0" w:line="182" w:lineRule="exact"/>
              <w:rPr>
                <w:rFonts w:ascii="Arial" w:cs="Arial" w:eastAsia="Arial" w:hAnsi="Arial"/>
                <w:sz w:val="18"/>
                <w:szCs w:val="18"/>
                <w:color w:val="0563C1"/>
              </w:rPr>
            </w:pPr>
            <w:hyperlink w:anchor="page5">
              <w:r>
                <w:rPr>
                  <w:rFonts w:ascii="Arial" w:cs="Arial" w:eastAsia="Arial" w:hAnsi="Arial"/>
                  <w:sz w:val="18"/>
                  <w:szCs w:val="18"/>
                  <w:color w:val="0563C1"/>
                </w:rPr>
                <w:t>FINANCIAL INFORMATION</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rFonts w:ascii="Arial" w:cs="Arial" w:eastAsia="Arial" w:hAnsi="Arial"/>
                <w:sz w:val="18"/>
                <w:szCs w:val="18"/>
                <w:color w:val="0563C1"/>
              </w:rPr>
            </w:pPr>
            <w:hyperlink w:anchor="page5">
              <w:r>
                <w:rPr>
                  <w:rFonts w:ascii="Arial" w:cs="Arial" w:eastAsia="Arial" w:hAnsi="Arial"/>
                  <w:sz w:val="18"/>
                  <w:szCs w:val="18"/>
                  <w:color w:val="0563C1"/>
                </w:rPr>
                <w:t>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9"/>
          </w:tcPr>
          <w:p>
            <w:pPr>
              <w:spacing w:after="0"/>
              <w:rPr>
                <w:rFonts w:ascii="Arial" w:cs="Arial" w:eastAsia="Arial" w:hAnsi="Arial"/>
                <w:sz w:val="18"/>
                <w:szCs w:val="18"/>
                <w:color w:val="0563C1"/>
              </w:rPr>
            </w:pPr>
            <w:hyperlink w:anchor="page5">
              <w:r>
                <w:rPr>
                  <w:rFonts w:ascii="Arial" w:cs="Arial" w:eastAsia="Arial" w:hAnsi="Arial"/>
                  <w:sz w:val="18"/>
                  <w:szCs w:val="18"/>
                  <w:color w:val="0563C1"/>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540" w:type="dxa"/>
            <w:vAlign w:val="bottom"/>
            <w:tcBorders>
              <w:bottom w:val="single" w:sz="8" w:color="0563C1"/>
            </w:tcBorders>
            <w:gridSpan w:val="17"/>
          </w:tcPr>
          <w:p>
            <w:pPr>
              <w:spacing w:after="0"/>
              <w:rPr>
                <w:rFonts w:ascii="Arial" w:cs="Arial" w:eastAsia="Arial" w:hAnsi="Arial"/>
                <w:sz w:val="18"/>
                <w:szCs w:val="18"/>
                <w:color w:val="0563C1"/>
                <w:w w:val="88"/>
              </w:rPr>
            </w:pPr>
            <w:hyperlink w:anchor="page6">
              <w:r>
                <w:rPr>
                  <w:rFonts w:ascii="Arial" w:cs="Arial" w:eastAsia="Arial" w:hAnsi="Arial"/>
                  <w:sz w:val="18"/>
                  <w:szCs w:val="18"/>
                  <w:color w:val="0563C1"/>
                  <w:w w:val="88"/>
                </w:rPr>
                <w:t>Condensed Consolidated Statements of Operations and Comprehensive Loss</w:t>
              </w:r>
            </w:hyperlink>
          </w:p>
        </w:tc>
        <w:tc>
          <w:tcPr>
            <w:tcW w:w="376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9"/>
          </w:tcPr>
          <w:p>
            <w:pPr>
              <w:spacing w:after="0"/>
              <w:rPr>
                <w:rFonts w:ascii="Arial" w:cs="Arial" w:eastAsia="Arial" w:hAnsi="Arial"/>
                <w:sz w:val="18"/>
                <w:szCs w:val="18"/>
                <w:color w:val="0563C1"/>
              </w:rPr>
            </w:pPr>
            <w:hyperlink w:anchor="page7">
              <w:r>
                <w:rPr>
                  <w:rFonts w:ascii="Arial" w:cs="Arial" w:eastAsia="Arial" w:hAnsi="Arial"/>
                  <w:sz w:val="18"/>
                  <w:szCs w:val="18"/>
                  <w:color w:val="0563C1"/>
                </w:rPr>
                <w:t>Condensed Consolidated Statements of Stockholders’ Equity (Deficit)</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60" w:type="dxa"/>
            <w:vAlign w:val="bottom"/>
            <w:tcBorders>
              <w:top w:val="single" w:sz="8" w:color="0563C1"/>
            </w:tcBorders>
            <w:gridSpan w:val="16"/>
          </w:tcPr>
          <w:p>
            <w:pPr>
              <w:spacing w:after="0"/>
              <w:rPr>
                <w:rFonts w:ascii="Arial" w:cs="Arial" w:eastAsia="Arial" w:hAnsi="Arial"/>
                <w:sz w:val="18"/>
                <w:szCs w:val="18"/>
                <w:color w:val="0563C1"/>
              </w:rPr>
            </w:pPr>
            <w:hyperlink w:anchor="page9">
              <w:r>
                <w:rPr>
                  <w:rFonts w:ascii="Arial" w:cs="Arial" w:eastAsia="Arial" w:hAnsi="Arial"/>
                  <w:sz w:val="18"/>
                  <w:szCs w:val="18"/>
                  <w:color w:val="0563C1"/>
                </w:rPr>
                <w:t>Condensed Consolidated Statements of Cash Flows</w:t>
              </w:r>
            </w:hyperlink>
          </w:p>
        </w:tc>
        <w:tc>
          <w:tcPr>
            <w:tcW w:w="4240" w:type="dxa"/>
            <w:vAlign w:val="bottom"/>
            <w:gridSpan w:val="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380" w:type="dxa"/>
            <w:vAlign w:val="bottom"/>
            <w:gridSpan w:val="3"/>
            <w:shd w:val="clear" w:color="auto" w:fill="0563C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0" w:type="dxa"/>
            <w:vAlign w:val="bottom"/>
            <w:tcBorders>
              <w:bottom w:val="single" w:sz="8" w:color="0563C1"/>
            </w:tcBorders>
            <w:gridSpan w:val="15"/>
          </w:tcPr>
          <w:p>
            <w:pPr>
              <w:spacing w:after="0"/>
              <w:rPr>
                <w:rFonts w:ascii="Arial" w:cs="Arial" w:eastAsia="Arial" w:hAnsi="Arial"/>
                <w:sz w:val="18"/>
                <w:szCs w:val="18"/>
                <w:color w:val="0563C1"/>
                <w:w w:val="89"/>
              </w:rPr>
            </w:pPr>
            <w:hyperlink w:anchor="page10">
              <w:r>
                <w:rPr>
                  <w:rFonts w:ascii="Arial" w:cs="Arial" w:eastAsia="Arial" w:hAnsi="Arial"/>
                  <w:sz w:val="18"/>
                  <w:szCs w:val="18"/>
                  <w:color w:val="0563C1"/>
                  <w:w w:val="89"/>
                </w:rPr>
                <w:t>Notes to Unaudited Condensed Consolidated Financial Statements</w:t>
              </w:r>
            </w:hyperlink>
          </w:p>
        </w:tc>
        <w:tc>
          <w:tcPr>
            <w:tcW w:w="4500" w:type="dxa"/>
            <w:vAlign w:val="bottom"/>
            <w:gridSpan w:val="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9"/>
          </w:tcPr>
          <w:p>
            <w:pPr>
              <w:spacing w:after="0"/>
              <w:rPr>
                <w:rFonts w:ascii="Arial" w:cs="Arial" w:eastAsia="Arial" w:hAnsi="Arial"/>
                <w:sz w:val="18"/>
                <w:szCs w:val="18"/>
                <w:color w:val="0563C1"/>
              </w:rPr>
            </w:pPr>
            <w:hyperlink w:anchor="page26">
              <w:r>
                <w:rPr>
                  <w:rFonts w:ascii="Arial" w:cs="Arial" w:eastAsia="Arial" w:hAnsi="Arial"/>
                  <w:sz w:val="18"/>
                  <w:szCs w:val="18"/>
                  <w:color w:val="0563C1"/>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563C1"/>
              <w:bottom w:val="single" w:sz="8" w:color="0563C1"/>
            </w:tcBorders>
            <w:gridSpan w:val="14"/>
          </w:tcPr>
          <w:p>
            <w:pPr>
              <w:spacing w:after="0"/>
              <w:rPr>
                <w:rFonts w:ascii="Arial" w:cs="Arial" w:eastAsia="Arial" w:hAnsi="Arial"/>
                <w:sz w:val="18"/>
                <w:szCs w:val="18"/>
                <w:color w:val="0563C1"/>
                <w:w w:val="92"/>
              </w:rPr>
            </w:pPr>
            <w:hyperlink w:anchor="page38">
              <w:r>
                <w:rPr>
                  <w:rFonts w:ascii="Arial" w:cs="Arial" w:eastAsia="Arial" w:hAnsi="Arial"/>
                  <w:sz w:val="18"/>
                  <w:szCs w:val="18"/>
                  <w:color w:val="0563C1"/>
                  <w:w w:val="92"/>
                </w:rPr>
                <w:t>Quantitative and Qualitative Disclosures About Market Risk</w:t>
              </w:r>
            </w:hyperlink>
          </w:p>
        </w:tc>
        <w:tc>
          <w:tcPr>
            <w:tcW w:w="2080" w:type="dxa"/>
            <w:vAlign w:val="bottom"/>
            <w:tcBorders>
              <w:top w:val="single" w:sz="8" w:color="0563C1"/>
            </w:tcBorders>
            <w:gridSpan w:val="4"/>
          </w:tcPr>
          <w:p>
            <w:pPr>
              <w:spacing w:after="0"/>
              <w:rPr>
                <w:sz w:val="19"/>
                <w:szCs w:val="19"/>
                <w:color w:val="auto"/>
              </w:rPr>
            </w:pPr>
          </w:p>
        </w:tc>
        <w:tc>
          <w:tcPr>
            <w:tcW w:w="28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563C1"/>
            </w:tcBorders>
            <w:gridSpan w:val="5"/>
          </w:tcPr>
          <w:p>
            <w:pPr>
              <w:spacing w:after="0"/>
              <w:rPr>
                <w:rFonts w:ascii="Arial" w:cs="Arial" w:eastAsia="Arial" w:hAnsi="Arial"/>
                <w:sz w:val="18"/>
                <w:szCs w:val="18"/>
                <w:color w:val="0563C1"/>
                <w:w w:val="88"/>
              </w:rPr>
            </w:pPr>
            <w:hyperlink w:anchor="page38">
              <w:r>
                <w:rPr>
                  <w:rFonts w:ascii="Arial" w:cs="Arial" w:eastAsia="Arial" w:hAnsi="Arial"/>
                  <w:sz w:val="18"/>
                  <w:szCs w:val="18"/>
                  <w:color w:val="0563C1"/>
                  <w:w w:val="88"/>
                </w:rPr>
                <w:t>Controls and Procedures</w:t>
              </w:r>
            </w:hyperlink>
          </w:p>
        </w:tc>
        <w:tc>
          <w:tcPr>
            <w:tcW w:w="20" w:type="dxa"/>
            <w:vAlign w:val="bottom"/>
            <w:tcBorders>
              <w:bottom w:val="single" w:sz="8" w:color="0000EE"/>
            </w:tcBorders>
          </w:tcPr>
          <w:p>
            <w:pPr>
              <w:spacing w:after="0"/>
              <w:rPr>
                <w:sz w:val="19"/>
                <w:szCs w:val="19"/>
                <w:color w:val="auto"/>
              </w:rPr>
            </w:pPr>
          </w:p>
        </w:tc>
        <w:tc>
          <w:tcPr>
            <w:tcW w:w="7500" w:type="dxa"/>
            <w:vAlign w:val="bottom"/>
            <w:gridSpan w:val="1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563C1"/>
            </w:tcBorders>
            <w:gridSpan w:val="7"/>
          </w:tcPr>
          <w:p>
            <w:pPr>
              <w:spacing w:after="0"/>
              <w:rPr>
                <w:rFonts w:ascii="Arial" w:cs="Arial" w:eastAsia="Arial" w:hAnsi="Arial"/>
                <w:sz w:val="18"/>
                <w:szCs w:val="18"/>
                <w:color w:val="0563C1"/>
                <w:w w:val="96"/>
              </w:rPr>
            </w:pPr>
            <w:hyperlink w:anchor="page40">
              <w:r>
                <w:rPr>
                  <w:rFonts w:ascii="Arial" w:cs="Arial" w:eastAsia="Arial" w:hAnsi="Arial"/>
                  <w:sz w:val="18"/>
                  <w:szCs w:val="18"/>
                  <w:color w:val="0563C1"/>
                  <w:w w:val="96"/>
                </w:rPr>
                <w:t>OTHER INFORMATION</w:t>
              </w:r>
            </w:hyperlink>
          </w:p>
        </w:tc>
        <w:tc>
          <w:tcPr>
            <w:tcW w:w="7400" w:type="dxa"/>
            <w:vAlign w:val="bottom"/>
            <w:gridSpan w:val="1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rFonts w:ascii="Arial" w:cs="Arial" w:eastAsia="Arial" w:hAnsi="Arial"/>
                <w:sz w:val="18"/>
                <w:szCs w:val="18"/>
                <w:color w:val="0563C1"/>
              </w:rPr>
            </w:pPr>
            <w:hyperlink w:anchor="page40">
              <w:r>
                <w:rPr>
                  <w:rFonts w:ascii="Arial" w:cs="Arial" w:eastAsia="Arial" w:hAnsi="Arial"/>
                  <w:sz w:val="18"/>
                  <w:szCs w:val="18"/>
                  <w:color w:val="0563C1"/>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563C1"/>
              <w:bottom w:val="single" w:sz="8" w:color="0563C1"/>
            </w:tcBorders>
            <w:gridSpan w:val="2"/>
          </w:tcPr>
          <w:p>
            <w:pPr>
              <w:spacing w:after="0"/>
              <w:rPr>
                <w:rFonts w:ascii="Arial" w:cs="Arial" w:eastAsia="Arial" w:hAnsi="Arial"/>
                <w:sz w:val="18"/>
                <w:szCs w:val="18"/>
                <w:color w:val="0563C1"/>
                <w:w w:val="89"/>
              </w:rPr>
            </w:pPr>
            <w:hyperlink w:anchor="page40">
              <w:r>
                <w:rPr>
                  <w:rFonts w:ascii="Arial" w:cs="Arial" w:eastAsia="Arial" w:hAnsi="Arial"/>
                  <w:sz w:val="18"/>
                  <w:szCs w:val="18"/>
                  <w:color w:val="0563C1"/>
                  <w:w w:val="89"/>
                </w:rPr>
                <w:t>Risk Factors</w:t>
              </w:r>
            </w:hyperlink>
          </w:p>
        </w:tc>
        <w:tc>
          <w:tcPr>
            <w:tcW w:w="420" w:type="dxa"/>
            <w:vAlign w:val="bottom"/>
            <w:tcBorders>
              <w:top w:val="single" w:sz="8" w:color="0563C1"/>
            </w:tcBorders>
            <w:gridSpan w:val="2"/>
          </w:tcPr>
          <w:p>
            <w:pPr>
              <w:spacing w:after="0"/>
              <w:rPr>
                <w:sz w:val="19"/>
                <w:szCs w:val="19"/>
                <w:color w:val="auto"/>
              </w:rPr>
            </w:pPr>
          </w:p>
        </w:tc>
        <w:tc>
          <w:tcPr>
            <w:tcW w:w="7960" w:type="dxa"/>
            <w:vAlign w:val="bottom"/>
            <w:gridSpan w:val="15"/>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563C1"/>
            </w:tcBorders>
            <w:gridSpan w:val="13"/>
          </w:tcPr>
          <w:p>
            <w:pPr>
              <w:spacing w:after="0"/>
              <w:rPr>
                <w:rFonts w:ascii="Arial" w:cs="Arial" w:eastAsia="Arial" w:hAnsi="Arial"/>
                <w:sz w:val="18"/>
                <w:szCs w:val="18"/>
                <w:color w:val="0563C1"/>
                <w:w w:val="89"/>
              </w:rPr>
            </w:pPr>
            <w:hyperlink w:anchor="page40">
              <w:r>
                <w:rPr>
                  <w:rFonts w:ascii="Arial" w:cs="Arial" w:eastAsia="Arial" w:hAnsi="Arial"/>
                  <w:sz w:val="18"/>
                  <w:szCs w:val="18"/>
                  <w:color w:val="0563C1"/>
                  <w:w w:val="89"/>
                </w:rPr>
                <w:t>Unregistered Sales of Equity Securities and Use of Proceeds</w:t>
              </w:r>
            </w:hyperlink>
          </w:p>
        </w:tc>
        <w:tc>
          <w:tcPr>
            <w:tcW w:w="4940" w:type="dxa"/>
            <w:vAlign w:val="bottom"/>
            <w:gridSpan w:val="6"/>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563C1"/>
            </w:tcBorders>
            <w:gridSpan w:val="9"/>
          </w:tcPr>
          <w:p>
            <w:pPr>
              <w:spacing w:after="0"/>
              <w:rPr>
                <w:rFonts w:ascii="Arial" w:cs="Arial" w:eastAsia="Arial" w:hAnsi="Arial"/>
                <w:sz w:val="18"/>
                <w:szCs w:val="18"/>
                <w:color w:val="0563C1"/>
                <w:w w:val="90"/>
              </w:rPr>
            </w:pPr>
            <w:hyperlink w:anchor="page40">
              <w:r>
                <w:rPr>
                  <w:rFonts w:ascii="Arial" w:cs="Arial" w:eastAsia="Arial" w:hAnsi="Arial"/>
                  <w:sz w:val="18"/>
                  <w:szCs w:val="18"/>
                  <w:color w:val="0563C1"/>
                  <w:w w:val="90"/>
                </w:rPr>
                <w:t>Defaults Upon Senior Securities</w:t>
              </w:r>
            </w:hyperlink>
          </w:p>
        </w:tc>
        <w:tc>
          <w:tcPr>
            <w:tcW w:w="6960" w:type="dxa"/>
            <w:vAlign w:val="bottom"/>
            <w:gridSpan w:val="10"/>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563C1"/>
            </w:tcBorders>
            <w:gridSpan w:val="5"/>
          </w:tcPr>
          <w:p>
            <w:pPr>
              <w:spacing w:after="0"/>
              <w:rPr>
                <w:rFonts w:ascii="Arial" w:cs="Arial" w:eastAsia="Arial" w:hAnsi="Arial"/>
                <w:sz w:val="18"/>
                <w:szCs w:val="18"/>
                <w:color w:val="0563C1"/>
                <w:w w:val="91"/>
              </w:rPr>
            </w:pPr>
            <w:hyperlink w:anchor="page40">
              <w:r>
                <w:rPr>
                  <w:rFonts w:ascii="Arial" w:cs="Arial" w:eastAsia="Arial" w:hAnsi="Arial"/>
                  <w:sz w:val="18"/>
                  <w:szCs w:val="18"/>
                  <w:color w:val="0563C1"/>
                  <w:w w:val="91"/>
                </w:rPr>
                <w:t>Mine Safety Disclosures</w:t>
              </w:r>
            </w:hyperlink>
          </w:p>
        </w:tc>
        <w:tc>
          <w:tcPr>
            <w:tcW w:w="7520" w:type="dxa"/>
            <w:vAlign w:val="bottom"/>
            <w:gridSpan w:val="1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19"/>
          </w:tcPr>
          <w:p>
            <w:pPr>
              <w:spacing w:after="0"/>
              <w:rPr>
                <w:rFonts w:ascii="Arial" w:cs="Arial" w:eastAsia="Arial" w:hAnsi="Arial"/>
                <w:sz w:val="18"/>
                <w:szCs w:val="18"/>
                <w:color w:val="0563C1"/>
              </w:rPr>
            </w:pPr>
            <w:hyperlink w:anchor="page40">
              <w:r>
                <w:rPr>
                  <w:rFonts w:ascii="Arial" w:cs="Arial" w:eastAsia="Arial" w:hAnsi="Arial"/>
                  <w:sz w:val="18"/>
                  <w:szCs w:val="18"/>
                  <w:color w:val="0563C1"/>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563C1"/>
            </w:tcBorders>
            <w:gridSpan w:val="3"/>
          </w:tcPr>
          <w:p>
            <w:pPr>
              <w:spacing w:after="0"/>
              <w:rPr>
                <w:rFonts w:ascii="Arial" w:cs="Arial" w:eastAsia="Arial" w:hAnsi="Arial"/>
                <w:sz w:val="18"/>
                <w:szCs w:val="18"/>
                <w:color w:val="0563C1"/>
              </w:rPr>
            </w:pPr>
            <w:hyperlink w:anchor="page42">
              <w:r>
                <w:rPr>
                  <w:rFonts w:ascii="Arial" w:cs="Arial" w:eastAsia="Arial" w:hAnsi="Arial"/>
                  <w:sz w:val="18"/>
                  <w:szCs w:val="18"/>
                  <w:color w:val="0563C1"/>
                </w:rPr>
                <w:t>Exhibits</w:t>
              </w:r>
            </w:hyperlink>
          </w:p>
        </w:tc>
        <w:tc>
          <w:tcPr>
            <w:tcW w:w="7980" w:type="dxa"/>
            <w:vAlign w:val="bottom"/>
            <w:gridSpan w:val="16"/>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1140" w:type="dxa"/>
            <w:vAlign w:val="bottom"/>
            <w:gridSpan w:val="2"/>
          </w:tcPr>
          <w:p>
            <w:pPr>
              <w:spacing w:after="0"/>
              <w:rPr>
                <w:rFonts w:ascii="Arial" w:cs="Arial" w:eastAsia="Arial" w:hAnsi="Arial"/>
                <w:sz w:val="18"/>
                <w:szCs w:val="18"/>
                <w:color w:val="0563C1"/>
              </w:rPr>
            </w:pPr>
            <w:hyperlink w:anchor="page43">
              <w:r>
                <w:rPr>
                  <w:rFonts w:ascii="Arial" w:cs="Arial" w:eastAsia="Arial" w:hAnsi="Arial"/>
                  <w:sz w:val="18"/>
                  <w:szCs w:val="18"/>
                  <w:color w:val="0563C1"/>
                </w:rPr>
                <w:t>Signatures</w:t>
              </w:r>
            </w:hyperlink>
          </w:p>
        </w:tc>
        <w:tc>
          <w:tcPr>
            <w:tcW w:w="600" w:type="dxa"/>
            <w:vAlign w:val="bottom"/>
            <w:tcBorders>
              <w:top w:val="single" w:sz="8" w:color="0563C1"/>
            </w:tcBorders>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760" w:type="dxa"/>
            <w:vAlign w:val="bottom"/>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4"/>
              </w:rPr>
              <w:t>September 30,</w:t>
            </w:r>
          </w:p>
        </w:tc>
        <w:tc>
          <w:tcPr>
            <w:tcW w:w="18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r>
      <w:tr>
        <w:trPr>
          <w:trHeight w:val="241"/>
        </w:trPr>
        <w:tc>
          <w:tcPr>
            <w:tcW w:w="7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150,069</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4,503</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r>
      <w:tr>
        <w:trPr>
          <w:trHeight w:val="256"/>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154,800</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5,065</w:t>
            </w:r>
          </w:p>
        </w:tc>
        <w:tc>
          <w:tcPr>
            <w:tcW w:w="100" w:type="dxa"/>
            <w:vAlign w:val="bottom"/>
            <w:shd w:val="clear" w:color="auto" w:fill="CFF0FC"/>
          </w:tcPr>
          <w:p>
            <w:pPr>
              <w:spacing w:after="0"/>
              <w:rPr>
                <w:sz w:val="22"/>
                <w:szCs w:val="22"/>
                <w:color w:val="auto"/>
              </w:rPr>
            </w:pPr>
          </w:p>
        </w:tc>
      </w:tr>
      <w:tr>
        <w:trPr>
          <w:trHeight w:val="257"/>
        </w:trPr>
        <w:tc>
          <w:tcPr>
            <w:tcW w:w="7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323</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offering costs</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2,637</w:t>
            </w:r>
          </w:p>
        </w:tc>
        <w:tc>
          <w:tcPr>
            <w:tcW w:w="100" w:type="dxa"/>
            <w:vAlign w:val="bottom"/>
            <w:shd w:val="clear" w:color="auto" w:fill="CFF0FC"/>
          </w:tcPr>
          <w:p>
            <w:pPr>
              <w:spacing w:after="0"/>
              <w:rPr>
                <w:sz w:val="22"/>
                <w:szCs w:val="22"/>
                <w:color w:val="auto"/>
              </w:rPr>
            </w:pPr>
          </w:p>
        </w:tc>
      </w:tr>
      <w:tr>
        <w:trPr>
          <w:trHeight w:val="256"/>
        </w:trPr>
        <w:tc>
          <w:tcPr>
            <w:tcW w:w="76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90"/>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155,535</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 (deficit)</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2,377</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6,722</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5,810</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Term loan, current portion</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22"/>
                <w:szCs w:val="22"/>
                <w:color w:val="auto"/>
              </w:rPr>
            </w:pPr>
          </w:p>
        </w:tc>
      </w:tr>
      <w:tr>
        <w:trPr>
          <w:trHeight w:val="257"/>
        </w:trPr>
        <w:tc>
          <w:tcPr>
            <w:tcW w:w="76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11,689</w:t>
            </w:r>
          </w:p>
        </w:tc>
        <w:tc>
          <w:tcPr>
            <w:tcW w:w="100" w:type="dxa"/>
            <w:vAlign w:val="bottom"/>
          </w:tcPr>
          <w:p>
            <w:pPr>
              <w:spacing w:after="0"/>
              <w:rPr>
                <w:sz w:val="22"/>
                <w:szCs w:val="22"/>
                <w:color w:val="auto"/>
              </w:rPr>
            </w:pPr>
          </w:p>
        </w:tc>
      </w:tr>
      <w:tr>
        <w:trPr>
          <w:trHeight w:val="250"/>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24,876</w:t>
            </w:r>
          </w:p>
        </w:tc>
        <w:tc>
          <w:tcPr>
            <w:tcW w:w="100" w:type="dxa"/>
            <w:vAlign w:val="bottom"/>
            <w:shd w:val="clear" w:color="auto" w:fill="CFF0FC"/>
          </w:tcPr>
          <w:p>
            <w:pPr>
              <w:spacing w:after="0"/>
              <w:rPr>
                <w:sz w:val="21"/>
                <w:szCs w:val="21"/>
                <w:color w:val="auto"/>
              </w:rPr>
            </w:pPr>
          </w:p>
        </w:tc>
      </w:tr>
      <w:tr>
        <w:trPr>
          <w:trHeight w:val="256"/>
        </w:trPr>
        <w:tc>
          <w:tcPr>
            <w:tcW w:w="7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Warrant liability</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366</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r>
      <w:tr>
        <w:trPr>
          <w:trHeight w:val="263"/>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Term loan, net of current portion and discount</w:t>
            </w:r>
          </w:p>
        </w:tc>
        <w:tc>
          <w:tcPr>
            <w:tcW w:w="18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14,674</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30,180</w:t>
            </w:r>
          </w:p>
        </w:tc>
        <w:tc>
          <w:tcPr>
            <w:tcW w:w="100" w:type="dxa"/>
            <w:vAlign w:val="bottom"/>
          </w:tcPr>
          <w:p>
            <w:pPr>
              <w:spacing w:after="0"/>
              <w:rPr>
                <w:sz w:val="21"/>
                <w:szCs w:val="21"/>
                <w:color w:val="auto"/>
              </w:rPr>
            </w:pPr>
          </w:p>
        </w:tc>
      </w:tr>
      <w:tr>
        <w:trPr>
          <w:trHeight w:val="250"/>
        </w:trPr>
        <w:tc>
          <w:tcPr>
            <w:tcW w:w="76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$0.0001 par value; 10,000,000 shares authorized; no shares issued</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76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and outstanding as of September 30, 2021 and December 31, 2020</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42"/>
        </w:trPr>
        <w:tc>
          <w:tcPr>
            <w:tcW w:w="7640" w:type="dxa"/>
            <w:vAlign w:val="bottom"/>
          </w:tcPr>
          <w:p>
            <w:pPr>
              <w:ind w:left="200"/>
              <w:spacing w:after="0"/>
              <w:rPr>
                <w:sz w:val="20"/>
                <w:szCs w:val="20"/>
                <w:color w:val="auto"/>
              </w:rPr>
            </w:pPr>
            <w:r>
              <w:rPr>
                <w:rFonts w:ascii="Arial" w:cs="Arial" w:eastAsia="Arial" w:hAnsi="Arial"/>
                <w:sz w:val="18"/>
                <w:szCs w:val="18"/>
                <w:color w:val="auto"/>
              </w:rPr>
              <w:t>Common stock, $0.0001 par value; 250,000,000 shares authorized; 43,112,742 and</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640" w:type="dxa"/>
            <w:vAlign w:val="bottom"/>
          </w:tcPr>
          <w:p>
            <w:pPr>
              <w:ind w:left="340"/>
              <w:spacing w:after="0"/>
              <w:rPr>
                <w:sz w:val="20"/>
                <w:szCs w:val="20"/>
                <w:color w:val="auto"/>
              </w:rPr>
            </w:pPr>
            <w:r>
              <w:rPr>
                <w:rFonts w:ascii="Arial" w:cs="Arial" w:eastAsia="Arial" w:hAnsi="Arial"/>
                <w:sz w:val="18"/>
                <w:szCs w:val="18"/>
                <w:color w:val="auto"/>
              </w:rPr>
              <w:t>15,565,380 shares issued and outstanding as of September 30, 2021 and December 31,</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640" w:type="dxa"/>
            <w:vAlign w:val="bottom"/>
          </w:tcPr>
          <w:p>
            <w:pPr>
              <w:ind w:left="340"/>
              <w:spacing w:after="0"/>
              <w:rPr>
                <w:sz w:val="20"/>
                <w:szCs w:val="20"/>
                <w:color w:val="auto"/>
              </w:rPr>
            </w:pPr>
            <w:r>
              <w:rPr>
                <w:rFonts w:ascii="Arial" w:cs="Arial" w:eastAsia="Arial" w:hAnsi="Arial"/>
                <w:sz w:val="18"/>
                <w:szCs w:val="18"/>
                <w:color w:val="auto"/>
              </w:rPr>
              <w:t>2020, respectively</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307,724</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90,958</w:t>
            </w:r>
          </w:p>
        </w:tc>
        <w:tc>
          <w:tcPr>
            <w:tcW w:w="100" w:type="dxa"/>
            <w:vAlign w:val="bottom"/>
            <w:shd w:val="clear" w:color="auto" w:fill="CFF0FC"/>
          </w:tcPr>
          <w:p>
            <w:pPr>
              <w:spacing w:after="0"/>
              <w:rPr>
                <w:sz w:val="22"/>
                <w:szCs w:val="22"/>
                <w:color w:val="auto"/>
              </w:rPr>
            </w:pPr>
          </w:p>
        </w:tc>
      </w:tr>
      <w:tr>
        <w:trPr>
          <w:trHeight w:val="257"/>
        </w:trPr>
        <w:tc>
          <w:tcPr>
            <w:tcW w:w="764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2"/>
                <w:szCs w:val="22"/>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(166,867 )</w:t>
            </w:r>
          </w:p>
        </w:tc>
        <w:tc>
          <w:tcPr>
            <w:tcW w:w="180" w:type="dxa"/>
            <w:vAlign w:val="bottom"/>
          </w:tcPr>
          <w:p>
            <w:pPr>
              <w:spacing w:after="0"/>
              <w:rPr>
                <w:sz w:val="22"/>
                <w:szCs w:val="22"/>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(112,821 )</w:t>
            </w:r>
          </w:p>
        </w:tc>
      </w:tr>
      <w:tr>
        <w:trPr>
          <w:trHeight w:val="20"/>
        </w:trPr>
        <w:tc>
          <w:tcPr>
            <w:tcW w:w="7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stockholders' equity (deficit)</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140,861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(21,861 )</w:t>
            </w:r>
          </w:p>
        </w:tc>
      </w:tr>
      <w:tr>
        <w:trPr>
          <w:trHeight w:val="250"/>
        </w:trPr>
        <w:tc>
          <w:tcPr>
            <w:tcW w:w="764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96"/>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 (deficit)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155,535</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39"/>
        </w:trPr>
        <w:tc>
          <w:tcPr>
            <w:tcW w:w="9540" w:type="dxa"/>
            <w:vAlign w:val="bottom"/>
            <w:gridSpan w:val="4"/>
          </w:tcPr>
          <w:p>
            <w:pPr>
              <w:ind w:left="30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7640" w:type="dxa"/>
            <w:vAlign w:val="bottom"/>
          </w:tcPr>
          <w:p>
            <w:pPr>
              <w:ind w:left="55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-4773930</wp:posOffset>
            </wp:positionV>
            <wp:extent cx="1803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-4756785</wp:posOffset>
            </wp:positionV>
            <wp:extent cx="1803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-4773930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-4756785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-2782570</wp:posOffset>
            </wp:positionV>
            <wp:extent cx="1803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-2782570</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-1016635</wp:posOffset>
            </wp:positionV>
            <wp:extent cx="1803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-1016635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-685165</wp:posOffset>
            </wp:positionV>
            <wp:extent cx="1803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-668020</wp:posOffset>
            </wp:positionV>
            <wp:extent cx="1803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6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9"/>
                <w:szCs w:val="19"/>
                <w:color w:val="auto"/>
              </w:rPr>
            </w:pPr>
          </w:p>
        </w:tc>
        <w:tc>
          <w:tcPr>
            <w:tcW w:w="24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46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September 30,</w:t>
            </w:r>
          </w:p>
        </w:tc>
      </w:tr>
      <w:tr>
        <w:trPr>
          <w:trHeight w:val="250"/>
        </w:trPr>
        <w:tc>
          <w:tcPr>
            <w:tcW w:w="56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13,455</w:t>
            </w:r>
          </w:p>
        </w:tc>
        <w:tc>
          <w:tcPr>
            <w:tcW w:w="2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6,727</w:t>
            </w:r>
          </w:p>
        </w:tc>
        <w:tc>
          <w:tcPr>
            <w:tcW w:w="26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36,083</w:t>
            </w:r>
          </w:p>
        </w:tc>
        <w:tc>
          <w:tcPr>
            <w:tcW w:w="2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20,472</w:t>
            </w:r>
          </w:p>
        </w:tc>
        <w:tc>
          <w:tcPr>
            <w:tcW w:w="100" w:type="dxa"/>
            <w:vAlign w:val="bottom"/>
          </w:tcPr>
          <w:p>
            <w:pPr>
              <w:spacing w:after="0"/>
              <w:rPr>
                <w:sz w:val="21"/>
                <w:szCs w:val="21"/>
                <w:color w:val="auto"/>
              </w:rPr>
            </w:pPr>
          </w:p>
        </w:tc>
      </w:tr>
      <w:tr>
        <w:trPr>
          <w:trHeight w:val="257"/>
        </w:trPr>
        <w:tc>
          <w:tcPr>
            <w:tcW w:w="5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4,995</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15,177</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6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18,450</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7,949</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51,260</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24,246</w:t>
            </w:r>
          </w:p>
        </w:tc>
        <w:tc>
          <w:tcPr>
            <w:tcW w:w="100" w:type="dxa"/>
            <w:vAlign w:val="bottom"/>
          </w:tcPr>
          <w:p>
            <w:pPr>
              <w:spacing w:after="0"/>
              <w:rPr>
                <w:sz w:val="21"/>
                <w:szCs w:val="21"/>
                <w:color w:val="auto"/>
              </w:rPr>
            </w:pPr>
          </w:p>
        </w:tc>
      </w:tr>
      <w:tr>
        <w:trPr>
          <w:trHeight w:val="256"/>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(18,450 )</w:t>
            </w:r>
          </w:p>
        </w:tc>
        <w:tc>
          <w:tcPr>
            <w:tcW w:w="2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(7,949 )</w:t>
            </w:r>
          </w:p>
        </w:tc>
        <w:tc>
          <w:tcPr>
            <w:tcW w:w="2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(51,260 )</w:t>
            </w:r>
          </w:p>
        </w:tc>
        <w:tc>
          <w:tcPr>
            <w:tcW w:w="22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(24,246 )</w:t>
            </w: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(104 )</w:t>
            </w:r>
          </w:p>
        </w:tc>
        <w:tc>
          <w:tcPr>
            <w:tcW w:w="2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(2,047 )</w:t>
            </w:r>
          </w:p>
        </w:tc>
        <w:tc>
          <w:tcPr>
            <w:tcW w:w="2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(2,073 )</w:t>
            </w:r>
          </w:p>
        </w:tc>
        <w:tc>
          <w:tcPr>
            <w:tcW w:w="22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(2,307 )</w:t>
            </w:r>
          </w:p>
        </w:tc>
      </w:tr>
      <w:tr>
        <w:trPr>
          <w:trHeight w:val="250"/>
        </w:trPr>
        <w:tc>
          <w:tcPr>
            <w:tcW w:w="56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r>
      <w:tr>
        <w:trPr>
          <w:trHeight w:val="263"/>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conversion of convertible notes</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(711 )</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(8 )</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(6 )</w:t>
            </w:r>
          </w:p>
        </w:tc>
      </w:tr>
      <w:tr>
        <w:trPr>
          <w:trHeight w:val="257"/>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w:t>
            </w:r>
          </w:p>
        </w:tc>
        <w:tc>
          <w:tcPr>
            <w:tcW w:w="2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(2 )</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(13 )</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(18,551 )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(10,003 )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(54,046 )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(26,522 )</w:t>
            </w:r>
          </w:p>
        </w:tc>
      </w:tr>
      <w:tr>
        <w:trPr>
          <w:trHeight w:val="20"/>
        </w:trPr>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(0.43 )</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(0.65 )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(1.37 )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(1.77 )</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basic and diluted</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43,091,822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15,282,987</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39,427,476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15,016,038</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-1830705</wp:posOffset>
            </wp:positionV>
            <wp:extent cx="16256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-1830705</wp:posOffset>
            </wp:positionV>
            <wp:extent cx="16319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-1830705</wp:posOffset>
            </wp:positionV>
            <wp:extent cx="15430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-1830705</wp:posOffset>
            </wp:positionV>
            <wp:extent cx="5969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-510540</wp:posOffset>
            </wp:positionV>
            <wp:extent cx="16256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-510540</wp:posOffset>
            </wp:positionV>
            <wp:extent cx="16319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-510540</wp:posOffset>
            </wp:positionV>
            <wp:extent cx="15430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-510540</wp:posOffset>
            </wp:positionV>
            <wp:extent cx="5969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147320</wp:posOffset>
            </wp:positionV>
            <wp:extent cx="3600450" cy="5829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00450" cy="582930"/>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740" w:type="dxa"/>
            <w:vAlign w:val="bottom"/>
            <w:gridSpan w:val="5"/>
            <w:vMerge w:val="restart"/>
          </w:tcPr>
          <w:p>
            <w:pPr>
              <w:jc w:val="right"/>
              <w:ind w:right="740"/>
              <w:spacing w:after="0"/>
              <w:rPr>
                <w:sz w:val="20"/>
                <w:szCs w:val="20"/>
                <w:color w:val="auto"/>
              </w:rPr>
            </w:pPr>
            <w:r>
              <w:rPr>
                <w:rFonts w:ascii="Arial" w:cs="Arial" w:eastAsia="Arial" w:hAnsi="Arial"/>
                <w:sz w:val="13"/>
                <w:szCs w:val="13"/>
                <w:b w:val="1"/>
                <w:bCs w:val="1"/>
                <w:color w:val="auto"/>
              </w:rPr>
              <w:t>Series A</w:t>
            </w:r>
          </w:p>
        </w:tc>
        <w:tc>
          <w:tcPr>
            <w:tcW w:w="10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Series B</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vMerge w:val="restart"/>
          </w:tcPr>
          <w:p>
            <w:pPr>
              <w:jc w:val="right"/>
              <w:ind w:right="600"/>
              <w:spacing w:after="0"/>
              <w:rPr>
                <w:sz w:val="20"/>
                <w:szCs w:val="20"/>
                <w:color w:val="auto"/>
              </w:rPr>
            </w:pPr>
            <w:r>
              <w:rPr>
                <w:rFonts w:ascii="Arial" w:cs="Arial" w:eastAsia="Arial" w:hAnsi="Arial"/>
                <w:sz w:val="13"/>
                <w:szCs w:val="13"/>
                <w:b w:val="1"/>
                <w:bCs w:val="1"/>
                <w:color w:val="auto"/>
              </w:rPr>
              <w:t>Old Gemini</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4"/>
              </w:rPr>
              <w:t>stockholder</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740" w:type="dxa"/>
            <w:vAlign w:val="bottom"/>
            <w:gridSpan w:val="5"/>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5"/>
            <w:vMerge w:val="continue"/>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Accumulat</w:t>
            </w:r>
          </w:p>
        </w:tc>
        <w:tc>
          <w:tcPr>
            <w:tcW w:w="10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77"/>
              </w:rPr>
              <w:t>s'</w:t>
            </w:r>
          </w:p>
        </w:tc>
        <w:tc>
          <w:tcPr>
            <w:tcW w:w="0" w:type="dxa"/>
            <w:vAlign w:val="bottom"/>
          </w:tcPr>
          <w:p>
            <w:pPr>
              <w:spacing w:after="0"/>
              <w:rPr>
                <w:sz w:val="1"/>
                <w:szCs w:val="1"/>
                <w:color w:val="auto"/>
              </w:rPr>
            </w:pPr>
          </w:p>
        </w:tc>
      </w:tr>
      <w:tr>
        <w:trPr>
          <w:trHeight w:val="179"/>
        </w:trPr>
        <w:tc>
          <w:tcPr>
            <w:tcW w:w="2160" w:type="dxa"/>
            <w:vAlign w:val="bottom"/>
          </w:tcPr>
          <w:p>
            <w:pPr>
              <w:spacing w:after="0"/>
              <w:rPr>
                <w:sz w:val="15"/>
                <w:szCs w:val="15"/>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8"/>
              </w:rPr>
              <w:t>Convertible Preferred Stock</w:t>
            </w:r>
          </w:p>
        </w:tc>
        <w:tc>
          <w:tcPr>
            <w:tcW w:w="160" w:type="dxa"/>
            <w:vAlign w:val="bottom"/>
          </w:tcPr>
          <w:p>
            <w:pPr>
              <w:spacing w:after="0"/>
              <w:rPr>
                <w:sz w:val="15"/>
                <w:szCs w:val="15"/>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9"/>
              </w:rPr>
              <w:t>Convertible Preferred Stock</w:t>
            </w:r>
          </w:p>
        </w:tc>
        <w:tc>
          <w:tcPr>
            <w:tcW w:w="180" w:type="dxa"/>
            <w:vAlign w:val="bottom"/>
          </w:tcPr>
          <w:p>
            <w:pPr>
              <w:spacing w:after="0"/>
              <w:rPr>
                <w:sz w:val="15"/>
                <w:szCs w:val="15"/>
                <w:color w:val="auto"/>
              </w:rPr>
            </w:pPr>
          </w:p>
        </w:tc>
        <w:tc>
          <w:tcPr>
            <w:tcW w:w="150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5"/>
                <w:szCs w:val="15"/>
                <w:color w:val="auto"/>
              </w:rPr>
            </w:pPr>
          </w:p>
        </w:tc>
        <w:tc>
          <w:tcPr>
            <w:tcW w:w="1400" w:type="dxa"/>
            <w:vAlign w:val="bottom"/>
            <w:tcBorders>
              <w:bottom w:val="single" w:sz="8" w:color="auto"/>
            </w:tcBorders>
            <w:gridSpan w:val="3"/>
          </w:tcPr>
          <w:p>
            <w:pPr>
              <w:jc w:val="right"/>
              <w:ind w:right="177"/>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b w:val="1"/>
                <w:bCs w:val="1"/>
                <w:color w:val="auto"/>
                <w:w w:val="89"/>
              </w:rPr>
              <w:t>paid-in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78"/>
              </w:rPr>
              <w:t>ed</w:t>
            </w:r>
          </w:p>
        </w:tc>
        <w:tc>
          <w:tcPr>
            <w:tcW w:w="100" w:type="dxa"/>
            <w:vAlign w:val="bottom"/>
          </w:tcPr>
          <w:p>
            <w:pPr>
              <w:spacing w:after="0"/>
              <w:rPr>
                <w:sz w:val="15"/>
                <w:szCs w:val="15"/>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77"/>
        </w:trPr>
        <w:tc>
          <w:tcPr>
            <w:tcW w:w="216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3"/>
              </w:rPr>
              <w:t>Amount</w:t>
            </w: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9"/>
              </w:rPr>
              <w:t>Amount</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9"/>
              </w:rPr>
              <w:t>Amount</w:t>
            </w:r>
          </w:p>
        </w:tc>
        <w:tc>
          <w:tcPr>
            <w:tcW w:w="700" w:type="dxa"/>
            <w:vAlign w:val="bottom"/>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deficit</w:t>
            </w:r>
          </w:p>
        </w:tc>
        <w:tc>
          <w:tcPr>
            <w:tcW w:w="100" w:type="dxa"/>
            <w:vAlign w:val="bottom"/>
          </w:tcPr>
          <w:p>
            <w:pPr>
              <w:spacing w:after="0"/>
              <w:rPr>
                <w:sz w:val="15"/>
                <w:szCs w:val="15"/>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(deficit)</w:t>
            </w:r>
          </w:p>
        </w:tc>
        <w:tc>
          <w:tcPr>
            <w:tcW w:w="0" w:type="dxa"/>
            <w:vAlign w:val="bottom"/>
          </w:tcPr>
          <w:p>
            <w:pPr>
              <w:spacing w:after="0"/>
              <w:rPr>
                <w:sz w:val="1"/>
                <w:szCs w:val="1"/>
                <w:color w:val="auto"/>
              </w:rPr>
            </w:pPr>
          </w:p>
        </w:tc>
      </w:tr>
      <w:tr>
        <w:trPr>
          <w:trHeight w:val="171"/>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6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6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(as previously reported)</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39,722,088</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47,113</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9,916,375</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13,252</w:t>
            </w:r>
          </w:p>
        </w:tc>
        <w:tc>
          <w:tcPr>
            <w:tcW w:w="180" w:type="dxa"/>
            <w:vAlign w:val="bottom"/>
            <w:tcBorders>
              <w:right w:val="single" w:sz="8" w:color="auto"/>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5,313,766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39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(71,984 )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(70,797 )</w:t>
            </w:r>
          </w:p>
        </w:tc>
        <w:tc>
          <w:tcPr>
            <w:tcW w:w="0" w:type="dxa"/>
            <w:vAlign w:val="bottom"/>
          </w:tcPr>
          <w:p>
            <w:pPr>
              <w:spacing w:after="0"/>
              <w:rPr>
                <w:sz w:val="1"/>
                <w:szCs w:val="1"/>
                <w:color w:val="auto"/>
              </w:rPr>
            </w:pPr>
          </w:p>
        </w:tc>
      </w:tr>
      <w:tr>
        <w:trPr>
          <w:trHeight w:val="173"/>
        </w:trPr>
        <w:tc>
          <w:tcPr>
            <w:tcW w:w="2160" w:type="dxa"/>
            <w:vAlign w:val="bottom"/>
          </w:tcPr>
          <w:p>
            <w:pPr>
              <w:ind w:left="20"/>
              <w:spacing w:after="0"/>
              <w:rPr>
                <w:sz w:val="20"/>
                <w:szCs w:val="20"/>
                <w:color w:val="auto"/>
              </w:rPr>
            </w:pPr>
            <w:r>
              <w:rPr>
                <w:rFonts w:ascii="Arial" w:cs="Arial" w:eastAsia="Arial" w:hAnsi="Arial"/>
                <w:sz w:val="13"/>
                <w:szCs w:val="13"/>
                <w:color w:val="auto"/>
              </w:rPr>
              <w:t>Retroactive application of the</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(39,722,08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160" w:type="dxa"/>
            <w:vAlign w:val="bottom"/>
          </w:tcPr>
          <w:p>
            <w:pPr>
              <w:ind w:left="120"/>
              <w:spacing w:after="0"/>
              <w:rPr>
                <w:sz w:val="20"/>
                <w:szCs w:val="20"/>
                <w:color w:val="auto"/>
              </w:rPr>
            </w:pPr>
            <w:r>
              <w:rPr>
                <w:rFonts w:ascii="Arial" w:cs="Arial" w:eastAsia="Arial" w:hAnsi="Arial"/>
                <w:sz w:val="13"/>
                <w:szCs w:val="13"/>
                <w:color w:val="auto"/>
                <w:w w:val="98"/>
              </w:rPr>
              <w:t>recapitalization due to the Business</w:t>
            </w:r>
          </w:p>
        </w:tc>
        <w:tc>
          <w:tcPr>
            <w:tcW w:w="6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120"/>
              <w:spacing w:after="0"/>
              <w:rPr>
                <w:sz w:val="20"/>
                <w:szCs w:val="20"/>
                <w:color w:val="auto"/>
              </w:rPr>
            </w:pPr>
            <w:r>
              <w:rPr>
                <w:rFonts w:ascii="Arial" w:cs="Arial" w:eastAsia="Arial" w:hAnsi="Arial"/>
                <w:sz w:val="13"/>
                <w:szCs w:val="13"/>
                <w:color w:val="auto"/>
              </w:rPr>
              <w:t>Combination (Note 3)</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8 )</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(47,113 )</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(9,916,375 )</w:t>
            </w:r>
          </w:p>
        </w:tc>
        <w:tc>
          <w:tcPr>
            <w:tcW w:w="12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(13,252 )</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(5,313,766 )</w:t>
            </w: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(5 )</w:t>
            </w:r>
          </w:p>
        </w:tc>
        <w:tc>
          <w:tcPr>
            <w:tcW w:w="700" w:type="dxa"/>
            <w:vAlign w:val="bottom"/>
          </w:tcPr>
          <w:p>
            <w:pPr>
              <w:jc w:val="right"/>
              <w:spacing w:after="0"/>
              <w:rPr>
                <w:sz w:val="20"/>
                <w:szCs w:val="20"/>
                <w:color w:val="auto"/>
              </w:rPr>
            </w:pPr>
            <w:r>
              <w:rPr>
                <w:rFonts w:ascii="Arial" w:cs="Arial" w:eastAsia="Arial" w:hAnsi="Arial"/>
                <w:sz w:val="13"/>
                <w:szCs w:val="13"/>
                <w:color w:val="auto"/>
              </w:rPr>
              <w:t>11,979,586</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60,369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60,365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w w:val="93"/>
              </w:rPr>
              <w:t>Balance at December 31, 2019, effect</w:t>
            </w:r>
          </w:p>
        </w:tc>
        <w:tc>
          <w:tcPr>
            <w:tcW w:w="6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of</w:t>
            </w: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6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Business Combination (Note 3)</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11,979,586</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61,551</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(71,984 )</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(10,432 )</w:t>
            </w:r>
          </w:p>
        </w:tc>
        <w:tc>
          <w:tcPr>
            <w:tcW w:w="0" w:type="dxa"/>
            <w:vAlign w:val="bottom"/>
          </w:tcPr>
          <w:p>
            <w:pPr>
              <w:spacing w:after="0"/>
              <w:rPr>
                <w:sz w:val="1"/>
                <w:szCs w:val="1"/>
                <w:color w:val="auto"/>
              </w:rPr>
            </w:pPr>
          </w:p>
        </w:tc>
      </w:tr>
      <w:tr>
        <w:trPr>
          <w:trHeight w:val="173"/>
        </w:trPr>
        <w:tc>
          <w:tcPr>
            <w:tcW w:w="2160" w:type="dxa"/>
            <w:vAlign w:val="bottom"/>
          </w:tcPr>
          <w:p>
            <w:pPr>
              <w:ind w:left="20"/>
              <w:spacing w:after="0"/>
              <w:rPr>
                <w:sz w:val="20"/>
                <w:szCs w:val="20"/>
                <w:color w:val="auto"/>
              </w:rPr>
            </w:pPr>
            <w:r>
              <w:rPr>
                <w:rFonts w:ascii="Arial" w:cs="Arial" w:eastAsia="Arial" w:hAnsi="Arial"/>
                <w:sz w:val="13"/>
                <w:szCs w:val="13"/>
                <w:color w:val="auto"/>
              </w:rPr>
              <w:t>Issuance of Series B convertible</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3"/>
                <w:szCs w:val="13"/>
                <w:color w:val="auto"/>
              </w:rPr>
              <w:t>preferred</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120"/>
              <w:spacing w:after="0"/>
              <w:rPr>
                <w:sz w:val="20"/>
                <w:szCs w:val="20"/>
                <w:color w:val="auto"/>
              </w:rPr>
            </w:pPr>
            <w:r>
              <w:rPr>
                <w:rFonts w:ascii="Arial" w:cs="Arial" w:eastAsia="Arial" w:hAnsi="Arial"/>
                <w:sz w:val="13"/>
                <w:szCs w:val="13"/>
                <w:color w:val="auto"/>
                <w:w w:val="98"/>
              </w:rPr>
              <w:t>stock, net of issuance costs of $148</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3,242,655</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20,083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20,084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common stock upon</w:t>
            </w: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tcBorders>
              <w:right w:val="single" w:sz="8" w:color="auto"/>
            </w:tcBorders>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w:t>
            </w: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 options</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17,932</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160" w:type="dxa"/>
            <w:vAlign w:val="bottom"/>
          </w:tcPr>
          <w:p>
            <w:pPr>
              <w:ind w:left="20"/>
              <w:spacing w:after="0"/>
              <w:rPr>
                <w:sz w:val="20"/>
                <w:szCs w:val="20"/>
                <w:color w:val="auto"/>
              </w:rPr>
            </w:pPr>
            <w:r>
              <w:rPr>
                <w:rFonts w:ascii="Arial" w:cs="Arial" w:eastAsia="Arial" w:hAnsi="Arial"/>
                <w:sz w:val="13"/>
                <w:szCs w:val="13"/>
                <w:color w:val="auto"/>
              </w:rPr>
              <w:t>Vesting of restricted common stock</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14,470</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 expense</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160" w:type="dxa"/>
            <w:vAlign w:val="bottom"/>
          </w:tcPr>
          <w:p>
            <w:pPr>
              <w:ind w:left="20"/>
              <w:spacing w:after="0"/>
              <w:rPr>
                <w:sz w:val="20"/>
                <w:szCs w:val="20"/>
                <w:color w:val="auto"/>
              </w:rPr>
            </w:pPr>
            <w:r>
              <w:rPr>
                <w:rFonts w:ascii="Arial" w:cs="Arial" w:eastAsia="Arial" w:hAnsi="Arial"/>
                <w:sz w:val="13"/>
                <w:szCs w:val="13"/>
                <w:color w:val="auto"/>
              </w:rPr>
              <w:t>Net loss</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(9,746 )</w:t>
            </w: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(9,746 )</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w w:val="96"/>
              </w:rPr>
              <w:t>Balance at March 31, 2020, effect of</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4"/>
                <w:szCs w:val="14"/>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15,254,643</w:t>
            </w: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81,738</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(81,730 )</w:t>
            </w:r>
          </w:p>
        </w:tc>
        <w:tc>
          <w:tcPr>
            <w:tcW w:w="100" w:type="dxa"/>
            <w:vAlign w:val="bottom"/>
            <w:shd w:val="clear" w:color="auto" w:fill="CFF0FC"/>
          </w:tcPr>
          <w:p>
            <w:pPr>
              <w:spacing w:after="0"/>
              <w:rPr>
                <w:sz w:val="14"/>
                <w:szCs w:val="14"/>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16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Business Combination (Note 3)</w:t>
            </w:r>
          </w:p>
        </w:tc>
        <w:tc>
          <w:tcPr>
            <w:tcW w:w="6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6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Issuance of common stock upon</w:t>
            </w:r>
          </w:p>
        </w:tc>
        <w:tc>
          <w:tcPr>
            <w:tcW w:w="68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80" w:type="dxa"/>
            <w:vAlign w:val="bottom"/>
            <w:tcBorders>
              <w:top w:val="single" w:sz="8" w:color="CFF0FC"/>
              <w:right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3"/>
                <w:szCs w:val="13"/>
                <w:color w:val="auto"/>
              </w:rPr>
              <w:t>exercise of</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120"/>
              <w:spacing w:after="0"/>
              <w:rPr>
                <w:sz w:val="20"/>
                <w:szCs w:val="20"/>
                <w:color w:val="auto"/>
              </w:rPr>
            </w:pPr>
            <w:r>
              <w:rPr>
                <w:rFonts w:ascii="Arial" w:cs="Arial" w:eastAsia="Arial" w:hAnsi="Arial"/>
                <w:sz w:val="13"/>
                <w:szCs w:val="13"/>
                <w:color w:val="auto"/>
              </w:rPr>
              <w:t>stock options</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5,228</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 common stock</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14,470</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6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(6,773 )</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(6,773 )</w:t>
            </w:r>
          </w:p>
        </w:tc>
        <w:tc>
          <w:tcPr>
            <w:tcW w:w="0" w:type="dxa"/>
            <w:vAlign w:val="bottom"/>
          </w:tcPr>
          <w:p>
            <w:pPr>
              <w:spacing w:after="0"/>
              <w:rPr>
                <w:sz w:val="1"/>
                <w:szCs w:val="1"/>
                <w:color w:val="auto"/>
              </w:rPr>
            </w:pPr>
          </w:p>
        </w:tc>
      </w:tr>
      <w:tr>
        <w:trPr>
          <w:trHeight w:val="22"/>
        </w:trPr>
        <w:tc>
          <w:tcPr>
            <w:tcW w:w="216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16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2020, effect of</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15,274,341</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81,885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(88,503 )</w:t>
            </w:r>
          </w:p>
        </w:tc>
        <w:tc>
          <w:tcPr>
            <w:tcW w:w="100" w:type="dxa"/>
            <w:vAlign w:val="bottom"/>
          </w:tcPr>
          <w:p>
            <w:pPr>
              <w:spacing w:after="0"/>
              <w:rPr>
                <w:sz w:val="14"/>
                <w:szCs w:val="14"/>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(6,616 )</w:t>
            </w:r>
          </w:p>
        </w:tc>
        <w:tc>
          <w:tcPr>
            <w:tcW w:w="0" w:type="dxa"/>
            <w:vAlign w:val="bottom"/>
          </w:tcPr>
          <w:p>
            <w:pPr>
              <w:spacing w:after="0"/>
              <w:rPr>
                <w:sz w:val="1"/>
                <w:szCs w:val="1"/>
                <w:color w:val="auto"/>
              </w:rPr>
            </w:pPr>
          </w:p>
        </w:tc>
      </w:tr>
      <w:tr>
        <w:trPr>
          <w:trHeight w:val="165"/>
        </w:trPr>
        <w:tc>
          <w:tcPr>
            <w:tcW w:w="2160" w:type="dxa"/>
            <w:vAlign w:val="bottom"/>
          </w:tcPr>
          <w:p>
            <w:pPr>
              <w:ind w:left="120"/>
              <w:spacing w:after="0"/>
              <w:rPr>
                <w:sz w:val="20"/>
                <w:szCs w:val="20"/>
                <w:color w:val="auto"/>
              </w:rPr>
            </w:pPr>
            <w:r>
              <w:rPr>
                <w:rFonts w:ascii="Arial" w:cs="Arial" w:eastAsia="Arial" w:hAnsi="Arial"/>
                <w:sz w:val="13"/>
                <w:szCs w:val="13"/>
                <w:b w:val="1"/>
                <w:bCs w:val="1"/>
                <w:color w:val="auto"/>
              </w:rPr>
              <w:t>Business Combination (Note 3)</w:t>
            </w: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9"/>
              </w:rPr>
              <w:t>Beneficial conversion feature relating</w:t>
            </w:r>
          </w:p>
        </w:tc>
        <w:tc>
          <w:tcPr>
            <w:tcW w:w="6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8"/>
              </w:rPr>
              <w:t>to discount on convertible promissory</w:t>
            </w: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notes</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8,177</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8,177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160" w:type="dxa"/>
            <w:vAlign w:val="bottom"/>
          </w:tcPr>
          <w:p>
            <w:pPr>
              <w:ind w:left="20"/>
              <w:spacing w:after="0"/>
              <w:rPr>
                <w:sz w:val="20"/>
                <w:szCs w:val="20"/>
                <w:color w:val="auto"/>
              </w:rPr>
            </w:pPr>
            <w:r>
              <w:rPr>
                <w:rFonts w:ascii="Arial" w:cs="Arial" w:eastAsia="Arial" w:hAnsi="Arial"/>
                <w:sz w:val="13"/>
                <w:szCs w:val="13"/>
                <w:color w:val="auto"/>
              </w:rPr>
              <w:t>Issuance of common stock upon</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3"/>
                <w:szCs w:val="13"/>
                <w:color w:val="auto"/>
              </w:rPr>
              <w:t>exercise of</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120"/>
              <w:spacing w:after="0"/>
              <w:rPr>
                <w:sz w:val="20"/>
                <w:szCs w:val="20"/>
                <w:color w:val="auto"/>
              </w:rPr>
            </w:pPr>
            <w:r>
              <w:rPr>
                <w:rFonts w:ascii="Arial" w:cs="Arial" w:eastAsia="Arial" w:hAnsi="Arial"/>
                <w:sz w:val="13"/>
                <w:szCs w:val="13"/>
                <w:color w:val="auto"/>
              </w:rPr>
              <w:t>stock options</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2,180</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 common stock</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14,469</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6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(10,003 )</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(10,003 )</w:t>
            </w:r>
          </w:p>
        </w:tc>
        <w:tc>
          <w:tcPr>
            <w:tcW w:w="0" w:type="dxa"/>
            <w:vAlign w:val="bottom"/>
          </w:tcPr>
          <w:p>
            <w:pPr>
              <w:spacing w:after="0"/>
              <w:rPr>
                <w:sz w:val="1"/>
                <w:szCs w:val="1"/>
                <w:color w:val="auto"/>
              </w:rPr>
            </w:pPr>
          </w:p>
        </w:tc>
      </w:tr>
      <w:tr>
        <w:trPr>
          <w:trHeight w:val="171"/>
        </w:trPr>
        <w:tc>
          <w:tcPr>
            <w:tcW w:w="216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w w:val="91"/>
              </w:rPr>
              <w:t>Balance at September 30, 2020, effect</w:t>
            </w:r>
          </w:p>
        </w:tc>
        <w:tc>
          <w:tcPr>
            <w:tcW w:w="68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3"/>
                <w:szCs w:val="13"/>
                <w:b w:val="1"/>
                <w:bCs w:val="1"/>
                <w:color w:val="auto"/>
              </w:rPr>
              <w:t>of</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15,290,990</w:t>
            </w:r>
          </w:p>
        </w:tc>
        <w:tc>
          <w:tcPr>
            <w:tcW w:w="700" w:type="dxa"/>
            <w:vAlign w:val="bottom"/>
            <w:gridSpan w:val="2"/>
            <w:vMerge w:val="restart"/>
          </w:tcPr>
          <w:p>
            <w:pPr>
              <w:jc w:val="right"/>
              <w:ind w:right="397"/>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2</w:t>
            </w:r>
          </w:p>
        </w:tc>
        <w:tc>
          <w:tcPr>
            <w:tcW w:w="220" w:type="dxa"/>
            <w:vAlign w:val="bottom"/>
            <w:gridSpan w:val="2"/>
            <w:vMerge w:val="restart"/>
          </w:tcPr>
          <w:p>
            <w:pPr>
              <w:ind w:left="140"/>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90,226</w:t>
            </w:r>
          </w:p>
        </w:tc>
        <w:tc>
          <w:tcPr>
            <w:tcW w:w="26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(98,506 )</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(8,278 )</w:t>
            </w:r>
          </w:p>
        </w:tc>
        <w:tc>
          <w:tcPr>
            <w:tcW w:w="0" w:type="dxa"/>
            <w:vAlign w:val="bottom"/>
          </w:tcPr>
          <w:p>
            <w:pPr>
              <w:spacing w:after="0"/>
              <w:rPr>
                <w:sz w:val="1"/>
                <w:szCs w:val="1"/>
                <w:color w:val="auto"/>
              </w:rPr>
            </w:pPr>
          </w:p>
        </w:tc>
      </w:tr>
      <w:tr>
        <w:trPr>
          <w:trHeight w:val="140"/>
        </w:trPr>
        <w:tc>
          <w:tcPr>
            <w:tcW w:w="2160" w:type="dxa"/>
            <w:vAlign w:val="bottom"/>
          </w:tcPr>
          <w:p>
            <w:pPr>
              <w:ind w:left="120"/>
              <w:spacing w:after="0" w:line="140" w:lineRule="exact"/>
              <w:rPr>
                <w:sz w:val="20"/>
                <w:szCs w:val="20"/>
                <w:color w:val="auto"/>
              </w:rPr>
            </w:pPr>
            <w:r>
              <w:rPr>
                <w:rFonts w:ascii="Arial" w:cs="Arial" w:eastAsia="Arial" w:hAnsi="Arial"/>
                <w:sz w:val="13"/>
                <w:szCs w:val="13"/>
                <w:b w:val="1"/>
                <w:bCs w:val="1"/>
                <w:color w:val="auto"/>
              </w:rPr>
              <w:t>Business Combination (Note 3)</w:t>
            </w: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-4169410</wp:posOffset>
            </wp:positionV>
            <wp:extent cx="34290" cy="351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3511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-2268220</wp:posOffset>
            </wp:positionV>
            <wp:extent cx="11176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-2268220</wp:posOffset>
            </wp:positionV>
            <wp:extent cx="11112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-2268220</wp:posOffset>
            </wp:positionV>
            <wp:extent cx="11112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-2626360</wp:posOffset>
            </wp:positionV>
            <wp:extent cx="90170" cy="3765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0170" cy="3765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-2268220</wp:posOffset>
            </wp:positionV>
            <wp:extent cx="11112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-2268220</wp:posOffset>
            </wp:positionV>
            <wp:extent cx="11112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-2268220</wp:posOffset>
            </wp:positionV>
            <wp:extent cx="10287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-2268220</wp:posOffset>
            </wp:positionV>
            <wp:extent cx="8572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-2268220</wp:posOffset>
            </wp:positionV>
            <wp:extent cx="8572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-2268220</wp:posOffset>
            </wp:positionV>
            <wp:extent cx="9398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-2268220</wp:posOffset>
            </wp:positionV>
            <wp:extent cx="3429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-1573530</wp:posOffset>
            </wp:positionV>
            <wp:extent cx="11176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-1573530</wp:posOffset>
            </wp:positionV>
            <wp:extent cx="11112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-1573530</wp:posOffset>
            </wp:positionV>
            <wp:extent cx="11112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-1709420</wp:posOffset>
            </wp:positionV>
            <wp:extent cx="3642995" cy="3765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42995" cy="3765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-330835</wp:posOffset>
            </wp:positionV>
            <wp:extent cx="11176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-330835</wp:posOffset>
            </wp:positionV>
            <wp:extent cx="11112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-330835</wp:posOffset>
            </wp:positionV>
            <wp:extent cx="11112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-466090</wp:posOffset>
            </wp:positionV>
            <wp:extent cx="3642995" cy="4794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42995" cy="47942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740" w:type="dxa"/>
            <w:vAlign w:val="bottom"/>
            <w:gridSpan w:val="5"/>
            <w:vMerge w:val="restart"/>
          </w:tcPr>
          <w:p>
            <w:pPr>
              <w:jc w:val="right"/>
              <w:ind w:right="740"/>
              <w:spacing w:after="0"/>
              <w:rPr>
                <w:sz w:val="20"/>
                <w:szCs w:val="20"/>
                <w:color w:val="auto"/>
              </w:rPr>
            </w:pPr>
            <w:r>
              <w:rPr>
                <w:rFonts w:ascii="Arial" w:cs="Arial" w:eastAsia="Arial" w:hAnsi="Arial"/>
                <w:sz w:val="13"/>
                <w:szCs w:val="13"/>
                <w:b w:val="1"/>
                <w:bCs w:val="1"/>
                <w:color w:val="auto"/>
              </w:rPr>
              <w:t>Series A</w:t>
            </w:r>
          </w:p>
        </w:tc>
        <w:tc>
          <w:tcPr>
            <w:tcW w:w="10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Series B</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vMerge w:val="restart"/>
          </w:tcPr>
          <w:p>
            <w:pPr>
              <w:jc w:val="right"/>
              <w:ind w:right="600"/>
              <w:spacing w:after="0"/>
              <w:rPr>
                <w:sz w:val="20"/>
                <w:szCs w:val="20"/>
                <w:color w:val="auto"/>
              </w:rPr>
            </w:pPr>
            <w:r>
              <w:rPr>
                <w:rFonts w:ascii="Arial" w:cs="Arial" w:eastAsia="Arial" w:hAnsi="Arial"/>
                <w:sz w:val="13"/>
                <w:szCs w:val="13"/>
                <w:b w:val="1"/>
                <w:bCs w:val="1"/>
                <w:color w:val="auto"/>
              </w:rPr>
              <w:t>Old Gemini</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4"/>
              </w:rPr>
              <w:t>stockholder</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740" w:type="dxa"/>
            <w:vAlign w:val="bottom"/>
            <w:gridSpan w:val="5"/>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5"/>
            <w:vMerge w:val="continue"/>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Accumulat</w:t>
            </w:r>
          </w:p>
        </w:tc>
        <w:tc>
          <w:tcPr>
            <w:tcW w:w="10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77"/>
              </w:rPr>
              <w:t>s'</w:t>
            </w:r>
          </w:p>
        </w:tc>
        <w:tc>
          <w:tcPr>
            <w:tcW w:w="0" w:type="dxa"/>
            <w:vAlign w:val="bottom"/>
          </w:tcPr>
          <w:p>
            <w:pPr>
              <w:spacing w:after="0"/>
              <w:rPr>
                <w:sz w:val="1"/>
                <w:szCs w:val="1"/>
                <w:color w:val="auto"/>
              </w:rPr>
            </w:pPr>
          </w:p>
        </w:tc>
      </w:tr>
      <w:tr>
        <w:trPr>
          <w:trHeight w:val="179"/>
        </w:trPr>
        <w:tc>
          <w:tcPr>
            <w:tcW w:w="2160" w:type="dxa"/>
            <w:vAlign w:val="bottom"/>
          </w:tcPr>
          <w:p>
            <w:pPr>
              <w:spacing w:after="0"/>
              <w:rPr>
                <w:sz w:val="15"/>
                <w:szCs w:val="15"/>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8"/>
              </w:rPr>
              <w:t>Convertible Preferred Stock</w:t>
            </w:r>
          </w:p>
        </w:tc>
        <w:tc>
          <w:tcPr>
            <w:tcW w:w="160" w:type="dxa"/>
            <w:vAlign w:val="bottom"/>
          </w:tcPr>
          <w:p>
            <w:pPr>
              <w:spacing w:after="0"/>
              <w:rPr>
                <w:sz w:val="15"/>
                <w:szCs w:val="15"/>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9"/>
              </w:rPr>
              <w:t>Convertible Preferred Stock</w:t>
            </w:r>
          </w:p>
        </w:tc>
        <w:tc>
          <w:tcPr>
            <w:tcW w:w="180" w:type="dxa"/>
            <w:vAlign w:val="bottom"/>
          </w:tcPr>
          <w:p>
            <w:pPr>
              <w:spacing w:after="0"/>
              <w:rPr>
                <w:sz w:val="15"/>
                <w:szCs w:val="15"/>
                <w:color w:val="auto"/>
              </w:rPr>
            </w:pPr>
          </w:p>
        </w:tc>
        <w:tc>
          <w:tcPr>
            <w:tcW w:w="150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5"/>
                <w:szCs w:val="15"/>
                <w:color w:val="auto"/>
              </w:rPr>
            </w:pPr>
          </w:p>
        </w:tc>
        <w:tc>
          <w:tcPr>
            <w:tcW w:w="1400" w:type="dxa"/>
            <w:vAlign w:val="bottom"/>
            <w:tcBorders>
              <w:bottom w:val="single" w:sz="8" w:color="auto"/>
            </w:tcBorders>
            <w:gridSpan w:val="3"/>
          </w:tcPr>
          <w:p>
            <w:pPr>
              <w:jc w:val="right"/>
              <w:ind w:right="177"/>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b w:val="1"/>
                <w:bCs w:val="1"/>
                <w:color w:val="auto"/>
                <w:w w:val="89"/>
              </w:rPr>
              <w:t>paid-in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78"/>
              </w:rPr>
              <w:t>ed</w:t>
            </w:r>
          </w:p>
        </w:tc>
        <w:tc>
          <w:tcPr>
            <w:tcW w:w="100" w:type="dxa"/>
            <w:vAlign w:val="bottom"/>
          </w:tcPr>
          <w:p>
            <w:pPr>
              <w:spacing w:after="0"/>
              <w:rPr>
                <w:sz w:val="15"/>
                <w:szCs w:val="15"/>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77"/>
        </w:trPr>
        <w:tc>
          <w:tcPr>
            <w:tcW w:w="216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3"/>
              </w:rPr>
              <w:t>Amount</w:t>
            </w: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9"/>
              </w:rPr>
              <w:t>Amount</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9"/>
              </w:rPr>
              <w:t>Amount</w:t>
            </w:r>
          </w:p>
        </w:tc>
        <w:tc>
          <w:tcPr>
            <w:tcW w:w="700" w:type="dxa"/>
            <w:vAlign w:val="bottom"/>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deficit</w:t>
            </w:r>
          </w:p>
        </w:tc>
        <w:tc>
          <w:tcPr>
            <w:tcW w:w="100" w:type="dxa"/>
            <w:vAlign w:val="bottom"/>
          </w:tcPr>
          <w:p>
            <w:pPr>
              <w:spacing w:after="0"/>
              <w:rPr>
                <w:sz w:val="15"/>
                <w:szCs w:val="15"/>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(deficit)</w:t>
            </w:r>
          </w:p>
        </w:tc>
        <w:tc>
          <w:tcPr>
            <w:tcW w:w="0" w:type="dxa"/>
            <w:vAlign w:val="bottom"/>
          </w:tcPr>
          <w:p>
            <w:pPr>
              <w:spacing w:after="0"/>
              <w:rPr>
                <w:sz w:val="1"/>
                <w:szCs w:val="1"/>
                <w:color w:val="auto"/>
              </w:rPr>
            </w:pPr>
          </w:p>
        </w:tc>
      </w:tr>
      <w:tr>
        <w:trPr>
          <w:trHeight w:val="171"/>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6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6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(as previously reported)</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39,722,088</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47,113</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24,790,938</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33,336</w:t>
            </w:r>
          </w:p>
        </w:tc>
        <w:tc>
          <w:tcPr>
            <w:tcW w:w="180" w:type="dxa"/>
            <w:vAlign w:val="bottom"/>
            <w:tcBorders>
              <w:right w:val="single" w:sz="8" w:color="auto"/>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6,900,493</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39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10,504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7"/>
              </w:rPr>
              <w:t>(112,821 )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(102,310 )</w:t>
            </w:r>
          </w:p>
        </w:tc>
        <w:tc>
          <w:tcPr>
            <w:tcW w:w="0" w:type="dxa"/>
            <w:vAlign w:val="bottom"/>
          </w:tcPr>
          <w:p>
            <w:pPr>
              <w:spacing w:after="0"/>
              <w:rPr>
                <w:sz w:val="1"/>
                <w:szCs w:val="1"/>
                <w:color w:val="auto"/>
              </w:rPr>
            </w:pPr>
          </w:p>
        </w:tc>
      </w:tr>
      <w:tr>
        <w:trPr>
          <w:trHeight w:val="173"/>
        </w:trPr>
        <w:tc>
          <w:tcPr>
            <w:tcW w:w="2160" w:type="dxa"/>
            <w:vAlign w:val="bottom"/>
          </w:tcPr>
          <w:p>
            <w:pPr>
              <w:ind w:left="20"/>
              <w:spacing w:after="0"/>
              <w:rPr>
                <w:sz w:val="20"/>
                <w:szCs w:val="20"/>
                <w:color w:val="auto"/>
              </w:rPr>
            </w:pPr>
            <w:r>
              <w:rPr>
                <w:rFonts w:ascii="Arial" w:cs="Arial" w:eastAsia="Arial" w:hAnsi="Arial"/>
                <w:sz w:val="13"/>
                <w:szCs w:val="13"/>
                <w:color w:val="auto"/>
              </w:rPr>
              <w:t>Retroactive application of the</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(39,722,08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160" w:type="dxa"/>
            <w:vAlign w:val="bottom"/>
          </w:tcPr>
          <w:p>
            <w:pPr>
              <w:ind w:left="120"/>
              <w:spacing w:after="0"/>
              <w:rPr>
                <w:sz w:val="20"/>
                <w:szCs w:val="20"/>
                <w:color w:val="auto"/>
              </w:rPr>
            </w:pPr>
            <w:r>
              <w:rPr>
                <w:rFonts w:ascii="Arial" w:cs="Arial" w:eastAsia="Arial" w:hAnsi="Arial"/>
                <w:sz w:val="13"/>
                <w:szCs w:val="13"/>
                <w:color w:val="auto"/>
                <w:w w:val="98"/>
              </w:rPr>
              <w:t>recapitalization due to the Business</w:t>
            </w:r>
          </w:p>
        </w:tc>
        <w:tc>
          <w:tcPr>
            <w:tcW w:w="6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120"/>
              <w:spacing w:after="0"/>
              <w:rPr>
                <w:sz w:val="20"/>
                <w:szCs w:val="20"/>
                <w:color w:val="auto"/>
              </w:rPr>
            </w:pPr>
            <w:r>
              <w:rPr>
                <w:rFonts w:ascii="Arial" w:cs="Arial" w:eastAsia="Arial" w:hAnsi="Arial"/>
                <w:sz w:val="13"/>
                <w:szCs w:val="13"/>
                <w:color w:val="auto"/>
              </w:rPr>
              <w:t>Combination (Note 3)</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8 )</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(47,113 )</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w w:val="98"/>
              </w:rPr>
              <w:t>(24,790,938 )</w:t>
            </w:r>
          </w:p>
        </w:tc>
        <w:tc>
          <w:tcPr>
            <w:tcW w:w="12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(33,336 )</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(6,900,493 )</w:t>
            </w: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(7 )</w:t>
            </w:r>
          </w:p>
        </w:tc>
        <w:tc>
          <w:tcPr>
            <w:tcW w:w="700" w:type="dxa"/>
            <w:vAlign w:val="bottom"/>
          </w:tcPr>
          <w:p>
            <w:pPr>
              <w:jc w:val="right"/>
              <w:spacing w:after="0"/>
              <w:rPr>
                <w:sz w:val="20"/>
                <w:szCs w:val="20"/>
                <w:color w:val="auto"/>
              </w:rPr>
            </w:pPr>
            <w:r>
              <w:rPr>
                <w:rFonts w:ascii="Arial" w:cs="Arial" w:eastAsia="Arial" w:hAnsi="Arial"/>
                <w:sz w:val="13"/>
                <w:szCs w:val="13"/>
                <w:color w:val="auto"/>
              </w:rPr>
              <w:t>15,565,380</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80,454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80,449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w w:val="93"/>
              </w:rPr>
              <w:t>Balance at December 31, 2020, effect</w:t>
            </w:r>
          </w:p>
        </w:tc>
        <w:tc>
          <w:tcPr>
            <w:tcW w:w="6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of</w:t>
            </w: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6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Business Combination (Note 3)</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15,565,380</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90,958</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7"/>
              </w:rPr>
              <w:t>(112,821 )</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(21,861 )</w:t>
            </w:r>
          </w:p>
        </w:tc>
        <w:tc>
          <w:tcPr>
            <w:tcW w:w="0" w:type="dxa"/>
            <w:vAlign w:val="bottom"/>
          </w:tcPr>
          <w:p>
            <w:pPr>
              <w:spacing w:after="0"/>
              <w:rPr>
                <w:sz w:val="1"/>
                <w:szCs w:val="1"/>
                <w:color w:val="auto"/>
              </w:rPr>
            </w:pPr>
          </w:p>
        </w:tc>
      </w:tr>
      <w:tr>
        <w:trPr>
          <w:trHeight w:val="173"/>
        </w:trPr>
        <w:tc>
          <w:tcPr>
            <w:tcW w:w="2160" w:type="dxa"/>
            <w:vAlign w:val="bottom"/>
          </w:tcPr>
          <w:p>
            <w:pPr>
              <w:ind w:left="20"/>
              <w:spacing w:after="0"/>
              <w:rPr>
                <w:sz w:val="20"/>
                <w:szCs w:val="20"/>
                <w:color w:val="auto"/>
              </w:rPr>
            </w:pPr>
            <w:r>
              <w:rPr>
                <w:rFonts w:ascii="Arial" w:cs="Arial" w:eastAsia="Arial" w:hAnsi="Arial"/>
                <w:sz w:val="13"/>
                <w:szCs w:val="13"/>
                <w:color w:val="auto"/>
              </w:rPr>
              <w:t>Issuance of common stock upon</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3"/>
                <w:szCs w:val="13"/>
                <w:color w:val="auto"/>
              </w:rPr>
              <w:t>Business</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120"/>
              <w:spacing w:after="0"/>
              <w:rPr>
                <w:sz w:val="20"/>
                <w:szCs w:val="20"/>
                <w:color w:val="auto"/>
              </w:rPr>
            </w:pPr>
            <w:r>
              <w:rPr>
                <w:rFonts w:ascii="Arial" w:cs="Arial" w:eastAsia="Arial" w:hAnsi="Arial"/>
                <w:sz w:val="13"/>
                <w:szCs w:val="13"/>
                <w:color w:val="auto"/>
              </w:rPr>
              <w:t>Combination, net of issuance costs</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120"/>
              <w:spacing w:after="0"/>
              <w:rPr>
                <w:sz w:val="20"/>
                <w:szCs w:val="20"/>
                <w:color w:val="auto"/>
              </w:rPr>
            </w:pPr>
            <w:r>
              <w:rPr>
                <w:rFonts w:ascii="Arial" w:cs="Arial" w:eastAsia="Arial" w:hAnsi="Arial"/>
                <w:sz w:val="13"/>
                <w:szCs w:val="13"/>
                <w:color w:val="auto"/>
              </w:rPr>
              <w:t>(Note 3)</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25,041,150</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195,880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195,882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7"/>
              </w:rPr>
              <w:t>Conversion of promissory notes (Note</w:t>
            </w: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tcBorders>
              <w:right w:val="single" w:sz="8" w:color="auto"/>
            </w:tcBorders>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3)</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2,341,316</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14,515</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14,515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160" w:type="dxa"/>
            <w:vAlign w:val="bottom"/>
          </w:tcPr>
          <w:p>
            <w:pPr>
              <w:ind w:left="20"/>
              <w:spacing w:after="0"/>
              <w:rPr>
                <w:sz w:val="20"/>
                <w:szCs w:val="20"/>
                <w:color w:val="auto"/>
              </w:rPr>
            </w:pPr>
            <w:r>
              <w:rPr>
                <w:rFonts w:ascii="Arial" w:cs="Arial" w:eastAsia="Arial" w:hAnsi="Arial"/>
                <w:sz w:val="13"/>
                <w:szCs w:val="13"/>
                <w:color w:val="auto"/>
              </w:rPr>
              <w:t>Issuance of common stock upon</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3"/>
                <w:szCs w:val="13"/>
                <w:color w:val="auto"/>
              </w:rPr>
              <w:t>exercise of</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120"/>
              <w:spacing w:after="0"/>
              <w:rPr>
                <w:sz w:val="20"/>
                <w:szCs w:val="20"/>
                <w:color w:val="auto"/>
              </w:rPr>
            </w:pPr>
            <w:r>
              <w:rPr>
                <w:rFonts w:ascii="Arial" w:cs="Arial" w:eastAsia="Arial" w:hAnsi="Arial"/>
                <w:sz w:val="13"/>
                <w:szCs w:val="13"/>
                <w:color w:val="auto"/>
              </w:rPr>
              <w:t>warrants (Note 3)</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15,257</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 common stock</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35,561</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160" w:type="dxa"/>
            <w:vAlign w:val="bottom"/>
          </w:tcPr>
          <w:p>
            <w:pPr>
              <w:ind w:left="20"/>
              <w:spacing w:after="0"/>
              <w:rPr>
                <w:sz w:val="20"/>
                <w:szCs w:val="20"/>
                <w:color w:val="auto"/>
              </w:rPr>
            </w:pPr>
            <w:r>
              <w:rPr>
                <w:rFonts w:ascii="Arial" w:cs="Arial" w:eastAsia="Arial" w:hAnsi="Arial"/>
                <w:sz w:val="13"/>
                <w:szCs w:val="13"/>
                <w:color w:val="auto"/>
              </w:rPr>
              <w:t>Issuance of common stock upon</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3"/>
                <w:szCs w:val="13"/>
                <w:color w:val="auto"/>
              </w:rPr>
              <w:t>exercise of</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120"/>
              <w:spacing w:after="0"/>
              <w:rPr>
                <w:sz w:val="20"/>
                <w:szCs w:val="20"/>
                <w:color w:val="auto"/>
              </w:rPr>
            </w:pPr>
            <w:r>
              <w:rPr>
                <w:rFonts w:ascii="Arial" w:cs="Arial" w:eastAsia="Arial" w:hAnsi="Arial"/>
                <w:sz w:val="13"/>
                <w:szCs w:val="13"/>
                <w:color w:val="auto"/>
              </w:rPr>
              <w:t>stock options</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3,480</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 expense</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160" w:type="dxa"/>
            <w:vAlign w:val="bottom"/>
          </w:tcPr>
          <w:p>
            <w:pPr>
              <w:ind w:left="20"/>
              <w:spacing w:after="0"/>
              <w:rPr>
                <w:sz w:val="20"/>
                <w:szCs w:val="20"/>
                <w:color w:val="auto"/>
              </w:rPr>
            </w:pPr>
            <w:r>
              <w:rPr>
                <w:rFonts w:ascii="Arial" w:cs="Arial" w:eastAsia="Arial" w:hAnsi="Arial"/>
                <w:sz w:val="13"/>
                <w:szCs w:val="13"/>
                <w:color w:val="auto"/>
              </w:rPr>
              <w:t>Net loss</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(19,048 )</w:t>
            </w: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(19,048 )</w:t>
            </w: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43,002,144</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303,026</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7"/>
              </w:rPr>
              <w:t>(131,869 )</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171,161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16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Issuance of common stock upon</w:t>
            </w:r>
          </w:p>
        </w:tc>
        <w:tc>
          <w:tcPr>
            <w:tcW w:w="68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80" w:type="dxa"/>
            <w:vAlign w:val="bottom"/>
            <w:tcBorders>
              <w:top w:val="single" w:sz="8" w:color="CFF0FC"/>
              <w:right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3"/>
                <w:szCs w:val="13"/>
                <w:color w:val="auto"/>
              </w:rPr>
              <w:t>exercise of</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120"/>
              <w:spacing w:after="0"/>
              <w:rPr>
                <w:sz w:val="20"/>
                <w:szCs w:val="20"/>
                <w:color w:val="auto"/>
              </w:rPr>
            </w:pPr>
            <w:r>
              <w:rPr>
                <w:rFonts w:ascii="Arial" w:cs="Arial" w:eastAsia="Arial" w:hAnsi="Arial"/>
                <w:sz w:val="13"/>
                <w:szCs w:val="13"/>
                <w:color w:val="auto"/>
              </w:rPr>
              <w:t>stock options</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52,968</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 expense</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2,862</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160" w:type="dxa"/>
            <w:vAlign w:val="bottom"/>
          </w:tcPr>
          <w:p>
            <w:pPr>
              <w:ind w:left="20"/>
              <w:spacing w:after="0"/>
              <w:rPr>
                <w:sz w:val="20"/>
                <w:szCs w:val="20"/>
                <w:color w:val="auto"/>
              </w:rPr>
            </w:pPr>
            <w:r>
              <w:rPr>
                <w:rFonts w:ascii="Arial" w:cs="Arial" w:eastAsia="Arial" w:hAnsi="Arial"/>
                <w:sz w:val="13"/>
                <w:szCs w:val="13"/>
                <w:color w:val="auto"/>
              </w:rPr>
              <w:t>Net loss</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(16,447 )</w:t>
            </w: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(16,447 )</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June 30, 2021</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43,055,112</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305,994</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7"/>
              </w:rPr>
              <w:t>(148,316 )</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157,682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16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Issuance of common stock upon</w:t>
            </w:r>
          </w:p>
        </w:tc>
        <w:tc>
          <w:tcPr>
            <w:tcW w:w="68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80" w:type="dxa"/>
            <w:vAlign w:val="bottom"/>
            <w:tcBorders>
              <w:top w:val="single" w:sz="8" w:color="CFF0FC"/>
              <w:right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3"/>
                <w:szCs w:val="13"/>
                <w:color w:val="auto"/>
              </w:rPr>
              <w:t>exercise of</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120"/>
              <w:spacing w:after="0"/>
              <w:rPr>
                <w:sz w:val="20"/>
                <w:szCs w:val="20"/>
                <w:color w:val="auto"/>
              </w:rPr>
            </w:pPr>
            <w:r>
              <w:rPr>
                <w:rFonts w:ascii="Arial" w:cs="Arial" w:eastAsia="Arial" w:hAnsi="Arial"/>
                <w:sz w:val="13"/>
                <w:szCs w:val="13"/>
                <w:color w:val="auto"/>
              </w:rPr>
              <w:t>stock options</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57,630</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 expense</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1,659</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160" w:type="dxa"/>
            <w:vAlign w:val="bottom"/>
          </w:tcPr>
          <w:p>
            <w:pPr>
              <w:ind w:left="20"/>
              <w:spacing w:after="0"/>
              <w:rPr>
                <w:sz w:val="20"/>
                <w:szCs w:val="20"/>
                <w:color w:val="auto"/>
              </w:rPr>
            </w:pPr>
            <w:r>
              <w:rPr>
                <w:rFonts w:ascii="Arial" w:cs="Arial" w:eastAsia="Arial" w:hAnsi="Arial"/>
                <w:sz w:val="13"/>
                <w:szCs w:val="13"/>
                <w:color w:val="auto"/>
              </w:rPr>
              <w:t>Net loss</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(18,551 )</w:t>
            </w: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(18,551 )</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September 30, 2021</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43,112,742</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97"/>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307,724</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7"/>
              </w:rPr>
              <w:t>(166,867 )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140,861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3740150</wp:posOffset>
            </wp:positionH>
            <wp:positionV relativeFrom="page">
              <wp:posOffset>367665</wp:posOffset>
            </wp:positionV>
            <wp:extent cx="3600450" cy="5829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00450" cy="582930"/>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-3886835</wp:posOffset>
            </wp:positionV>
            <wp:extent cx="34290" cy="3511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3511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-1428115</wp:posOffset>
            </wp:positionV>
            <wp:extent cx="11176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-1428115</wp:posOffset>
            </wp:positionV>
            <wp:extent cx="11112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-1428115</wp:posOffset>
            </wp:positionV>
            <wp:extent cx="11112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-1692275</wp:posOffset>
            </wp:positionV>
            <wp:extent cx="90170" cy="282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0170" cy="28257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-1428115</wp:posOffset>
            </wp:positionV>
            <wp:extent cx="11112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-1428115</wp:posOffset>
            </wp:positionV>
            <wp:extent cx="11112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-1428115</wp:posOffset>
            </wp:positionV>
            <wp:extent cx="10287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-1428115</wp:posOffset>
            </wp:positionV>
            <wp:extent cx="8572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-1428115</wp:posOffset>
            </wp:positionV>
            <wp:extent cx="8572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-1428115</wp:posOffset>
            </wp:positionV>
            <wp:extent cx="939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-1428115</wp:posOffset>
            </wp:positionV>
            <wp:extent cx="3429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-725170</wp:posOffset>
            </wp:positionV>
            <wp:extent cx="11176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-725170</wp:posOffset>
            </wp:positionV>
            <wp:extent cx="11112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-725170</wp:posOffset>
            </wp:positionV>
            <wp:extent cx="11112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-989330</wp:posOffset>
            </wp:positionV>
            <wp:extent cx="90170" cy="2825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0170" cy="28257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-725170</wp:posOffset>
            </wp:positionV>
            <wp:extent cx="11112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-725170</wp:posOffset>
            </wp:positionV>
            <wp:extent cx="11112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-725170</wp:posOffset>
            </wp:positionV>
            <wp:extent cx="10287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-725170</wp:posOffset>
            </wp:positionV>
            <wp:extent cx="8572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-725170</wp:posOffset>
            </wp:positionV>
            <wp:extent cx="8572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-725170</wp:posOffset>
            </wp:positionV>
            <wp:extent cx="939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-725170</wp:posOffset>
            </wp:positionV>
            <wp:extent cx="3429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-24765</wp:posOffset>
            </wp:positionV>
            <wp:extent cx="1117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-7620</wp:posOffset>
            </wp:positionV>
            <wp:extent cx="1117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-24765</wp:posOffset>
            </wp:positionV>
            <wp:extent cx="1111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-7620</wp:posOffset>
            </wp:positionV>
            <wp:extent cx="1111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-24765</wp:posOffset>
            </wp:positionV>
            <wp:extent cx="1111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-7620</wp:posOffset>
            </wp:positionV>
            <wp:extent cx="1111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-286385</wp:posOffset>
            </wp:positionV>
            <wp:extent cx="90170" cy="2997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0170" cy="29972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1111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1111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-24765</wp:posOffset>
            </wp:positionV>
            <wp:extent cx="1111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1111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1028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1028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857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857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-24765</wp:posOffset>
            </wp:positionV>
            <wp:extent cx="93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-7620</wp:posOffset>
            </wp:positionV>
            <wp:extent cx="939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40" w:type="dxa"/>
            <w:vAlign w:val="bottom"/>
          </w:tcPr>
          <w:p>
            <w:pPr>
              <w:spacing w:after="0"/>
              <w:rPr>
                <w:sz w:val="20"/>
                <w:szCs w:val="20"/>
                <w:color w:val="auto"/>
              </w:rPr>
            </w:pPr>
          </w:p>
        </w:tc>
        <w:tc>
          <w:tcPr>
            <w:tcW w:w="360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Nine Months Ended September 30,</w:t>
            </w:r>
          </w:p>
        </w:tc>
      </w:tr>
      <w:tr>
        <w:trPr>
          <w:trHeight w:val="250"/>
        </w:trPr>
        <w:tc>
          <w:tcPr>
            <w:tcW w:w="764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(54,046 )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(26,522 )</w:t>
            </w: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380"/>
              <w:spacing w:after="0"/>
              <w:rPr>
                <w:sz w:val="20"/>
                <w:szCs w:val="20"/>
                <w:color w:val="auto"/>
              </w:rPr>
            </w:pPr>
            <w:r>
              <w:rPr>
                <w:rFonts w:ascii="Arial" w:cs="Arial" w:eastAsia="Arial" w:hAnsi="Arial"/>
                <w:sz w:val="18"/>
                <w:szCs w:val="18"/>
                <w:color w:val="auto"/>
              </w:rPr>
              <w:t>Depreciation expense</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6,114</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380"/>
              <w:spacing w:after="0"/>
              <w:rPr>
                <w:sz w:val="20"/>
                <w:szCs w:val="20"/>
                <w:color w:val="auto"/>
              </w:rPr>
            </w:pPr>
            <w:r>
              <w:rPr>
                <w:rFonts w:ascii="Arial" w:cs="Arial" w:eastAsia="Arial" w:hAnsi="Arial"/>
                <w:sz w:val="18"/>
                <w:szCs w:val="18"/>
                <w:color w:val="auto"/>
              </w:rPr>
              <w:t>Non-cash interest expense</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 in fair value of warrant liability</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380"/>
              <w:spacing w:after="0"/>
              <w:rPr>
                <w:sz w:val="20"/>
                <w:szCs w:val="20"/>
                <w:color w:val="auto"/>
              </w:rPr>
            </w:pPr>
            <w:r>
              <w:rPr>
                <w:rFonts w:ascii="Arial" w:cs="Arial" w:eastAsia="Arial" w:hAnsi="Arial"/>
                <w:sz w:val="18"/>
                <w:szCs w:val="18"/>
                <w:color w:val="auto"/>
              </w:rPr>
              <w:t>Loss on conversion of convertible notes</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711</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Accretion of discount on convertible notes</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(4,098 )</w:t>
            </w: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560"/>
              <w:spacing w:after="0"/>
              <w:rPr>
                <w:sz w:val="20"/>
                <w:szCs w:val="20"/>
                <w:color w:val="auto"/>
              </w:rPr>
            </w:pPr>
            <w:r>
              <w:rPr>
                <w:rFonts w:ascii="Arial" w:cs="Arial" w:eastAsia="Arial" w:hAnsi="Arial"/>
                <w:sz w:val="18"/>
                <w:szCs w:val="18"/>
                <w:color w:val="auto"/>
              </w:rPr>
              <w:t>Deferred offering costs</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1,341</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Other assets</w:t>
            </w:r>
          </w:p>
        </w:tc>
        <w:tc>
          <w:tcPr>
            <w:tcW w:w="100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(232 )</w:t>
            </w: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56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(459 )</w:t>
            </w:r>
          </w:p>
        </w:tc>
        <w:tc>
          <w:tcPr>
            <w:tcW w:w="3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(1,478 )</w:t>
            </w:r>
          </w:p>
        </w:tc>
      </w:tr>
      <w:tr>
        <w:trPr>
          <w:trHeight w:val="257"/>
        </w:trPr>
        <w:tc>
          <w:tcPr>
            <w:tcW w:w="76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Accrued expenses and other current liabilities</w:t>
            </w:r>
          </w:p>
        </w:tc>
        <w:tc>
          <w:tcPr>
            <w:tcW w:w="100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40" w:type="dxa"/>
            <w:vAlign w:val="bottom"/>
          </w:tcPr>
          <w:p>
            <w:pPr>
              <w:ind w:left="740"/>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(47,032 )</w:t>
            </w:r>
          </w:p>
        </w:tc>
        <w:tc>
          <w:tcPr>
            <w:tcW w:w="3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(23,855 )</w:t>
            </w:r>
          </w:p>
        </w:tc>
      </w:tr>
      <w:tr>
        <w:trPr>
          <w:trHeight w:val="25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tcBorders>
              <w:top w:val="single" w:sz="8" w:color="auto"/>
            </w:tcBorders>
            <w:shd w:val="clear" w:color="auto" w:fill="CFF0FC"/>
          </w:tcPr>
          <w:p>
            <w:pPr>
              <w:spacing w:after="0"/>
              <w:rPr>
                <w:sz w:val="22"/>
                <w:szCs w:val="22"/>
                <w:color w:val="auto"/>
              </w:rPr>
            </w:pPr>
          </w:p>
        </w:tc>
        <w:tc>
          <w:tcPr>
            <w:tcW w:w="620" w:type="dxa"/>
            <w:vAlign w:val="bottom"/>
            <w:tcBorders>
              <w:top w:val="single" w:sz="8" w:color="auto"/>
            </w:tcBorders>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60" w:type="dxa"/>
            <w:vAlign w:val="bottom"/>
            <w:tcBorders>
              <w:top w:val="single" w:sz="8" w:color="auto"/>
            </w:tcBorders>
            <w:shd w:val="clear" w:color="auto" w:fill="CFF0FC"/>
          </w:tcPr>
          <w:p>
            <w:pPr>
              <w:spacing w:after="0"/>
              <w:rPr>
                <w:sz w:val="22"/>
                <w:szCs w:val="22"/>
                <w:color w:val="auto"/>
              </w:rPr>
            </w:pPr>
          </w:p>
        </w:tc>
        <w:tc>
          <w:tcPr>
            <w:tcW w:w="122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560"/>
              <w:spacing w:after="0"/>
              <w:rPr>
                <w:sz w:val="20"/>
                <w:szCs w:val="20"/>
                <w:color w:val="auto"/>
              </w:rPr>
            </w:pPr>
            <w:r>
              <w:rPr>
                <w:rFonts w:ascii="Arial" w:cs="Arial" w:eastAsia="Arial" w:hAnsi="Arial"/>
                <w:sz w:val="18"/>
                <w:szCs w:val="18"/>
                <w:color w:val="auto"/>
              </w:rPr>
              <w:t>Purchase of property and equipment</w:t>
            </w:r>
          </w:p>
        </w:tc>
        <w:tc>
          <w:tcPr>
            <w:tcW w:w="100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(61 )</w:t>
            </w:r>
          </w:p>
        </w:tc>
        <w:tc>
          <w:tcPr>
            <w:tcW w:w="3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(22 )</w:t>
            </w:r>
          </w:p>
        </w:tc>
      </w:tr>
      <w:tr>
        <w:trPr>
          <w:trHeight w:val="20"/>
        </w:trPr>
        <w:tc>
          <w:tcPr>
            <w:tcW w:w="7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(61 )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(22 )</w:t>
            </w:r>
          </w:p>
        </w:tc>
      </w:tr>
      <w:tr>
        <w:trPr>
          <w:trHeight w:val="250"/>
        </w:trPr>
        <w:tc>
          <w:tcPr>
            <w:tcW w:w="76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00" w:type="dxa"/>
            <w:vAlign w:val="bottom"/>
            <w:tcBorders>
              <w:top w:val="single" w:sz="8" w:color="CFF0FC"/>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Business Combination, net</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195,882</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Proceeds from sale of Series B convertible preferred stock, net</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20,084</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convertible notes</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r>
      <w:tr>
        <w:trPr>
          <w:trHeight w:val="257"/>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Principal payments on term loan</w:t>
            </w:r>
          </w:p>
        </w:tc>
        <w:tc>
          <w:tcPr>
            <w:tcW w:w="100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(3,333 )</w:t>
            </w: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Borders>
              <w:top w:val="single" w:sz="8" w:color="CFF0FC"/>
            </w:tcBorders>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192,659</w:t>
            </w:r>
          </w:p>
        </w:tc>
        <w:tc>
          <w:tcPr>
            <w:tcW w:w="300" w:type="dxa"/>
            <w:vAlign w:val="bottom"/>
            <w:tcBorders>
              <w:top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34,106</w:t>
            </w:r>
          </w:p>
        </w:tc>
        <w:tc>
          <w:tcPr>
            <w:tcW w:w="100" w:type="dxa"/>
            <w:vAlign w:val="bottom"/>
            <w:tcBorders>
              <w:top w:val="single" w:sz="8" w:color="CFF0FC"/>
            </w:tcBorders>
          </w:tcPr>
          <w:p>
            <w:pPr>
              <w:spacing w:after="0"/>
              <w:rPr>
                <w:sz w:val="21"/>
                <w:szCs w:val="21"/>
                <w:color w:val="auto"/>
              </w:rPr>
            </w:pP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Increase in cash, cash equivalents and restricted cash</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145,566</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10,229</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w:t>
            </w:r>
          </w:p>
        </w:tc>
        <w:tc>
          <w:tcPr>
            <w:tcW w:w="100" w:type="dxa"/>
            <w:vAlign w:val="bottom"/>
          </w:tcPr>
          <w:p>
            <w:pPr>
              <w:spacing w:after="0"/>
              <w:rPr>
                <w:sz w:val="21"/>
                <w:szCs w:val="21"/>
                <w:color w:val="auto"/>
              </w:rPr>
            </w:pPr>
          </w:p>
        </w:tc>
      </w:tr>
      <w:tr>
        <w:trPr>
          <w:trHeight w:val="29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00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150,392</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43"/>
        </w:trPr>
        <w:tc>
          <w:tcPr>
            <w:tcW w:w="76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3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6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Noncash financing activities</w:t>
            </w: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9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Conversion of convertible notes to Series B preferred stock</w:t>
            </w:r>
          </w:p>
        </w:tc>
        <w:tc>
          <w:tcPr>
            <w:tcW w:w="100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14,515</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Exercise of warrants</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Proceeds from exercise of stock options included in other current assets</w:t>
            </w:r>
          </w:p>
        </w:tc>
        <w:tc>
          <w:tcPr>
            <w:tcW w:w="100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Discount on convertible notes</w:t>
            </w:r>
          </w:p>
        </w:tc>
        <w:tc>
          <w:tcPr>
            <w:tcW w:w="100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w w:val="92"/>
              </w:rPr>
              <w:t>Deferred offering costs included in accounts payable and accrued expenses and other current liabilities</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-4333875</wp:posOffset>
            </wp:positionV>
            <wp:extent cx="19748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-4333875</wp:posOffset>
            </wp:positionV>
            <wp:extent cx="5969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-3656965</wp:posOffset>
            </wp:positionV>
            <wp:extent cx="19748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-3656965</wp:posOffset>
            </wp:positionV>
            <wp:extent cx="5969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-2670810</wp:posOffset>
            </wp:positionV>
            <wp:extent cx="19748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-2670810</wp:posOffset>
            </wp:positionV>
            <wp:extent cx="5969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-1996440</wp:posOffset>
            </wp:positionV>
            <wp:extent cx="1974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-1979295</wp:posOffset>
            </wp:positionV>
            <wp:extent cx="1974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-1996440</wp:posOffset>
            </wp:positionV>
            <wp:extent cx="596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-1979295</wp:posOffset>
            </wp:positionV>
            <wp:extent cx="596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-967740</wp:posOffset>
            </wp:positionV>
            <wp:extent cx="19748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-950595</wp:posOffset>
            </wp:positionV>
            <wp:extent cx="1974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-967740</wp:posOffset>
            </wp:positionV>
            <wp:extent cx="596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-950595</wp:posOffset>
            </wp:positionV>
            <wp:extent cx="596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-590550</wp:posOffset>
            </wp:positionV>
            <wp:extent cx="1974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-573405</wp:posOffset>
            </wp:positionV>
            <wp:extent cx="1974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-590550</wp:posOffset>
            </wp:positionV>
            <wp:extent cx="596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-573405</wp:posOffset>
            </wp:positionV>
            <wp:extent cx="596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-213995</wp:posOffset>
            </wp:positionV>
            <wp:extent cx="1974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-196215</wp:posOffset>
            </wp:positionV>
            <wp:extent cx="1974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-213995</wp:posOffset>
            </wp:positionV>
            <wp:extent cx="596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-196215</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202" w:lineRule="exact"/>
        <w:rPr>
          <w:sz w:val="20"/>
          <w:szCs w:val="20"/>
          <w:color w:val="auto"/>
        </w:rPr>
      </w:pPr>
    </w:p>
    <w:p>
      <w:pPr>
        <w:jc w:val="both"/>
        <w:ind w:right="20"/>
        <w:spacing w:after="0" w:line="359" w:lineRule="auto"/>
        <w:rPr>
          <w:sz w:val="20"/>
          <w:szCs w:val="20"/>
          <w:color w:val="auto"/>
        </w:rPr>
      </w:pPr>
      <w:r>
        <w:rPr>
          <w:rFonts w:ascii="Arial" w:cs="Arial" w:eastAsia="Arial" w:hAnsi="Arial"/>
          <w:sz w:val="16"/>
          <w:szCs w:val="16"/>
          <w:color w:val="auto"/>
        </w:rPr>
        <w:t>Gemini Therapeutics, Inc. (the “Company” or “Gemini”) is a clinical-stage precision medicine company developing novel therapeutic compounds to treat genetically defined, age-related macular degeneration. The Company was founded on March 3, 2015 and is currently located in Cambridge, Massachusetts.</w:t>
      </w:r>
    </w:p>
    <w:p>
      <w:pPr>
        <w:spacing w:after="0" w:line="98"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Unless the context otherwise requires, references in these notes to “Gemini”, “the Company”, “we”, “us” and “our” and any related terms are intended to mean Gemini Therapeutics, Inc. and its consolidated subsidiary following the Business Combination (as defined below).</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Since its inception, the Company has devoted substantially all its efforts and financial resources to organizing and staffing the Company, business planning, raising capital, discovering product candidates and securing related intellectual property rights and conducting research and development activities for our product candidates. The Company’s lead product candidate, GEM103, is currently in Phase 2a clinical development and its other product candidate, GEM307, is in the preclinical stage of development.</w:t>
      </w:r>
    </w:p>
    <w:p>
      <w:pPr>
        <w:spacing w:after="0" w:line="14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On February 5, 2021 (the “Closing Date”), FS Development Corporation, a Delaware corporation (“FSDC”), consummated the previously announced business combination (the “Business Combination”) pursuant to the terms of the Agreement and Plan of Merger, dated as of October 15, 2020 (as amended, supplemented or otherwise modified from time to time, the “Merger Agreement”), by and among Gemini Therapeutics, Inc., a Delaware corporation (“Old Gemini”), Shareholder Representative Services LLC, a Colorado limited liability company solely in its capacity as the representative, agent and attorney-in-fact of the Company Securityholders (the “Stockholders’ Representative”), FSDC and FSG Merger Sub Inc., a Delaware corporation (“Merger Sub”).</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FSDC was incorporated in Delaware on June 25, 2020 and was formed for the purpose of effecting a merger, capital stock exchange, asset acquisition, stock purchase, reorganization or similar business combination with one or more businesses.</w:t>
      </w:r>
    </w:p>
    <w:p>
      <w:pPr>
        <w:spacing w:after="0" w:line="12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On the day prior to the Closing Date, Old Gemini changed its name to “Gemini Therapeutics Sub, Inc.” Pursuant to the Merger Agreement, on the Closing Date, (i) FSDC changed its name to “Gemini Therapeutics, Inc.” and (ii) Old Gemini merged with and into Merger Sub (the “Merger”), with Old Gemini as the surviving company in the Merger and, after giving effect to such Merger, Old Gemini becoming a wholly-owned subsidiary of Gemini. Upon the closing of the Business Combination, and pursuant to the terms of the Merger Agreement, the existing shareholders of Old Gemini exchanged their interests for shares of common stock of Gemini.</w:t>
      </w:r>
    </w:p>
    <w:p>
      <w:pPr>
        <w:spacing w:after="0" w:line="15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connection with the Business Combination, certain investors purchased an aggregate of $95.1 million of the Company’s Common Stock in a private placement of public equity (the “PIPE Financing”). Together with FSDC’s cash resources and funding of the PIPE Financing, the Company received net proceeds of approximately $195.9 million.</w:t>
      </w:r>
    </w:p>
    <w:p>
      <w:pPr>
        <w:spacing w:after="0" w:line="15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 xml:space="preserve">For additional information on the Business Combination, please refer to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 to these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Risks and Liquidity</w:t>
      </w:r>
    </w:p>
    <w:p>
      <w:pPr>
        <w:spacing w:after="0" w:line="20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compliance with government regulations and the impact of the novel coronavirus disease (“COVID-19”) pandemic. If the Company does not successfully commercialize any of its product candidates, it will be unable to generate recurring product revenue or achieve profitability.</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Company’s product candidates are in development and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is dependent upon the services of its employees, consultants, third-party contract research organizations and other third-party organizations.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both"/>
        <w:spacing w:after="0" w:line="306" w:lineRule="auto"/>
        <w:rPr>
          <w:sz w:val="20"/>
          <w:szCs w:val="20"/>
          <w:color w:val="auto"/>
        </w:rPr>
      </w:pPr>
      <w:r>
        <w:rPr>
          <w:rFonts w:ascii="Arial" w:cs="Arial" w:eastAsia="Arial" w:hAnsi="Arial"/>
          <w:sz w:val="16"/>
          <w:szCs w:val="16"/>
          <w:color w:val="auto"/>
        </w:rPr>
        <w:t>Prior to the Business Combination, the Company primarily financed its operations through the sale of convertible preferred stock, borrowings under convertible promissory notes and borrowings under loan agreements. The Company believes that its $150.1 million of cash and cash equivalents as of September 30, 2021 will enable it to fund its planned operations for at least twelve months from the issuance date of these condensed consolidated financial statements, though the Company may pursue additional cash resources through public or private equity or debt financings. Management’s expectations with respect to its ability to fund current planned operations is based on estimates that are subject to risks and uncertainties. Its operating plan may change as a result of many factors currently unknown to management, and there can be no assurance that the current operating plan will be achieved in the time frame anticipated by the Company, and it may need to seek additional funds sooner than anticipated. If adequate funds are not available to the Company on a timely basis, on acceptable terms or at all, management may be required to delay, limit, reduce or terminate certain of its research, product development or future commercialization efforts, obtain funds through arrangements with collaborators on terms unfavorable to the Company, or pursue merger or acquisition strategies, all of which could adversely affect the holdings or the rights of its stockholders.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the COVID-19 Pandemic</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March 2020, the World Health Organization declared the COVID-19 outbreak a pandemic. The ongoing COVID-19 pandemic and the increased prevalence of variants of the virus,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ongoing COVID-19 pandemic and related impacts have resulted in and will likely continue to result in significant disruptions to the global economy and capital markets around the world. The Company cannot predict the future progression or full impact of the outbreak and its effects on the Company’s business and operations.</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Company and its third-party contract manufacturers (“CMOs”), contract research organizations (“CROs”) and clinical sites have experienced and may continue to experience disruptions in supply of product candidates and/or procurement of items that are essential for the Company’s research and development activities, including raw materials used in the manufacturing of its product candidates, medical and laboratory supplies used in its clinical trials or preclinical studies or animals that are used for preclinical testing, in each case, for which there may be shortages because of ongoing efforts to address the pandemic.</w:t>
      </w:r>
    </w:p>
    <w:p>
      <w:pPr>
        <w:spacing w:after="0" w:line="16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Additionally, the Company has enrolled, and will seek to enroll, patients in its clinical trials at sites located both in the United States and internationally. Most of the Company’s clinical trial sites are in areas that have been affected by COVID-19 and, as a result, its trials have been and may continue to be impacted. The Company cannot predict how long or impactful these delays may be on its clinical trials. In addition, even if sites are initiating and actively recruiting, the Company may face difficulties recruiting or retaining patients in its clinical trials if patients are affected by the virus or are unable to or are fearful of visiting or traveling to clinical trial sites because of the outbreak, or if patients are unable or unwilling to be vaccinated or tested. Prolonged delays or closure to enrollment in the Company’s trials or patient discontinuations could have a material adverse impact on its clinical trial plans and timelines. In addition, the Company’s ability to collect and verify data requested of patients enrolled in its clinical trials during this pandemic is being impacted to varying degrees. Clinical trial data collection continues for each of the Company’s clinical trials but at a slower pace, and with challenges and interruptions in data collection, including, in some instances, disruption of collection of complete study data. This could have a material adverse impact on the Company’s data quality and analysis. In addition, clinical trial sites may be unable or unwilling to initiate a new trial if factors relevant to the pandemic render this impracticable. These COVID-19 related issues may prolong the time required to conduct ongoing clinical trials and/or impact the quality of the data obtained from one or more of these studies.</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Company has not incurred impairment losses in the carrying values of its assets as a result of the ongoing COVID-19 pandemic, and it is not aware of any specific related event or circumstance that would require it to revise its estimates reflected in these condensed consolidated financial statements. Although the COVID-19 pandemic did not have a significant impact on the Company’s condensed consolidated financial results in the third quarter of 2021, the full extent to which the ongoing COVID-19 pandemic will impact the Company’s business, results of operations, financial condition and cash flows will depend on future developments that are highly uncertain, and the estimates of the impact on the Company’s business may change based on new information that may emerge concerning COVID-19, including the duration of the pandemic, any potential subsequent waves or strains of COVID-19 infection, the effectiveness, distribution and acceptance of COVID-19 vaccines and the actions to contain it or treat its impact and the economic impact on local, regional, national and international markets.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On February 5, 2021, Old Gemini and FSDC completed the Business Combination pursuant to the Merger Agreement with Old Gemini surviving the merger as a wholly owned subsidiary of FSDC. Net proceeds from the Business Combination totaled approximately $195.9 million, which included funds held in FSDC’s trust account and the completion of the concurrent PIPE Financing.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 w:name="page12"/>
    <w:bookmarkEnd w:id="11"/>
    <w:p>
      <w:pPr>
        <w:jc w:val="both"/>
        <w:spacing w:after="0" w:line="306" w:lineRule="auto"/>
        <w:rPr>
          <w:sz w:val="20"/>
          <w:szCs w:val="20"/>
          <w:color w:val="auto"/>
        </w:rPr>
      </w:pPr>
      <w:r>
        <w:rPr>
          <w:rFonts w:ascii="Arial" w:cs="Arial" w:eastAsia="Arial" w:hAnsi="Arial"/>
          <w:sz w:val="16"/>
          <w:szCs w:val="16"/>
          <w:color w:val="auto"/>
        </w:rPr>
        <w:t>In accordance with the terms and subject to the conditions of the Merger Agreement, at the effective time of the Merger, (i) all shares of Old Gemini’s Series B Preferred Stock (including shares of Series B Preferred Stock issued upon conversion of outstanding convertible promissory notes), Series A Preferred Stock and Common Stock (collectively, “Old Gemini Stock”) issued and outstanding immediately prior to the effective time of the Merger, whether vested or unvested, were converted into the right to receive their pro rata portion of the 17,942,274 shares of FSDC Class A Common Stock (the “Common Stock”) issued as Merger consideration (the “Merger Consideration”), provided that 2,150,000 shares of Common Stock are held in escrow for a period of 12 months from the Closing Date to satisfy any indemnification obligations of Old Gemini under the Merger Agreement; (ii) each option exercisable for Old Gemini Stock that was outstanding immediately prior to effective time of the Merger was assumed and continues in full force and effect on the same terms and conditions as were previously applicable to such options, subject to adjustments to exercise price and number of shares Common Stock issuable upon exercise based on the final conversion ratio calculated in accordance with the Merger Agreement, and (iii) 4,264,341 shares of Common Stock were reserved for issuance under the newly adopted 2021 Stock Option and Incentive Plan (the “2021 Plan”).</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accounted for the Business Combination as a reverse recapitalization, which is the equivalent of Old Gemini issuing stock for the net assets of FSDC, accompanied by a recapitalization, with FSDC treated as the acquired company for accounting purposes. The determination of FSDC as the “acquired” company for accounting purposes was primarily based on the fact that subsequent to the Business Combination, shareholders of Old Gemini prior to the Business Combination have a majority of the voting power of the combined company, the operations of Old Gemini will comprise all of the ongoing operations of the combined entity, and Old Gemini’s senior management will comprise all of the senior management of the combined company. The net assets of FSDC were stated at historical cost with no goodwill or other intangible assets recorded. Reported results from operations included herein prior to the Business Combination are those of Old Gemini.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(1.00 Old Gemini share for 0.2180 shares of the Company) (the “Conversion Ratio”).</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Business Combination, the Company incurred equity issuance costs and other costs considered direct and incremental to the transaction totaling $21.0 million, consisting of legal, accounting, financial advisory and other professional fees. These amounts are reflected within additional paid-in capital in the condensed consolidated balance sheet as of September 30,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 Financing</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Concurrent with the execution of the Business Combination, the Company entered into subscription agreements with certain investors (the “PIPE Investors”) pursuant to which the PIPE Investors subscribed for and purchased an aggregate of 9,506,000 shares of Common Stock for an aggregate purchase price of $95.1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Net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elements of the net proceeds from the Business Combination as of September 30, 2021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 FSDC Trust Account and cash (net of redemptions)</w:t>
            </w:r>
          </w:p>
        </w:tc>
        <w:tc>
          <w:tcPr>
            <w:tcW w:w="74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121,782</w:t>
            </w:r>
          </w:p>
        </w:tc>
        <w:tc>
          <w:tcPr>
            <w:tcW w:w="100" w:type="dxa"/>
            <w:vAlign w:val="bottom"/>
            <w:shd w:val="clear" w:color="auto" w:fill="CFF0FC"/>
          </w:tcPr>
          <w:p>
            <w:pPr>
              <w:spacing w:after="0"/>
              <w:rPr>
                <w:sz w:val="22"/>
                <w:szCs w:val="22"/>
                <w:color w:val="auto"/>
              </w:rPr>
            </w:pP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Cash - PIPE Financing</w:t>
            </w: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95,060</w:t>
            </w:r>
          </w:p>
        </w:tc>
        <w:tc>
          <w:tcPr>
            <w:tcW w:w="100" w:type="dxa"/>
            <w:vAlign w:val="bottom"/>
          </w:tcPr>
          <w:p>
            <w:pPr>
              <w:spacing w:after="0"/>
              <w:rPr>
                <w:sz w:val="21"/>
                <w:szCs w:val="21"/>
                <w:color w:val="auto"/>
              </w:rPr>
            </w:pPr>
          </w:p>
        </w:tc>
      </w:tr>
      <w:tr>
        <w:trPr>
          <w:trHeight w:val="257"/>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Equity issuance costs and other costs paid</w:t>
            </w:r>
          </w:p>
        </w:tc>
        <w:tc>
          <w:tcPr>
            <w:tcW w:w="7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(20,960 )</w:t>
            </w:r>
          </w:p>
        </w:tc>
      </w:tr>
      <w:tr>
        <w:trPr>
          <w:trHeight w:val="250"/>
        </w:trPr>
        <w:tc>
          <w:tcPr>
            <w:tcW w:w="918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Net proceeds from the Business Combination</w:t>
            </w: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195,882</w:t>
            </w:r>
          </w:p>
        </w:tc>
        <w:tc>
          <w:tcPr>
            <w:tcW w:w="100" w:type="dxa"/>
            <w:vAlign w:val="bottom"/>
            <w:tcBorders>
              <w:top w:val="single" w:sz="8" w:color="CFF0FC"/>
            </w:tcBorders>
          </w:tcPr>
          <w:p>
            <w:pPr>
              <w:spacing w:after="0"/>
              <w:rPr>
                <w:sz w:val="21"/>
                <w:szCs w:val="21"/>
                <w:color w:val="auto"/>
              </w:rPr>
            </w:pPr>
          </w:p>
        </w:tc>
      </w:tr>
      <w:tr>
        <w:trPr>
          <w:trHeight w:val="20"/>
        </w:trPr>
        <w:tc>
          <w:tcPr>
            <w:tcW w:w="9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Shares Issued</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following table summarizes the number of shares of Common Stock outstanding immediately following the consummation of the Business Combination: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FSDC shares outstanding prior to the Business Combination</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15,535,150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260" w:type="dxa"/>
            <w:vAlign w:val="bottom"/>
          </w:tcPr>
          <w:p>
            <w:pPr>
              <w:ind w:left="20"/>
              <w:spacing w:after="0"/>
              <w:rPr>
                <w:sz w:val="20"/>
                <w:szCs w:val="20"/>
                <w:color w:val="auto"/>
              </w:rPr>
            </w:pPr>
            <w:r>
              <w:rPr>
                <w:rFonts w:ascii="Arial" w:cs="Arial" w:eastAsia="Arial" w:hAnsi="Arial"/>
                <w:sz w:val="18"/>
                <w:szCs w:val="18"/>
                <w:color w:val="auto"/>
              </w:rPr>
              <w:t>Shares issued pursuant to the PIPE Financing</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9,506,000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9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Business Combination and PIPE Financing shares</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25,041,150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260" w:type="dxa"/>
            <w:vAlign w:val="bottom"/>
          </w:tcPr>
          <w:p>
            <w:pPr>
              <w:ind w:left="20"/>
              <w:spacing w:after="0"/>
              <w:rPr>
                <w:sz w:val="20"/>
                <w:szCs w:val="20"/>
                <w:color w:val="auto"/>
              </w:rPr>
            </w:pPr>
            <w:r>
              <w:rPr>
                <w:rFonts w:ascii="Arial" w:cs="Arial" w:eastAsia="Arial" w:hAnsi="Arial"/>
                <w:sz w:val="18"/>
                <w:szCs w:val="18"/>
                <w:color w:val="auto"/>
              </w:rPr>
              <w:t>Conversion of Old Gemini Series A preferred stock for common stock</w:t>
            </w:r>
          </w:p>
        </w:tc>
        <w:tc>
          <w:tcPr>
            <w:tcW w:w="1880" w:type="dxa"/>
            <w:vAlign w:val="bottom"/>
          </w:tcPr>
          <w:p>
            <w:pPr>
              <w:jc w:val="right"/>
              <w:spacing w:after="0"/>
              <w:rPr>
                <w:sz w:val="20"/>
                <w:szCs w:val="20"/>
                <w:color w:val="auto"/>
              </w:rPr>
            </w:pPr>
            <w:r>
              <w:rPr>
                <w:rFonts w:ascii="Arial" w:cs="Arial" w:eastAsia="Arial" w:hAnsi="Arial"/>
                <w:sz w:val="18"/>
                <w:szCs w:val="18"/>
                <w:color w:val="auto"/>
              </w:rPr>
              <w:t>8,657,869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Conversion of Old Gemini Series B preferred stock for common stock</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7,744,785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260" w:type="dxa"/>
            <w:vAlign w:val="bottom"/>
          </w:tcPr>
          <w:p>
            <w:pPr>
              <w:ind w:left="20"/>
              <w:spacing w:after="0"/>
              <w:rPr>
                <w:sz w:val="20"/>
                <w:szCs w:val="20"/>
                <w:color w:val="auto"/>
              </w:rPr>
            </w:pPr>
            <w:r>
              <w:rPr>
                <w:rFonts w:ascii="Arial" w:cs="Arial" w:eastAsia="Arial" w:hAnsi="Arial"/>
                <w:sz w:val="18"/>
                <w:szCs w:val="18"/>
                <w:color w:val="auto"/>
              </w:rPr>
              <w:t>Conversion of Old Gemini common stock for common stock</w:t>
            </w:r>
          </w:p>
        </w:tc>
        <w:tc>
          <w:tcPr>
            <w:tcW w:w="1880" w:type="dxa"/>
            <w:vAlign w:val="bottom"/>
          </w:tcPr>
          <w:p>
            <w:pPr>
              <w:jc w:val="right"/>
              <w:spacing w:after="0"/>
              <w:rPr>
                <w:sz w:val="20"/>
                <w:szCs w:val="20"/>
                <w:color w:val="auto"/>
              </w:rPr>
            </w:pPr>
            <w:r>
              <w:rPr>
                <w:rFonts w:ascii="Arial" w:cs="Arial" w:eastAsia="Arial" w:hAnsi="Arial"/>
                <w:sz w:val="18"/>
                <w:szCs w:val="18"/>
                <w:color w:val="auto"/>
              </w:rPr>
              <w:t>1,539,603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Issuance of common stock upon exercise of warrants</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9260" w:type="dxa"/>
            <w:vAlign w:val="bottom"/>
          </w:tcPr>
          <w:p>
            <w:pPr>
              <w:ind w:left="200"/>
              <w:spacing w:after="0"/>
              <w:rPr>
                <w:sz w:val="20"/>
                <w:szCs w:val="20"/>
                <w:color w:val="auto"/>
              </w:rPr>
            </w:pPr>
            <w:r>
              <w:rPr>
                <w:rFonts w:ascii="Arial" w:cs="Arial" w:eastAsia="Arial" w:hAnsi="Arial"/>
                <w:sz w:val="18"/>
                <w:szCs w:val="18"/>
                <w:color w:val="auto"/>
              </w:rPr>
              <w:t>Total shares of the Company's common stock outstanding immediately following</w:t>
            </w: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42,998,664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9260" w:type="dxa"/>
            <w:vAlign w:val="bottom"/>
          </w:tcPr>
          <w:p>
            <w:pPr>
              <w:ind w:left="340"/>
              <w:spacing w:after="0" w:line="203" w:lineRule="exact"/>
              <w:rPr>
                <w:sz w:val="20"/>
                <w:szCs w:val="20"/>
                <w:color w:val="auto"/>
              </w:rPr>
            </w:pPr>
            <w:r>
              <w:rPr>
                <w:rFonts w:ascii="Arial" w:cs="Arial" w:eastAsia="Arial" w:hAnsi="Arial"/>
                <w:sz w:val="18"/>
                <w:szCs w:val="18"/>
                <w:color w:val="auto"/>
              </w:rPr>
              <w:t>the Business Combination</w:t>
            </w:r>
          </w:p>
        </w:tc>
        <w:tc>
          <w:tcPr>
            <w:tcW w:w="1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60" w:type="dxa"/>
            <w:vAlign w:val="bottom"/>
            <w:vMerge w:val="restart"/>
          </w:tcPr>
          <w:p>
            <w:pPr>
              <w:ind w:left="5580"/>
              <w:spacing w:after="0"/>
              <w:rPr>
                <w:sz w:val="20"/>
                <w:szCs w:val="20"/>
                <w:color w:val="auto"/>
              </w:rPr>
            </w:pPr>
            <w:r>
              <w:rPr>
                <w:rFonts w:ascii="Arial" w:cs="Arial" w:eastAsia="Arial" w:hAnsi="Arial"/>
                <w:sz w:val="18"/>
                <w:szCs w:val="18"/>
                <w:color w:val="auto"/>
              </w:rPr>
              <w:t>8</w:t>
            </w: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92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-828040</wp:posOffset>
            </wp:positionV>
            <wp:extent cx="6858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 w:name="page13"/>
    <w:bookmarkEnd w:id="12"/>
    <w:p>
      <w:pPr>
        <w:ind w:right="7680" w:firstLine="8"/>
        <w:spacing w:after="0" w:line="479"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accompanying unaudited condensed consolidated financial statements include those of the Company and its subsidiary, Gemini Therapeutics Sub, Inc., after elimination of all intercompany accounts and transactions. The accompanying unaudited condensed consolidated financial statements and notes hereto have been prepared in conformity with the rules and regulations of the Securities and Exchange Commission (“SEC”) for interim financial reporting and, therefore, omit or condense certain footnotes and other information normally included in financial statements prepared in accordance with accounting principles generally accepted in the United States of America (“GAAP”) as set forth in the Financial Accounting Standards Board’s (“FASB”). Any reference in these notes to applicable guidance is meant to refer to the authoritative GAAP as found in the Accounting Standards Codification (“ASC”) and Accounting Standards Updates (“ASU”) of the FASB.</w:t>
      </w:r>
    </w:p>
    <w:p>
      <w:pPr>
        <w:spacing w:after="0" w:line="14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In the opinion of management, all adjustments necessary for a fair statement of the financial information, which are of a normal and recurring nature, have been made for the interim periods reported. Results of operations for the three and nine months ended September 30, 2021 and 2020 are not necessarily indicative of the results for the entire fiscal year or any other period. The condensed consolidated financial information for the three and nine months ended September 30, 2021 and 2020 have been prepared on the same basis as and should be read in conjunction with Old Gemini’s audited financial statements and notes thereto for the year ended December 31, 2020 included in the Company’s Form 8-K/A as filed with the SEC on March 29, 2021.</w:t>
      </w:r>
    </w:p>
    <w:p>
      <w:pPr>
        <w:spacing w:after="0" w:line="11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As a result of the Business Combination,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For additional information regarding the Business Combination, please refer to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 to these condensed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management to make estimates and assumptions that effect the reported amounts of assets and liabilities and disclosure of contingent assets and liabilities at the date of the financial statements and the reported amounts of expenses during the reporting periods. Significant estimates contained within these financial statements include, but are not limited to, the accruals of research and development expenses, share-based awards utilized for stock-based compensation purposes and, prior to the Business Combination, the estimated fair value of the Company’s common stock and warrant liability.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time of initial purchase to be cash equivalents. The objectives of the Company’s cash management policy are to safeguard and preserve funds to maintain liquidity sufficient to meet the Company’s cash flow requirements and to attain a market rate of return. The Company’s cash equivalents consist of amounts invested in money market mutual funds as of September 30, 2021 and December 31, 2020.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02"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Restricted cash amounted to $0.3 million as of September 30, 2021 and December 31, 2020, which consists of $0.1 million to collateralize the Company’s credit card and $0.2 million to collateralize its irrevocable standby letter of credit for its facility lease arrangement. The letter of credit is in the name of the landlord and is required to fulfill lease requirements in the event the Company should default on its lease obligation.</w:t>
      </w:r>
    </w:p>
    <w:p>
      <w:pPr>
        <w:spacing w:after="0" w:line="13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 reconciliation of the cash and cash equivalents and restricted cash as presented in the Company’s balance sheets to the Company’s statements of cash flows is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September 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9"/>
                <w:szCs w:val="19"/>
                <w:color w:val="auto"/>
              </w:rPr>
            </w:pPr>
          </w:p>
        </w:tc>
      </w:tr>
      <w:tr>
        <w:trPr>
          <w:trHeight w:val="241"/>
        </w:trPr>
        <w:tc>
          <w:tcPr>
            <w:tcW w:w="45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56"/>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3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150,069</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4,503</w:t>
            </w:r>
          </w:p>
        </w:tc>
        <w:tc>
          <w:tcPr>
            <w:tcW w:w="100" w:type="dxa"/>
            <w:vAlign w:val="bottom"/>
            <w:shd w:val="clear" w:color="auto" w:fill="CFF0FC"/>
          </w:tcPr>
          <w:p>
            <w:pPr>
              <w:spacing w:after="0"/>
              <w:rPr>
                <w:sz w:val="22"/>
                <w:szCs w:val="22"/>
                <w:color w:val="auto"/>
              </w:rPr>
            </w:pPr>
          </w:p>
        </w:tc>
      </w:tr>
      <w:tr>
        <w:trPr>
          <w:trHeight w:val="250"/>
        </w:trPr>
        <w:tc>
          <w:tcPr>
            <w:tcW w:w="45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r>
      <w:tr>
        <w:trPr>
          <w:trHeight w:val="290"/>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3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150,392</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4,826</w:t>
            </w:r>
          </w:p>
        </w:tc>
        <w:tc>
          <w:tcPr>
            <w:tcW w:w="100" w:type="dxa"/>
            <w:vAlign w:val="bottom"/>
            <w:shd w:val="clear" w:color="auto" w:fill="CFF0FC"/>
          </w:tcPr>
          <w:p>
            <w:pPr>
              <w:spacing w:after="0"/>
              <w:rPr>
                <w:sz w:val="24"/>
                <w:szCs w:val="24"/>
                <w:color w:val="auto"/>
              </w:rPr>
            </w:pPr>
          </w:p>
        </w:tc>
      </w:tr>
      <w:tr>
        <w:trPr>
          <w:trHeight w:val="662"/>
        </w:trPr>
        <w:tc>
          <w:tcPr>
            <w:tcW w:w="4500" w:type="dxa"/>
            <w:vAlign w:val="bottom"/>
            <w:tcBorders>
              <w:top w:val="single" w:sz="8" w:color="CFF0FC"/>
            </w:tcBorders>
          </w:tcPr>
          <w:p>
            <w:pPr>
              <w:spacing w:after="0"/>
              <w:rPr>
                <w:sz w:val="24"/>
                <w:szCs w:val="24"/>
                <w:color w:val="auto"/>
              </w:rPr>
            </w:pPr>
          </w:p>
        </w:tc>
        <w:tc>
          <w:tcPr>
            <w:tcW w:w="3140" w:type="dxa"/>
            <w:vAlign w:val="bottom"/>
            <w:tcBorders>
              <w:top w:val="single" w:sz="8" w:color="CFF0FC"/>
            </w:tcBorders>
          </w:tcPr>
          <w:p>
            <w:pPr>
              <w:jc w:val="right"/>
              <w:ind w:right="1890"/>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-539115</wp:posOffset>
            </wp:positionV>
            <wp:extent cx="1803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-522605</wp:posOffset>
            </wp:positionV>
            <wp:extent cx="1803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Concentration of credit risk and of significant suppliers</w:t>
      </w:r>
    </w:p>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and cash equivalents. The Company maintains deposits in accredited financial institutions in amounts that could exceed federally insured limits. Cash equivalents are invested in money market funds. The Company maintains each of its cash balances with high-quality and accredited financial institutions and accordingly, such funds are not exposed to unusual credit risk beyond the normal credit risk associated with commercial banking relationships.</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02"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Property and equipment are stated at cost, less accumulated depreciation. Depreciation is computed on a straight-line basis over the estimated useful lives of the assets. The estimated useful lives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Computer equipment</w:t>
            </w:r>
          </w:p>
        </w:tc>
        <w:tc>
          <w:tcPr>
            <w:tcW w:w="668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84"/>
              </w:rPr>
              <w:t>3 years</w:t>
            </w:r>
          </w:p>
        </w:tc>
      </w:tr>
      <w:tr>
        <w:trPr>
          <w:trHeight w:val="250"/>
        </w:trPr>
        <w:tc>
          <w:tcPr>
            <w:tcW w:w="4560" w:type="dxa"/>
            <w:vAlign w:val="bottom"/>
          </w:tcPr>
          <w:p>
            <w:pPr>
              <w:ind w:left="180"/>
              <w:spacing w:after="0"/>
              <w:rPr>
                <w:sz w:val="20"/>
                <w:szCs w:val="20"/>
                <w:color w:val="auto"/>
              </w:rPr>
            </w:pPr>
            <w:r>
              <w:rPr>
                <w:rFonts w:ascii="Arial" w:cs="Arial" w:eastAsia="Arial" w:hAnsi="Arial"/>
                <w:sz w:val="18"/>
                <w:szCs w:val="18"/>
                <w:color w:val="auto"/>
              </w:rPr>
              <w:t>Furniture and fixtures</w:t>
            </w:r>
          </w:p>
        </w:tc>
        <w:tc>
          <w:tcPr>
            <w:tcW w:w="6680" w:type="dxa"/>
            <w:vAlign w:val="bottom"/>
          </w:tcPr>
          <w:p>
            <w:pPr>
              <w:jc w:val="center"/>
              <w:ind w:left="1010"/>
              <w:spacing w:after="0"/>
              <w:rPr>
                <w:sz w:val="20"/>
                <w:szCs w:val="20"/>
                <w:color w:val="auto"/>
              </w:rPr>
            </w:pPr>
            <w:r>
              <w:rPr>
                <w:rFonts w:ascii="Arial" w:cs="Arial" w:eastAsia="Arial" w:hAnsi="Arial"/>
                <w:sz w:val="18"/>
                <w:szCs w:val="18"/>
                <w:color w:val="auto"/>
                <w:w w:val="84"/>
              </w:rPr>
              <w:t>5 years</w:t>
            </w:r>
          </w:p>
        </w:tc>
      </w:tr>
      <w:tr>
        <w:trPr>
          <w:trHeight w:val="263"/>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Laboratory equipment</w:t>
            </w:r>
          </w:p>
        </w:tc>
        <w:tc>
          <w:tcPr>
            <w:tcW w:w="668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84"/>
              </w:rPr>
              <w:t>3 years</w:t>
            </w:r>
          </w:p>
        </w:tc>
      </w:tr>
      <w:tr>
        <w:trPr>
          <w:trHeight w:val="242"/>
        </w:trPr>
        <w:tc>
          <w:tcPr>
            <w:tcW w:w="456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6680" w:type="dxa"/>
            <w:vAlign w:val="bottom"/>
          </w:tcPr>
          <w:p>
            <w:pPr>
              <w:jc w:val="center"/>
              <w:ind w:left="1010"/>
              <w:spacing w:after="0"/>
              <w:rPr>
                <w:sz w:val="20"/>
                <w:szCs w:val="20"/>
                <w:color w:val="auto"/>
              </w:rPr>
            </w:pPr>
            <w:r>
              <w:rPr>
                <w:rFonts w:ascii="Arial" w:cs="Arial" w:eastAsia="Arial" w:hAnsi="Arial"/>
                <w:sz w:val="18"/>
                <w:szCs w:val="18"/>
                <w:color w:val="auto"/>
                <w:w w:val="90"/>
              </w:rPr>
              <w:t>Shorter of the useful life of the asset</w:t>
            </w:r>
          </w:p>
        </w:tc>
      </w:tr>
      <w:tr>
        <w:trPr>
          <w:trHeight w:val="230"/>
        </w:trPr>
        <w:tc>
          <w:tcPr>
            <w:tcW w:w="4560" w:type="dxa"/>
            <w:vAlign w:val="bottom"/>
          </w:tcPr>
          <w:p>
            <w:pPr>
              <w:spacing w:after="0"/>
              <w:rPr>
                <w:sz w:val="20"/>
                <w:szCs w:val="20"/>
                <w:color w:val="auto"/>
              </w:rPr>
            </w:pPr>
          </w:p>
        </w:tc>
        <w:tc>
          <w:tcPr>
            <w:tcW w:w="6680" w:type="dxa"/>
            <w:vAlign w:val="bottom"/>
          </w:tcPr>
          <w:p>
            <w:pPr>
              <w:jc w:val="center"/>
              <w:ind w:left="1010"/>
              <w:spacing w:after="0"/>
              <w:rPr>
                <w:sz w:val="20"/>
                <w:szCs w:val="20"/>
                <w:color w:val="auto"/>
              </w:rPr>
            </w:pPr>
            <w:r>
              <w:rPr>
                <w:rFonts w:ascii="Arial" w:cs="Arial" w:eastAsia="Arial" w:hAnsi="Arial"/>
                <w:sz w:val="18"/>
                <w:szCs w:val="18"/>
                <w:color w:val="auto"/>
                <w:w w:val="91"/>
              </w:rPr>
              <w:t>or the life of the lease</w:t>
            </w:r>
          </w:p>
        </w:tc>
      </w:tr>
    </w:tbl>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Costs for capital assets not yet placed in service are capitalized and depreciated once placed into service. Upon retirement or sale, the cost of assets disposed of and the related accumulated depreciation are removed from the accounts, and any resulting gain or loss is included in loss from operations. Expenditures for normal, recurring or periodic repairs and maintenance activities are charged to expense as incurred.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Long-lived assets, comprised of property and equipment,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(deficit) as a reduction of additional paid-in capital generated as a result of the offering. Should the in-process equity financing be abandoned, the deferred offering costs will be expensed immediately as a charge to operating expenses in the condensed consolidated statements of operations and comprehensive loss. The Company had no deferred offering costs as of September 30, 2021. As of December 31, 2020, the Company recorded deferred offering costs of $2.6 million related to the costs incurred in connection with the Business Combination.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spacing w:after="0" w:line="293" w:lineRule="auto"/>
        <w:rPr>
          <w:sz w:val="20"/>
          <w:szCs w:val="20"/>
          <w:color w:val="auto"/>
        </w:rPr>
      </w:pPr>
      <w:r>
        <w:rPr>
          <w:rFonts w:ascii="Arial" w:cs="Arial" w:eastAsia="Arial" w:hAnsi="Arial"/>
          <w:sz w:val="18"/>
          <w:szCs w:val="18"/>
          <w:color w:val="auto"/>
        </w:rPr>
        <w:t>classified and disclosed in one of the following three levels of the fair value hierarchy, of which the first two are considered observable and the last is considered unobservable:</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 Quoted prices in active markets that are identical assets or liabilities.</w:t>
      </w:r>
    </w:p>
    <w:p>
      <w:pPr>
        <w:spacing w:after="0" w:line="198" w:lineRule="exact"/>
        <w:rPr>
          <w:sz w:val="20"/>
          <w:szCs w:val="20"/>
          <w:color w:val="auto"/>
        </w:rPr>
      </w:pPr>
    </w:p>
    <w:p>
      <w:pPr>
        <w:jc w:val="both"/>
        <w:ind w:left="380"/>
        <w:spacing w:after="0" w:line="279" w:lineRule="auto"/>
        <w:rPr>
          <w:sz w:val="20"/>
          <w:szCs w:val="20"/>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42" w:lineRule="exact"/>
        <w:rPr>
          <w:sz w:val="20"/>
          <w:szCs w:val="20"/>
          <w:color w:val="auto"/>
        </w:rPr>
      </w:pPr>
    </w:p>
    <w:p>
      <w:pPr>
        <w:jc w:val="both"/>
        <w:ind w:left="380"/>
        <w:spacing w:after="0" w:line="293" w:lineRule="auto"/>
        <w:rPr>
          <w:sz w:val="20"/>
          <w:szCs w:val="20"/>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Company’s cash equivalents and preferred stock warrant liability (outstanding as of December 31, 2020) are carried at fair value, determined according to the fair value hierarchy described above (see Note 5). The carrying values of the Company’s prepaid expenses and other current assets and accounts payable and accrued expenses approximate their fair values due to the short-term nature of these assets and liabilities. The carrying value of the Company’s term loan as of September 30, 2021 and December 31, 2020 (see Note 7) approximated fair value based on interest rates currently available to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carrying value of the Company’s term loan was recorded net of issuance costs and discount relating to the issuance of warrants. The debt discounts are amortized over the term of the debt using the effective interest method and recognized as interest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February 2019, concurrent with the Company’s term loan agreement (see Note 7), the Company issued warrants to purchase shares of Old Gemini’s Series A preferred stock. The Company accounted for the warrants to purchase Series A preferred stock as a liability as these warrants were freestanding financial instruments that may have required the Company to transfer assets upon exercise. The fair value of the warrants classified as liabilities is estimated using the Black-Scholes Option Pricing Model and adjusted to fair value at the end of each reporting period. Changes in the fair value of the warrants are recognized as a component of other income (expense) in the condensed consolidated statements of operations and comprehensive loss. The estimates in the Black-Scholes Option Pricing Model are based, in part, on subjective assumptions, including stock price volatility, term of the warrants, risk-free interest rate, dividend yield and the fair value of the preferred stock underlying the warrants. Such assumptions could differ materially in the future.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At the closing of the Business Combination, the warrants were automatically exercised for 15,257 shares of the Company’s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Company’s singular focus is the development of novel therapies for genetically defined, age-related macular degeneration. The Company has determined that it operates as a single operating segment and has one reportable segment. The Company’s long-lived assets are located in the United States.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contract costs and accruals</w:t>
      </w: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Research and development expenses include employee payroll, consulting, contract research and manufacturing, depreciation, rent and other corporate costs attributable to research and development activities and are expensed as incurred.</w:t>
      </w:r>
    </w:p>
    <w:p>
      <w:pPr>
        <w:spacing w:after="0" w:line="129"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Upfront payments and milestone payments made for the licensing of technology are expensed as research and development expenses in the period in which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has entered into various research and development contracts with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or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Patent costs</w:t>
      </w: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Company expenses all patent-related costs incurred in connection with filing and prosecuting patent applications. It records such costs within general and administrative expenses in its accompanying statements of operations and comprehensive loss.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 measures all stock-based awards granted to employees, directors and non-employees based on the fair value on the date of grant and recognizes compensation expense of those awards over the requisite service period, which is generally the vesting period of the respective award. Forfeitures are accounted for as they occur. The Company grants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The Company estimates the probability that certain performance criteria will be met and does not recognize compensation expense until it is probable that the performance-based vesting condition will be achieved.</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 Preferred and Common Stock</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 xml:space="preserve">Prior to the completion of the Business Combination transaction, given that there had been no public market for the Company’s common stock, the estimated fair value of its common stock was determined by its most recently available third-party valuations of common stock. These third-party valuations were performed in accordance with the guidance outlined in the American Institute of Certified Public Accountants’ Accounting and Valuation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The Company’s common stock valuations were prepared using an option pricing method ("OPM") or a hybrid method, both of which used market approaches to estimate its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("PWERM") where the equity value in one or more scenarios is calculated using an OPM. The PWERM is a scenario-based methodology that estimates the fair value of the Company’s common stock based upon an analysis of its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There are significant judgments and estimates inherent in the determination of the fair value of the Company’s common stock. These estimates and assumptions include a number of objective and subjective factors, including external market conditions, the prices at which the Company sold shares of preferred securities, the superior rights and preferences of securities senior to the common securities at the time of, and the likelihood of, achieving a liquidity event, such as an initial public offering or sale. Significant changes to the key assumptions used in the valuations could result in different fair values of common stock at each valuation date.</w:t>
      </w:r>
    </w:p>
    <w:p>
      <w:pPr>
        <w:spacing w:after="0" w:line="15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Subsequent to the closing of the Business Combination, the fair value of each share of common stock underlying stock-based awards is determined based on the closing price of the Company’s common stock as reported by Nasdaq on the date of grant.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 Stock Option Awards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fair value of each restricted common stock award is estimated on the date of grant based on the fair value of the Company’s common stock on that same date. The fair value of each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Prior to the Business Combination, the Company was a private company and, therefore, lacked company-specific historical and implied volatility information for its stock. Therefore, it estimated its expected stock price volatility based on the historical volatility of publicly traded peer companies and expects to continue to do so until such time as it has adequate historical data regarding the volatility of its own traded stock price. The expected term of the Company’s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 w:name="page17"/>
    <w:bookmarkEnd w:id="16"/>
    <w:p>
      <w:pPr>
        <w:jc w:val="both"/>
        <w:ind w:right="20"/>
        <w:spacing w:after="0" w:line="293" w:lineRule="auto"/>
        <w:rPr>
          <w:sz w:val="20"/>
          <w:szCs w:val="20"/>
          <w:color w:val="auto"/>
        </w:rPr>
      </w:pPr>
      <w:r>
        <w:rPr>
          <w:rFonts w:ascii="Arial" w:cs="Arial" w:eastAsia="Arial" w:hAnsi="Arial"/>
          <w:sz w:val="18"/>
          <w:szCs w:val="18"/>
          <w:color w:val="auto"/>
        </w:rPr>
        <w:t>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condensed consolidated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analyzing carryback capacity in periods with taxable income, reversal of existing taxable temporary differences and estimating the future taxable profits expected and considering prudent and feasible tax planning strategies.</w:t>
      </w:r>
    </w:p>
    <w:p>
      <w:pPr>
        <w:spacing w:after="0" w:line="12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accounts for uncertainty in income taxes recognized in the condensed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condensed consolidated financial statements. The amount of the benefit that may be recognized is the largest amount that has a greater than 50% likelihood of being realized upon ultimate settlement. To the extent an income tax provision is necessary, the provision for income taxes would include the effects of any resulting tax reserves, or unrecognized tax benefits, that are considered appropriate as well as the related net interest and penalties.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There was no difference between net loss and comprehensive loss for each of the periods presented in the accompanying condensed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The Company calculates earnings per share in accordance with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two-class method of computing earnings per share is required for entities that have participating securities. Under the two-class method, net income is allocated between ordinary shares and participating securities based on dividends declared (or accumulated) and participating rights in undistributed earnings as if all the earnings for the reporting period had been distributed.</w:t>
      </w:r>
    </w:p>
    <w:p>
      <w:pPr>
        <w:spacing w:after="0" w:line="14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stock. For purpose of this calculation, outstanding options, unvested restricted common stock and convertible preferred stock are considered potential dilutive common stock and are excluded from the computation of net loss per share as their effect is anti-dilutive.</w:t>
      </w:r>
    </w:p>
    <w:p>
      <w:pPr>
        <w:spacing w:after="0" w:line="152"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be outstanding if their effect is anti-dilutive. The Company reported a net loss attributable to common stockholders for the three and nine months ended September 30,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qualifies as an “emerging growth company” (“EGC”),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at the same time that they become applicable to other public companies that are not EGCs, unless it chooses to early adopt a new or revised accounting standard. As a result of this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 w:name="page18"/>
    <w:bookmarkEnd w:id="17"/>
    <w:p>
      <w:pPr>
        <w:jc w:val="both"/>
        <w:spacing w:after="0" w:line="293" w:lineRule="auto"/>
        <w:rPr>
          <w:sz w:val="20"/>
          <w:szCs w:val="20"/>
          <w:color w:val="auto"/>
        </w:rPr>
      </w:pPr>
      <w:r>
        <w:rPr>
          <w:rFonts w:ascii="Arial" w:cs="Arial" w:eastAsia="Arial" w:hAnsi="Arial"/>
          <w:sz w:val="18"/>
          <w:szCs w:val="18"/>
          <w:color w:val="auto"/>
        </w:rPr>
        <w:t>election, the condensed consolidated financial statements may not be comparable to companies that comply with public company FASB standards’ effective dates.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 (Topic 808): Clarifying the Interaction between Topic 808 and Topic 606</w:t>
      </w:r>
      <w:r>
        <w:rPr>
          <w:rFonts w:ascii="Arial" w:cs="Arial" w:eastAsia="Arial" w:hAnsi="Arial"/>
          <w:sz w:val="16"/>
          <w:szCs w:val="16"/>
          <w:color w:val="auto"/>
        </w:rPr>
        <w:t>, (“ASU 2018-18”). The amendments in this update clarify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This standard became effective for the Company on January 1, 2021 and did not have a material impact on its condensed consolidated financial statements as the Company had no transactions applicable to this guidance; however, the standard may impact how the Company accounts for certain business transactions in the future.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Amendments to the FASB Accounting Standards Codification (</w:t>
      </w:r>
      <w:r>
        <w:rPr>
          <w:rFonts w:ascii="Arial" w:cs="Arial" w:eastAsia="Arial" w:hAnsi="Arial"/>
          <w:sz w:val="16"/>
          <w:szCs w:val="16"/>
          <w:color w:val="auto"/>
        </w:rPr>
        <w:t>“ASU 2016-02”), which replaces the existing guidance for leases. ASU 2016-02 requires the identification of arrangements that should be accounted for as leases by lessees. In general, for lease arrangements exceeding a twelve-month term, these arrangements must now be recognized as assets and liabilities on the balance sheet of the lessee. Under ASU 2016-02, a right-of-use asset and a lease liability will be recorded for all leases, whether operating or financing, while the income statement will reflect lease expense for operating leases and amortization/interest expense for financing leases. The balance sheet amount recorded for existing leases at the date of adoption of ASU 2016-02 must be calculated using the applicable incremental borrowing rate at the date of adoption. The guidance is effective for annual reporting periods beginning after December 15, 2021 and interim periods beginning after December 15, 2022, and early adoption is permitted. The Company is currently evaluating the impact that the adoption of ASU 2016-02 will have on its consolidated financial statements and related disclosures. While the Company continues to evaluate the impact of adopting the new standard, the Company currently anticipates applying the modified retrospective approach effective January 1, 2022. The Company currently expects to elect the package of practical expedients which allows entities to not reassess (i) whether an arrangement is or contains a lease, (ii) the classification of its leases, and (iii) the accounting for initial direct costs. Further, the Company currently anticipates electing, by class of underlying asset, the short-term lease exception for leases with terms of twelve months or less. In doing so, the Company will not recognize a lease liability or right-of-use asset on its balance sheets for such short-term leases. Finally, the Company currently expects to elect, by class of underlying asset, the practical expedient to not separate lease and non-lease components. The Company expects the impact of adoption to include: (i) the recognition of right-of-use assets and lease liabilities arising from its leases of office and laboratory space; (ii) the reclassification of deferred rent and unamortized tenant incentives; and (iii) new and expanded disclosure requirements.</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r>
        <w:rPr>
          <w:rFonts w:ascii="Arial" w:cs="Arial" w:eastAsia="Arial" w:hAnsi="Arial"/>
          <w:sz w:val="17"/>
          <w:szCs w:val="17"/>
          <w:i w:val="1"/>
          <w:iCs w:val="1"/>
          <w:color w:val="auto"/>
        </w:rPr>
        <w:t>Credit Losses (Topic 326)—Measurement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has been subsequently amended by ASU No. 2018-19, ASU No. 2019-04, ASU No. 2019-05, ASU No. 2019-10, ASU No. 2019-11 and</w:t>
      </w:r>
      <w:r>
        <w:rPr>
          <w:rFonts w:ascii="Arial" w:cs="Arial" w:eastAsia="Arial" w:hAnsi="Arial"/>
          <w:sz w:val="17"/>
          <w:szCs w:val="17"/>
          <w:i w:val="1"/>
          <w:iCs w:val="1"/>
          <w:color w:val="auto"/>
        </w:rPr>
        <w:t xml:space="preserve"> </w:t>
      </w:r>
      <w:r>
        <w:rPr>
          <w:rFonts w:ascii="Arial" w:cs="Arial" w:eastAsia="Arial" w:hAnsi="Arial"/>
          <w:sz w:val="17"/>
          <w:szCs w:val="17"/>
          <w:color w:val="auto"/>
        </w:rPr>
        <w:t>ASU No. 2020-3 (“ASU 2016-13”). The provisions of ASU 2016-13 modify the impairment model to utilize an expected loss methodology in place of the currently used incurred loss methodology and require a consideration of a broader range of reasonable and supportable information to inform credit loss estimates. ASU 2016-13 is effective for the Company on January 1, 2023, with early adoption permitted. The Company is currently evaluating the potential impact that ASU 2016-13 may have on its consolidated financial statements and related disclosures.</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is intended to simplify the accounting for income taxes. ASU 2019-12 removes certain exceptions to the general principles in Topic 740 and also clarifies and amends existing guidance to improve consistent application. The new standard will be effective for annual reporting periods beginning after December 15, 2021. The Company does not expect that the adoption of ASU 2018-18 will have a material impact on its consolidated financial statements and related disclosures.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in Entity’s Own Equity (Subtopic 815-40) </w:t>
      </w:r>
      <w:r>
        <w:rPr>
          <w:rFonts w:ascii="Arial" w:cs="Arial" w:eastAsia="Arial" w:hAnsi="Arial"/>
          <w:sz w:val="18"/>
          <w:szCs w:val="18"/>
          <w:color w:val="auto"/>
        </w:rPr>
        <w:t>(“ASU 2020-06”), which reduces the number of accounting models for convertible 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convertible preferred stock as well as amends the derivatives scope exception for contracts in an entity’s own equity. ASU 2020-06 is effective for the Company on January 1, 2024, with early adoption permitted. The Company is currently evaluating the potential impact that this standard may have on its consolidated financial statements and related disclosures.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5. Fair value measurements</w:t>
      </w:r>
    </w:p>
    <w:p>
      <w:pPr>
        <w:spacing w:after="0" w:line="202"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following tables present information about the Company’s financial assets and liabilities measured at fair value (in thousands) on a recurring basis and indicate the level of the fair value hierarchy used to determine such fair values: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September 30, 2021</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57"/>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560" w:type="dxa"/>
            <w:vAlign w:val="bottom"/>
          </w:tcPr>
          <w:p>
            <w:pPr>
              <w:ind w:left="20"/>
              <w:spacing w:after="0"/>
              <w:rPr>
                <w:sz w:val="20"/>
                <w:szCs w:val="20"/>
                <w:color w:val="auto"/>
              </w:rPr>
            </w:pPr>
            <w:r>
              <w:rPr>
                <w:rFonts w:ascii="Arial" w:cs="Arial" w:eastAsia="Arial" w:hAnsi="Arial"/>
                <w:sz w:val="18"/>
                <w:szCs w:val="18"/>
                <w:color w:val="auto"/>
              </w:rPr>
              <w:t>Money market funds in cash and cash equivalents</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149,318</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149,318</w:t>
            </w:r>
          </w:p>
        </w:tc>
        <w:tc>
          <w:tcPr>
            <w:tcW w:w="80" w:type="dxa"/>
            <w:vAlign w:val="bottom"/>
          </w:tcPr>
          <w:p>
            <w:pPr>
              <w:spacing w:after="0"/>
              <w:rPr>
                <w:sz w:val="21"/>
                <w:szCs w:val="2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7"/>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4"/>
                <w:szCs w:val="24"/>
                <w:color w:val="auto"/>
              </w:rPr>
            </w:pPr>
          </w:p>
        </w:tc>
      </w:tr>
      <w:tr>
        <w:trPr>
          <w:trHeight w:val="256"/>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560" w:type="dxa"/>
            <w:vAlign w:val="bottom"/>
          </w:tcPr>
          <w:p>
            <w:pPr>
              <w:ind w:left="20"/>
              <w:spacing w:after="0"/>
              <w:rPr>
                <w:sz w:val="20"/>
                <w:szCs w:val="20"/>
                <w:color w:val="auto"/>
              </w:rPr>
            </w:pPr>
            <w:r>
              <w:rPr>
                <w:rFonts w:ascii="Arial" w:cs="Arial" w:eastAsia="Arial" w:hAnsi="Arial"/>
                <w:sz w:val="18"/>
                <w:szCs w:val="18"/>
                <w:color w:val="auto"/>
              </w:rPr>
              <w:t>Money market funds in cash and cash equivalents</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4,015</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4,015</w:t>
            </w:r>
          </w:p>
        </w:tc>
        <w:tc>
          <w:tcPr>
            <w:tcW w:w="80" w:type="dxa"/>
            <w:vAlign w:val="bottom"/>
          </w:tcPr>
          <w:p>
            <w:pPr>
              <w:spacing w:after="0"/>
              <w:rPr>
                <w:sz w:val="21"/>
                <w:szCs w:val="2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4"/>
        </w:trPr>
        <w:tc>
          <w:tcPr>
            <w:tcW w:w="5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6"/>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56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76</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1"/>
                <w:szCs w:val="2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values of cash equivalents are classified as Level 1 measurements under the fair value hierarchy as these assets have been valued using quoted market prices in active markets and do not have any restrictions on redemption. As of September 30, 2021 and December 31, 2020, cash equivalents were comprised of funds in money market accounts. There were no transfers or reclassifications between Level 1, Level 2 and Level 3 during the three and nine months ended September 30, 2021.</w:t>
      </w:r>
    </w:p>
    <w:p>
      <w:pPr>
        <w:spacing w:after="0" w:line="158"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value of the warrant liability is classified as a Level 3 measurement under the fair value hierarchy, as this liability has been valued based on significant inputs not observable in the market.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to purchase Series A Preferred Stock</w:t>
      </w:r>
    </w:p>
    <w:p>
      <w:pPr>
        <w:spacing w:after="0" w:line="198"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In February 2019, concurrent with the Company’s term loan agreement, the Company issued warrants to purchase 15,257 shares of Old Gemini’s Series A preferred stock. The warrants had an exercise price of $5.46 per share and expired in February 2029, representing a contractual term of ten years from issuance. At the closing of the Business Combination, the warrants were automatically exercised for 15,257 shares of the Company’s common stock.</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fair value of the warrants was recorded as a liability on the date of issuance and was revalued at the end of each reporting period until being exercised upon the closing of the Business Combination.</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following table provides a roll-forward of the activity of the Company’s Series A preferred stock warrant liability, which represents a recurring measurement that is classified within Level 3 of the fair value hierarchy wherein fair value is estimated using significant unobservable inputs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2020</w:t>
            </w:r>
          </w:p>
        </w:tc>
        <w:tc>
          <w:tcPr>
            <w:tcW w:w="180" w:type="dxa"/>
            <w:vAlign w:val="bottom"/>
            <w:shd w:val="clear" w:color="auto" w:fill="CFF0FC"/>
          </w:tcPr>
          <w:p>
            <w:pPr>
              <w:spacing w:after="0"/>
              <w:rPr>
                <w:sz w:val="22"/>
                <w:szCs w:val="22"/>
                <w:color w:val="auto"/>
              </w:rPr>
            </w:pPr>
          </w:p>
        </w:tc>
        <w:tc>
          <w:tcPr>
            <w:tcW w:w="17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Warrant exercise</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(76 )</w:t>
            </w:r>
          </w:p>
        </w:tc>
      </w:tr>
      <w:tr>
        <w:trPr>
          <w:trHeight w:val="29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September 30, 2021</w:t>
            </w:r>
          </w:p>
        </w:tc>
        <w:tc>
          <w:tcPr>
            <w:tcW w:w="18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46"/>
        </w:trPr>
        <w:tc>
          <w:tcPr>
            <w:tcW w:w="7640" w:type="dxa"/>
            <w:vAlign w:val="bottom"/>
          </w:tcPr>
          <w:p>
            <w:pPr>
              <w:spacing w:after="0"/>
              <w:rPr>
                <w:sz w:val="20"/>
                <w:szCs w:val="20"/>
                <w:color w:val="auto"/>
              </w:rPr>
            </w:pPr>
            <w:r>
              <w:rPr>
                <w:rFonts w:ascii="Arial" w:cs="Arial" w:eastAsia="Arial" w:hAnsi="Arial"/>
                <w:sz w:val="18"/>
                <w:szCs w:val="18"/>
                <w:b w:val="1"/>
                <w:bCs w:val="1"/>
                <w:color w:val="auto"/>
              </w:rPr>
              <w:t>6. Accrued expenses and other current liabilities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64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8"/>
        </w:trPr>
        <w:tc>
          <w:tcPr>
            <w:tcW w:w="7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r>
      <w:tr>
        <w:trPr>
          <w:trHeight w:val="241"/>
        </w:trPr>
        <w:tc>
          <w:tcPr>
            <w:tcW w:w="7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payroll and benefits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1,832</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Accrued external research and development</w:t>
            </w:r>
          </w:p>
        </w:tc>
        <w:tc>
          <w:tcPr>
            <w:tcW w:w="18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4,482</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3,136</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professional fees</w:t>
            </w:r>
          </w:p>
        </w:tc>
        <w:tc>
          <w:tcPr>
            <w:tcW w:w="18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r>
      <w:tr>
        <w:trPr>
          <w:trHeight w:val="25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other</w:t>
            </w:r>
          </w:p>
        </w:tc>
        <w:tc>
          <w:tcPr>
            <w:tcW w:w="18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6,722</w:t>
            </w:r>
          </w:p>
        </w:tc>
        <w:tc>
          <w:tcPr>
            <w:tcW w:w="2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w:t>
            </w:r>
          </w:p>
        </w:tc>
        <w:tc>
          <w:tcPr>
            <w:tcW w:w="100" w:type="dxa"/>
            <w:vAlign w:val="bottom"/>
          </w:tcPr>
          <w:p>
            <w:pPr>
              <w:spacing w:after="0"/>
              <w:rPr>
                <w:sz w:val="21"/>
                <w:szCs w:val="2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-2047875</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-2030730</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-193675</wp:posOffset>
            </wp:positionV>
            <wp:extent cx="18034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loan</w:t>
      </w: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 February 2019, the Company entered into a term loan facility of up to $10.0 million (the “Term Loan”) with Silicon Valley Bank (“SVB”). The proceeds were used for general corporate and working capital purposes. Concurrent with the Term Loan,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both"/>
        <w:spacing w:after="0" w:line="359" w:lineRule="auto"/>
        <w:rPr>
          <w:sz w:val="20"/>
          <w:szCs w:val="20"/>
          <w:color w:val="auto"/>
        </w:rPr>
      </w:pPr>
      <w:r>
        <w:rPr>
          <w:rFonts w:ascii="Arial" w:cs="Arial" w:eastAsia="Arial" w:hAnsi="Arial"/>
          <w:sz w:val="16"/>
          <w:szCs w:val="16"/>
          <w:color w:val="auto"/>
        </w:rPr>
        <w:t>issued SVB warrants to purchase 15,257 shares of the Company’s Series A preferred stock at an exercise price of $5.46 (see Note 5). As of September 30, 2021 and December 31, 2020, the Company had $6.7 million and $10.0 million, respectively, in principal outstanding under the Term Loan.</w:t>
      </w:r>
    </w:p>
    <w:p>
      <w:pPr>
        <w:spacing w:after="0" w:line="9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Term Loan is governed by a loan and security agreement, entered into in February 2019, between the Company and SVB (the “SVB Loan Agreement”). The SVB Loan Agreement provided for two separate tranches under which the Company could borrow. In April 2019, the Company borrowed $7.5 million under the first tranche, and in December 2019, the Company borrowed $2.5 million under the second tranche.</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Term Loan initially matured in July 2022 and accrues interest at a floating rate per annum equal to the greater of 3.75% or the prime rate minus 1.5% (1.75% as of September 30, 2021). The Term Loan initially provided for monthly interest-only payments until July 2020. Thereafter, payments are payable in equal monthly installments of principal, plus all accrued and unpaid interest. The Company may prepay the Term Loan in whole upon 5 days’ prior written notice to SVB. Any such prepayment of the Term Loan is subject to a prepayment charge of 0.5% of the then outstanding principal balance. Amounts outstanding during an event of default are payable upon SVB’s demand and will accrue interest at an additional rate of 5.0% per annum of the past due amount outstanding.</w:t>
      </w:r>
    </w:p>
    <w:p>
      <w:pPr>
        <w:spacing w:after="0" w:line="15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April 2020, the Company entered into a deferral agreement with SVB to defer scheduled principal repayments on its term loan by six months. The deferral agreement was offered to the Company in connection with SVB’s venture debt relief initiative, which was started due to the COVID-19 pandemic. The Company’s first principal payment under its credit facility occurred in February 2021. The required monthly interest-only payment was not impacted by the deferral. The Term Loan’s new maturity date is in January 2023. After considering the debt guidance in ASC 470, the Company concluded that it did not meet the indicators of a troubled debt restructuring and accounted for the deferral of principal payment as a debt modification. Since there were no fees paid to SVB in connection with the deferral agreement, the Company did not record any adjustments to the Company’s condensed consolidated financial statements related to this deferral.</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At the end of the loan term (whether at maturity, by prepayment in full or otherwise), the Company is required to pay a final end of term charge to SVB in the amount of 4.0% of the aggregate original principal amount advanced by SVB. The amount of the end of term charge is being accrued over the loan term as interest expense. As of September 30, 2021 and December 31, 2020, the Company had a liability related to the end of term charge of $0.3 million and $0.2 million, respectively, which has been classified within other long-term liabilities.</w:t>
      </w:r>
    </w:p>
    <w:p>
      <w:pPr>
        <w:spacing w:after="0" w:line="14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SVB Loan Agreement includes a provision under which SVB may accelerate the scheduled maturities of the Term Loan under conditions that are not objectively determinable. The Company evaluated the likelihood of such acceleration and determined that it is not probable and classified the Term Loan on the balance sheet in accordance with the repayment schedule as of September 30,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As of September 30, 2021, scheduled principal payments for the Term Loan are as follows (in thousands):</w:t>
            </w: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9"/>
        </w:trPr>
        <w:tc>
          <w:tcPr>
            <w:tcW w:w="920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3"/>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 (remaining three months)</w:t>
            </w: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FF0FC"/>
          </w:tcPr>
          <w:p>
            <w:pPr>
              <w:spacing w:after="0"/>
              <w:rPr>
                <w:sz w:val="22"/>
                <w:szCs w:val="22"/>
                <w:color w:val="auto"/>
              </w:rPr>
            </w:pPr>
          </w:p>
        </w:tc>
      </w:tr>
      <w:tr>
        <w:trPr>
          <w:trHeight w:val="250"/>
        </w:trPr>
        <w:tc>
          <w:tcPr>
            <w:tcW w:w="9200" w:type="dxa"/>
            <w:vAlign w:val="bottom"/>
          </w:tcPr>
          <w:p>
            <w:pPr>
              <w:ind w:left="20"/>
              <w:spacing w:after="0"/>
              <w:rPr>
                <w:sz w:val="20"/>
                <w:szCs w:val="20"/>
                <w:color w:val="auto"/>
              </w:rPr>
            </w:pPr>
            <w:r>
              <w:rPr>
                <w:rFonts w:ascii="Arial" w:cs="Arial" w:eastAsia="Arial" w:hAnsi="Arial"/>
                <w:sz w:val="18"/>
                <w:szCs w:val="18"/>
                <w:color w:val="auto"/>
              </w:rPr>
              <w:t>2022</w:t>
            </w:r>
          </w:p>
        </w:tc>
        <w:tc>
          <w:tcPr>
            <w:tcW w:w="7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r>
      <w:tr>
        <w:trPr>
          <w:trHeight w:val="263"/>
        </w:trPr>
        <w:tc>
          <w:tcPr>
            <w:tcW w:w="9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78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9200" w:type="dxa"/>
            <w:vAlign w:val="bottom"/>
          </w:tcPr>
          <w:p>
            <w:pPr>
              <w:ind w:left="20"/>
              <w:spacing w:after="0"/>
              <w:rPr>
                <w:sz w:val="20"/>
                <w:szCs w:val="20"/>
                <w:color w:val="auto"/>
              </w:rPr>
            </w:pPr>
            <w:r>
              <w:rPr>
                <w:rFonts w:ascii="Arial" w:cs="Arial" w:eastAsia="Arial" w:hAnsi="Arial"/>
                <w:sz w:val="18"/>
                <w:szCs w:val="18"/>
                <w:color w:val="auto"/>
              </w:rPr>
              <w:t>Total principal</w:t>
            </w:r>
          </w:p>
        </w:tc>
        <w:tc>
          <w:tcPr>
            <w:tcW w:w="7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6,667</w:t>
            </w:r>
          </w:p>
        </w:tc>
        <w:tc>
          <w:tcPr>
            <w:tcW w:w="100" w:type="dxa"/>
            <w:vAlign w:val="bottom"/>
          </w:tcPr>
          <w:p>
            <w:pPr>
              <w:spacing w:after="0"/>
              <w:rPr>
                <w:sz w:val="21"/>
                <w:szCs w:val="21"/>
                <w:color w:val="auto"/>
              </w:rPr>
            </w:pPr>
          </w:p>
        </w:tc>
      </w:tr>
      <w:tr>
        <w:trPr>
          <w:trHeight w:val="263"/>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Unamortized discounts</w:t>
            </w:r>
          </w:p>
        </w:tc>
        <w:tc>
          <w:tcPr>
            <w:tcW w:w="7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(20 )</w:t>
            </w:r>
          </w:p>
        </w:tc>
      </w:tr>
      <w:tr>
        <w:trPr>
          <w:trHeight w:val="243"/>
        </w:trPr>
        <w:tc>
          <w:tcPr>
            <w:tcW w:w="92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Carrying amount</w:t>
            </w:r>
          </w:p>
        </w:tc>
        <w:tc>
          <w:tcPr>
            <w:tcW w:w="7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6,647</w:t>
            </w:r>
          </w:p>
        </w:tc>
        <w:tc>
          <w:tcPr>
            <w:tcW w:w="100" w:type="dxa"/>
            <w:vAlign w:val="bottom"/>
            <w:tcBorders>
              <w:top w:val="single" w:sz="8" w:color="CFF0FC"/>
            </w:tcBorders>
          </w:tcPr>
          <w:p>
            <w:pPr>
              <w:spacing w:after="0"/>
              <w:rPr>
                <w:sz w:val="21"/>
                <w:szCs w:val="21"/>
                <w:color w:val="auto"/>
              </w:rPr>
            </w:pPr>
          </w:p>
        </w:tc>
      </w:tr>
      <w:tr>
        <w:trPr>
          <w:trHeight w:val="263"/>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current portion</w:t>
            </w:r>
          </w:p>
        </w:tc>
        <w:tc>
          <w:tcPr>
            <w:tcW w:w="7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(5,000 )</w:t>
            </w:r>
          </w:p>
        </w:tc>
      </w:tr>
      <w:tr>
        <w:trPr>
          <w:trHeight w:val="250"/>
        </w:trPr>
        <w:tc>
          <w:tcPr>
            <w:tcW w:w="92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Long-term portion</w:t>
            </w: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Borders>
              <w:top w:val="single" w:sz="8" w:color="CFF0FC"/>
            </w:tcBorders>
          </w:tcPr>
          <w:p>
            <w:pPr>
              <w:spacing w:after="0"/>
              <w:rPr>
                <w:sz w:val="21"/>
                <w:szCs w:val="21"/>
                <w:color w:val="auto"/>
              </w:rPr>
            </w:pPr>
          </w:p>
        </w:tc>
      </w:tr>
      <w:tr>
        <w:trPr>
          <w:trHeight w:val="20"/>
        </w:trPr>
        <w:tc>
          <w:tcPr>
            <w:tcW w:w="9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-862330</wp:posOffset>
            </wp:positionV>
            <wp:extent cx="685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-527685</wp:posOffset>
            </wp:positionV>
            <wp:extent cx="6858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Interest expense was $0.1 million for each of the three months ended September 30, 2021 and 2020 and $0.4 million for each of the nine months ended September 30, 2021 and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promissory notes</w:t>
      </w:r>
    </w:p>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In August 2020, Old Gemini entered into a purchase agreement with various investors to issue $14.0 million in convertible promissory notes (the “Notes”). The Notes accrued simple interest at 8% per annum. The Company determined that a beneficial conversion feature (“BCF”) existed and should be recognized on the issuance date. The Company recorded the Notes at the original issuance price, net of the BCF discount. The BCF discount was accreted to the face value of the Notes over the period from the issuance date until the maturity date, offset against interest expense.</w:t>
      </w:r>
    </w:p>
    <w:p>
      <w:pPr>
        <w:spacing w:after="0" w:line="129"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Notes served as a bridge loan prior to the PIPE Financing that was completed in connection with the closing of the Business Combination. The Notes were intended to automatically convert into shares of common stock issued in the PIPE Financing at a per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 w:name="page21"/>
    <w:bookmarkEnd w:id="20"/>
    <w:p>
      <w:pPr>
        <w:jc w:val="both"/>
        <w:spacing w:after="0" w:line="290" w:lineRule="auto"/>
        <w:rPr>
          <w:sz w:val="20"/>
          <w:szCs w:val="20"/>
          <w:color w:val="auto"/>
        </w:rPr>
      </w:pPr>
      <w:r>
        <w:rPr>
          <w:rFonts w:ascii="Arial" w:cs="Arial" w:eastAsia="Arial" w:hAnsi="Arial"/>
          <w:sz w:val="17"/>
          <w:szCs w:val="17"/>
          <w:color w:val="auto"/>
        </w:rPr>
        <w:t>share conversion price equal to the lowest per share price paid for such shares of common stock in the PIPE Financing. The Notes were amended to allow for the principal and interest to convert to shares of Series B preferred stock prior to the closing of the Business Combination. Accordingly, immediately prior to the closing of the Business Combination, the outstanding principal and interest under the Notes converted into 2,341,316 shares of Series B preferred stock at a per share conversion price of $6.1986, and the Notes liability was extinguished. The Company recorded other expense of $0 and $0.7 million for the difference between the reacquisition price of the Notes and the net carrying amount of the Notes in the condensed consolidated statements of operations and comprehensive loss for the three and nine months ended September 30,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As of December 31, 2020, the carrying value of the Notes was as follows (in thousands):</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9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Principal amount</w:t>
            </w: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FF0FC"/>
          </w:tcPr>
          <w:p>
            <w:pPr>
              <w:spacing w:after="0"/>
              <w:rPr>
                <w:sz w:val="22"/>
                <w:szCs w:val="22"/>
                <w:color w:val="auto"/>
              </w:rPr>
            </w:pPr>
          </w:p>
        </w:tc>
      </w:tr>
      <w:tr>
        <w:trPr>
          <w:trHeight w:val="257"/>
        </w:trPr>
        <w:tc>
          <w:tcPr>
            <w:tcW w:w="9200" w:type="dxa"/>
            <w:vAlign w:val="bottom"/>
          </w:tcPr>
          <w:p>
            <w:pPr>
              <w:ind w:left="20"/>
              <w:spacing w:after="0"/>
              <w:rPr>
                <w:sz w:val="20"/>
                <w:szCs w:val="20"/>
                <w:color w:val="auto"/>
              </w:rPr>
            </w:pPr>
            <w:r>
              <w:rPr>
                <w:rFonts w:ascii="Arial" w:cs="Arial" w:eastAsia="Arial" w:hAnsi="Arial"/>
                <w:sz w:val="18"/>
                <w:szCs w:val="18"/>
                <w:color w:val="auto"/>
              </w:rPr>
              <w:t>Unamortized discount (beneficial conversion feature)</w:t>
            </w:r>
          </w:p>
        </w:tc>
        <w:tc>
          <w:tcPr>
            <w:tcW w:w="740" w:type="dxa"/>
            <w:vAlign w:val="bottom"/>
          </w:tcPr>
          <w:p>
            <w:pPr>
              <w:spacing w:after="0"/>
              <w:rPr>
                <w:sz w:val="22"/>
                <w:szCs w:val="22"/>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(2,311 )</w:t>
            </w:r>
          </w:p>
        </w:tc>
      </w:tr>
      <w:tr>
        <w:trPr>
          <w:trHeight w:val="250"/>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Carrying amount</w:t>
            </w:r>
          </w:p>
        </w:tc>
        <w:tc>
          <w:tcPr>
            <w:tcW w:w="74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11,689</w:t>
            </w:r>
          </w:p>
        </w:tc>
        <w:tc>
          <w:tcPr>
            <w:tcW w:w="100" w:type="dxa"/>
            <w:vAlign w:val="bottom"/>
            <w:shd w:val="clear" w:color="auto" w:fill="CFF0FC"/>
          </w:tcPr>
          <w:p>
            <w:pPr>
              <w:spacing w:after="0"/>
              <w:rPr>
                <w:sz w:val="21"/>
                <w:szCs w:val="21"/>
                <w:color w:val="auto"/>
              </w:rPr>
            </w:pPr>
          </w:p>
        </w:tc>
      </w:tr>
      <w:tr>
        <w:trPr>
          <w:trHeight w:val="257"/>
        </w:trPr>
        <w:tc>
          <w:tcPr>
            <w:tcW w:w="920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740" w:type="dxa"/>
            <w:vAlign w:val="bottom"/>
          </w:tcPr>
          <w:p>
            <w:pPr>
              <w:spacing w:after="0"/>
              <w:rPr>
                <w:sz w:val="22"/>
                <w:szCs w:val="22"/>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(11,689 )</w:t>
            </w:r>
          </w:p>
        </w:tc>
      </w:tr>
      <w:tr>
        <w:trPr>
          <w:trHeight w:val="290"/>
        </w:trPr>
        <w:tc>
          <w:tcPr>
            <w:tcW w:w="9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portion</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Interest expense was approximately of $0 and $1.9 million for the three months ended September 30, 2021 and 2020, respectively, and approximately $1.7 million and $1.9 million for the nine months ended September 30, 2021 and 2020,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 (Deficit)</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 xml:space="preserve">The condensed consolidated statement of stockholders’ equity (deficit) has been retroactively adjusted for all periods presented to reflect the Business Combination and reverse recapitalization as defined in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Upon closing of the Business Combination and pursuant to the terms of the Amended and Restated Certificate of Incorporation entered into on February 5, 2021, the Company authorized 10,000,000 shares of preferred stock with a par value $0.0001 per share. The Company’s board of directors has the authority, without further action by the stockholders, to issue such shares of preferred stock in one or more series, to establish from time to time the number of shares to be included in each such series, and to fix the designations, powers, voting, and other rights, preferences and privileges of the shares. There were no issued and outstanding shares of preferred stock as of September 30, 2021.</w:t>
      </w:r>
    </w:p>
    <w:p>
      <w:pPr>
        <w:spacing w:after="0" w:line="15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connection with the closing of the Business Combination, all previously issued and outstanding Series A convertible preferred stock and Series B convertible preferred stock were exchanged for common stock of the Company pursuant to the Conversion Ratio established in the Merger Agreement. All fractional shares were rounded down.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Pursuant to the term of the Amended and Restated Certificate of Incorporation, the Company authorized 250,000,000 shares of common stock with a par value of $0.0001 per share.</w:t>
      </w:r>
    </w:p>
    <w:p>
      <w:pPr>
        <w:spacing w:after="0" w:line="129"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 xml:space="preserve">As discussed in Note 3, </w:t>
      </w:r>
      <w:r>
        <w:rPr>
          <w:rFonts w:ascii="Arial" w:cs="Arial" w:eastAsia="Arial" w:hAnsi="Arial"/>
          <w:sz w:val="16"/>
          <w:szCs w:val="16"/>
          <w:i w:val="1"/>
          <w:iCs w:val="1"/>
          <w:color w:val="auto"/>
        </w:rPr>
        <w:t>Business Combination</w:t>
      </w:r>
      <w:r>
        <w:rPr>
          <w:rFonts w:ascii="Arial" w:cs="Arial" w:eastAsia="Arial" w:hAnsi="Arial"/>
          <w:sz w:val="16"/>
          <w:szCs w:val="16"/>
          <w:color w:val="auto"/>
        </w:rPr>
        <w:t>, the Company has retroactively adjusted the shares issued and outstanding prior to February 5, 2021 to give effect to the Conversion Ratio established in the Merger Agreement to determine the number of shares of common stock into which they were converted.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Common stockholders are entitled to receive dividends, as may be declared by the board of directors. No dividends have been declared to date.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10. Equity incentive plan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Old Gemini Equity Incentive Plan</w:t>
      </w:r>
    </w:p>
    <w:p>
      <w:pPr>
        <w:spacing w:after="0" w:line="19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Old Gemini’s 2017 Stock Option and Grant Plan, as amended (the “2017 Plan”), provided for the Company to grant qualified incentive options, nonqualified options, stock grants and other stock-based awards to employees and non-employees to purchase the Company’s common stock. The 2017 Plan was administered by the board of directors, or at the discretion of the board of directors, by a committee of the board of directors.</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exercise price for incentive options was determined at the discretion of the board of directors. All incentive options granted to any person possessing less than 10% of the total combined voting power of all classes of stock may not have an exercise price of less than 100% of the fair market value of the common stock on the grant date. All incentive options granted to any person possessing more than 10% of the total combined voting power of all classes of stock may not have an exercise price of less than 110% of the fair market value of the common stock on the grant date.</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option term for incentive awards may not be greater than ten years from the date of the grant. Incentive options granted to persons possessing more than 10% of the total combined voting power of all classes of stock may not have an option term of greater than five years from the date of the grant. The vesting period for equity-based awards under the 2017 Plan was determined at the discretion of the board of directors, which was generally four years. For awards granted to employees and non-employees with four-year vesting terms, 25% of the options vest on the first anniversary of the grant date and the remaining options vest equally each month for three years thereafter.</w:t>
      </w:r>
    </w:p>
    <w:p>
      <w:pPr>
        <w:spacing w:after="0" w:line="15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Upon completion of the Business Combination, the Company ceased granting awards under the 2017 Plan. All awards under the 2017 Plan continue in full force and effect on the same terms and conditions as were previously applicable to such awards, subject to adjustments to the exercise price and number of shares of common stock issuable upon exercise based on the Conversion Ratio.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Awards</w:t>
      </w: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Each Old Gemini option from the 2017 Plan and each option from Old Gemini’s 2015 Stock Option and Grant Plan (the “2015 Plan”) that was outstanding immediately prior to the Business Combination, whether vested or unvested, was converted into an option to purchase a number of shares of common stock (each such option, an "Exchanged Option") equal to the product (rounded down to the nearest whole number) of (i) the number of shares of Old Gemini common stock subject to such Old Gemini option immediately prior to the Business Combination and (ii) the Conversion Ratio, at an exercise price per share (rounded up to the nearest whole cent) equal to (A) the exercise price per share of such Old Gemini option immediately prior to the consummation of the Business Combination, divided by (B) the Conversion Ratio. Each Exchanged Option will continue to be governed by the same terms and conditions (including vesting and exercisability terms) as were applicable to the corresponding former Old Gemini option immediately prior to the consummation of the Business Combination. All stock option activity was retroactively restated to reflect the Exchanged Options.</w:t>
      </w:r>
    </w:p>
    <w:p>
      <w:pPr>
        <w:spacing w:after="0" w:line="123"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As of the Closing Date, the 10,567,508 options and 163,157 restricted stock units (“RSUs”) outstanding under the 2017 Plan and 2015 Plan were converted into 2,303,309 options and 35,561 RSUs, respectively, upon completion of the Business Combination after the effect of the Conversion Ratio. This effect of the Conversion Ratio has been retroactively adjusted throughout the Company’s unaudited condensed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Gemini Equity Incentive Plan</w:t>
      </w:r>
    </w:p>
    <w:p>
      <w:pPr>
        <w:spacing w:after="0" w:line="21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February 3, 2021, FSDC’s stockholders approved the 2021 Stock Option and Incentive Plan (the “2021 Plan”), pursuant to which 4,264,341 shares of common stock were reserved for issuance. The 2021 Plan provides for the Company to grant incentive stock options or nonqualified stock options for the purchase of common stock, stock appreciation rights, restricted stock awards, restricted stock units, unrestricted stock awards, cash-based awards and dividend equivalent rights to employees, officers, directors and consultants of Gemini. Incentive stock options may only be granted to employees. The 2021 Plan is administered by the plan administrator, which is the Compensation Committee of Gemini’s board of directors, provided therein, which has discretionary authority, subject only to the express provisions of the 2021 Plan, to interpret the 2021 Plan; determine eligibility for and grant awards; determine form of settlement of awards (whether in cash, shares of stock, other property or a combination of the foregoing), determine, modify or waive the terms and conditions of any award; prescribe forms, rules and procedures; and otherwise do all things necessary to carry out the purposes of the 2021 Plan. As of September 30, 2021, 1,307,794 shares remained available for future issuance under the 2021 Plan.</w:t>
      </w:r>
    </w:p>
    <w:p>
      <w:pPr>
        <w:spacing w:after="0" w:line="130"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exercise price of each stock option granted under the 2021 Plan will be 100% of the fair market value of the underlying stock subject to the award, determined as of the date of the grant, or such higher amount as the plan administrator may determine in connection with the grant, and the term of stock option may not be greater than ten years. The vesting and other restrictions are determined at the discretion of the plan administrator.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2021 Inducement Plan</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On February 12, 2021, the Company’s board of directors approved the 2021 Inducement Plan. The 2021 Inducement Plan is a non-stockholder approved stock plan under which the Company grants equity awards to induce highly-qualified prospective officers and employees who are not currently employed by the Company to accept employment and provide them with a proprietary interest in the Company. The Company intends that the 2021 Inducement Plan be reserved for persons to whom the Company may issue securities without stockholder approval as an inducement pursuant to Rule 5635(c)(4) of the Marketplace Rules of the NASDAQ Stock Market, Inc. The 2021 Inducement Plan is administered by the board of directors or the Compensation Committee of the board, which determines the types of awards to be granted, including the number of shares subject to the awards, the exercise price and the vesting schedule. Awards granted under the 2021 Inducement Plan expire no later than ten years from the date of grant. As of September 30, 2021, 983,949 shares were available for issuance under the 2021 Inducement Plan.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Company recorded stock-based compensation expense in the following expense categories of its condensed consolidated statements of operations and comprehensive loss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80" w:type="dxa"/>
            <w:vAlign w:val="bottom"/>
          </w:tcPr>
          <w:p>
            <w:pPr>
              <w:spacing w:after="0"/>
              <w:rPr>
                <w:sz w:val="19"/>
                <w:szCs w:val="19"/>
                <w:color w:val="auto"/>
              </w:rPr>
            </w:pPr>
          </w:p>
        </w:tc>
        <w:tc>
          <w:tcPr>
            <w:tcW w:w="23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9"/>
                <w:szCs w:val="19"/>
                <w:color w:val="auto"/>
              </w:rPr>
            </w:pPr>
          </w:p>
        </w:tc>
      </w:tr>
      <w:tr>
        <w:trPr>
          <w:trHeight w:val="241"/>
        </w:trPr>
        <w:tc>
          <w:tcPr>
            <w:tcW w:w="5680" w:type="dxa"/>
            <w:vAlign w:val="bottom"/>
          </w:tcPr>
          <w:p>
            <w:pPr>
              <w:spacing w:after="0"/>
              <w:rPr>
                <w:sz w:val="20"/>
                <w:szCs w:val="20"/>
                <w:color w:val="auto"/>
              </w:rPr>
            </w:pPr>
          </w:p>
        </w:tc>
        <w:tc>
          <w:tcPr>
            <w:tcW w:w="23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r>
      <w:tr>
        <w:trPr>
          <w:trHeight w:val="250"/>
        </w:trPr>
        <w:tc>
          <w:tcPr>
            <w:tcW w:w="568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100" w:type="dxa"/>
            <w:vAlign w:val="bottom"/>
            <w:gridSpan w:val="2"/>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2,236</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22"/>
                <w:szCs w:val="22"/>
                <w:color w:val="auto"/>
              </w:rPr>
            </w:pPr>
          </w:p>
        </w:tc>
      </w:tr>
      <w:tr>
        <w:trPr>
          <w:trHeight w:val="256"/>
        </w:trPr>
        <w:tc>
          <w:tcPr>
            <w:tcW w:w="56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1,382</w:t>
            </w:r>
          </w:p>
        </w:tc>
        <w:tc>
          <w:tcPr>
            <w:tcW w:w="26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3,878</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2"/>
                <w:szCs w:val="22"/>
                <w:color w:val="auto"/>
              </w:rPr>
            </w:pPr>
          </w:p>
        </w:tc>
      </w:tr>
      <w:tr>
        <w:trPr>
          <w:trHeight w:val="290"/>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1,659</w:t>
            </w:r>
          </w:p>
        </w:tc>
        <w:tc>
          <w:tcPr>
            <w:tcW w:w="2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6,114</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-25400</wp:posOffset>
            </wp:positionV>
            <wp:extent cx="1631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1631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15430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1543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14541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1454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As a result of the Business Combination, the Company has retroactively restated the weighted average shares outstanding prior to February 5, 2021 to give effect to the Conversion Ratio.</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following table summarizes the computation of basic and diluted net loss per share attributable to common stockholders of the Company (in thousands, except share and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4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9"/>
                <w:szCs w:val="19"/>
                <w:color w:val="auto"/>
              </w:rPr>
            </w:pPr>
          </w:p>
        </w:tc>
        <w:tc>
          <w:tcPr>
            <w:tcW w:w="25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r>
      <w:tr>
        <w:trPr>
          <w:trHeight w:val="250"/>
        </w:trPr>
        <w:tc>
          <w:tcPr>
            <w:tcW w:w="56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6"/>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(18,551 )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(10,003 )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(54,046 )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(26,522 )</w:t>
            </w:r>
          </w:p>
        </w:tc>
      </w:tr>
      <w:tr>
        <w:trPr>
          <w:trHeight w:val="250"/>
        </w:trPr>
        <w:tc>
          <w:tcPr>
            <w:tcW w:w="5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 average common shares outstanding-basic and diluted</w:t>
            </w: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43,091,822</w:t>
            </w:r>
          </w:p>
        </w:tc>
        <w:tc>
          <w:tcPr>
            <w:tcW w:w="24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15,282,987</w:t>
            </w:r>
          </w:p>
        </w:tc>
        <w:tc>
          <w:tcPr>
            <w:tcW w:w="26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39,427,476</w:t>
            </w:r>
          </w:p>
        </w:tc>
        <w:tc>
          <w:tcPr>
            <w:tcW w:w="24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15,016,038</w:t>
            </w:r>
          </w:p>
        </w:tc>
        <w:tc>
          <w:tcPr>
            <w:tcW w:w="100" w:type="dxa"/>
            <w:vAlign w:val="bottom"/>
            <w:tcBorders>
              <w:top w:val="single" w:sz="8" w:color="CFF0FC"/>
            </w:tcBorders>
          </w:tcPr>
          <w:p>
            <w:pPr>
              <w:spacing w:after="0"/>
              <w:rPr>
                <w:sz w:val="21"/>
                <w:szCs w:val="21"/>
                <w:color w:val="auto"/>
              </w:rPr>
            </w:pPr>
          </w:p>
        </w:tc>
      </w:tr>
      <w:tr>
        <w:trPr>
          <w:trHeight w:val="27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Net loss per share attributable to common stockholders-basic and diluted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(0.43 )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(0.65 )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(1.37 )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(1.77 )</w:t>
            </w: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-365125</wp:posOffset>
            </wp:positionV>
            <wp:extent cx="15430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-365125</wp:posOffset>
            </wp:positionV>
            <wp:extent cx="15430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-365125</wp:posOffset>
            </wp:positionV>
            <wp:extent cx="15430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1543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1543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1543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1543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1543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15430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Company’s unvested restricted common shares have been excluded from the computation of basic net loss per share attributable to common stockholders.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Company’s potentially dilutive securities, which include unvested restricted stock, common stock options outstanding and warrants to purchase shares of Series A preferred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 following potential common shares from the computation of diluted net loss per share attributable to common stockholders for the periods indicated because including them would have had an anti-dilutive effect: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20" w:type="dxa"/>
            <w:vAlign w:val="bottom"/>
          </w:tcPr>
          <w:p>
            <w:pPr>
              <w:spacing w:after="0"/>
              <w:rPr>
                <w:sz w:val="20"/>
                <w:szCs w:val="20"/>
                <w:color w:val="auto"/>
              </w:rPr>
            </w:pPr>
          </w:p>
        </w:tc>
        <w:tc>
          <w:tcPr>
            <w:tcW w:w="342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As of September 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720" w:type="dxa"/>
            <w:vAlign w:val="bottom"/>
          </w:tcPr>
          <w:p>
            <w:pPr>
              <w:spacing w:after="0"/>
              <w:rPr>
                <w:sz w:val="21"/>
                <w:szCs w:val="21"/>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1"/>
                <w:szCs w:val="21"/>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restricted stock</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229,532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Common stock options</w:t>
            </w:r>
          </w:p>
        </w:tc>
        <w:tc>
          <w:tcPr>
            <w:tcW w:w="1580" w:type="dxa"/>
            <w:vAlign w:val="bottom"/>
          </w:tcPr>
          <w:p>
            <w:pPr>
              <w:jc w:val="right"/>
              <w:spacing w:after="0"/>
              <w:rPr>
                <w:sz w:val="20"/>
                <w:szCs w:val="20"/>
                <w:color w:val="auto"/>
              </w:rPr>
            </w:pPr>
            <w:r>
              <w:rPr>
                <w:rFonts w:ascii="Arial" w:cs="Arial" w:eastAsia="Arial" w:hAnsi="Arial"/>
                <w:sz w:val="18"/>
                <w:szCs w:val="18"/>
                <w:color w:val="auto"/>
              </w:rPr>
              <w:t>4,988,293</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1,740,758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Warrants to purchase shares of Series A preferred stock (as converted to common stock)</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77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4,988,293</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1,985,547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jc w:val="right"/>
              <w:ind w:right="1910"/>
              <w:spacing w:after="0"/>
              <w:rPr>
                <w:sz w:val="20"/>
                <w:szCs w:val="20"/>
                <w:color w:val="auto"/>
              </w:rPr>
            </w:pPr>
            <w:r>
              <w:rPr>
                <w:rFonts w:ascii="Arial" w:cs="Arial" w:eastAsia="Arial" w:hAnsi="Arial"/>
                <w:sz w:val="18"/>
                <w:szCs w:val="18"/>
                <w:color w:val="auto"/>
              </w:rPr>
              <w:t>19</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1"/>
        </w:trPr>
        <w:tc>
          <w:tcPr>
            <w:tcW w:w="77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-853440</wp:posOffset>
            </wp:positionV>
            <wp:extent cx="17970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-853440</wp:posOffset>
            </wp:positionV>
            <wp:extent cx="6858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3" w:name="page24"/>
    <w:bookmarkEnd w:id="23"/>
    <w:p>
      <w:pPr>
        <w:ind w:right="8460" w:firstLine="8"/>
        <w:spacing w:after="0" w:line="464" w:lineRule="auto"/>
        <w:tabs>
          <w:tab w:leader="none" w:pos="27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Commitments</w:t>
      </w:r>
    </w:p>
    <w:p>
      <w:pPr>
        <w:jc w:val="both"/>
        <w:spacing w:after="0" w:line="257" w:lineRule="auto"/>
        <w:rPr>
          <w:sz w:val="20"/>
          <w:szCs w:val="20"/>
          <w:color w:val="auto"/>
        </w:rPr>
      </w:pPr>
      <w:r>
        <w:rPr>
          <w:rFonts w:ascii="Arial" w:cs="Arial" w:eastAsia="Arial" w:hAnsi="Arial"/>
          <w:sz w:val="18"/>
          <w:szCs w:val="18"/>
          <w:color w:val="auto"/>
        </w:rPr>
        <w:t>The Company’s long-term contractual obligations include commitments entered into in the normal course of business. The Company’s most significant contracts relate to agreements with clinical research organizations (“CROs”) for clinical trials and preclinical studies and clinical manufacturing organizations (“CMOs”), which the Company enters into in the normal course of business. The contracts with CROs and CMOs are generally cancellable, with notice, at the Company’s option. The Company also has commitments related to facility leases, debt obligations, license agreements and other purchase obligations.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2017, the Company entered into a Research Collaboration and License Agreement with Sanquin Blood Supply Foundation (the “2017 License Agreement”) to develop antibodies that bind and enhance the activity of CFH. As consideration for the license, the Company paid a one-time, non-refundable upfront payment of $0.1 million. The 2017 License Agreement includes additional consideration upon the achievement of certain development and commercial milestones (i.e., once net sales targets exceed certain thresholds) totaling up to an aggregate amount of $29.0 million. Finally, the Company is required to make royalty payments of between 1.25% and 2.50% of net product sales if commercialization is achieved. The condensed consolidated financial statements as of September 30, 2021 do not include liabilities with respect to this agreement as the Company has not yet generated revenue and the achievement of certain milestones is not deemed probable.</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2018, the Company entered into a Cell Line License Agreement with Life Technologies Corporation (the “2018 License Agreement”) to obtain non-exclusive use of 293 H cells in support of GEM-103 manufacturing activities. As consideration for the license, the Company paid a one-time, non-refundable, non-creditable initial license fee of $0.1 million. In addition, an annual non-refundable, non-creditable development fee of $0.1 million is due on each anniversary date. The 2018 License Agreement includes additional consideration of $0.3 million contingent upon future commercialization of each licensed product. The condensed consolidated financial statements as of September 30, 2021 do not include a liability with respect to the additional consideration under this agreement as the Company has not yet generated revenue.</w:t>
      </w:r>
    </w:p>
    <w:p>
      <w:pPr>
        <w:spacing w:after="0" w:line="1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2019, the Company entered into a second Cell Line License Agreement with Life Technologies Corporation (the “2019 License Agreement”) to obtain non-exclusive use of a CTS Viral Production cell line for producing genetically engineered adeno-associated virus particles to be used in human therapeutics. In October 2021, the Company terminated the 2019 License Agreement. As consideration for the license, the Company paid a one-time, non-refundable, non-creditable initial license fee of $0.1 million. In addition, an annual non-refundable, non-creditable development fee of $0.1 million was due on each anniversary date, beginning on the second anniversary date. The 2019 License Agreement included additional consideration of $0.4 million contingent upon future commercialization of each licensed product. The condensed consolidated financial statements as of September 30, 2021 do not include a liability with respect to the additional consideration under this agreement as the Company has not yet generated revenue.</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2018, the Company entered into a Master License Agreement with Avitide, Inc. (the “2018 Master License Agreement”) to license, on an exclusive basis, certain of Avitide’s affinity chromatography resins comprised of proprietary ligands for affinity purification of biopharmaceuticals. As consideration for the license, the Company paid an upfront license fee of $0.2 million. In addition, an annual license fee of $0.1 million is due on each anniversary date. The 2018 Master License Agreement includes additional consideration upon the achievement of certain development, commercial and sales milestones totaling up to $0.7 million, $2.2 million and $7.0 million, respectively. Finally, the Company is required to make royalty payments of 1.25% of net product sales if commercialization is achieved. The condensed consolidated financial statements as of September 30, 2021 do not include liabilities with respect to additional consideration under this agreement as the Company has not yet generated revenue and the achievement of certain milestones is not deemed probable.</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2019, the Company entered into a GPEx-Derived Cell Line Sale Agreement with Catalent Pharma Solutions, LLC (the “2019 Sale Agreement”) to purchase all right, title and interest in and to the GPEx Cell Line. As consideration for the GPEx Cell Line, the Company is required to make one-time milestone payments totaling up to $1.3 million in aggregate, as well as a contingent annual fee upon commercialization (1% of net sales, or $0.1 million, whichever is greater) and other fees after certain milestones are reached. Certain milestone payments may be waived if Catalent manufactures &gt;50% of the total product required for the relevant clinical trial. The condensed consolidated financial statements as of September 30, 2021 do not include liabilities with respect to this agreement as the Company has not yet generated revenue and the achievement of certain milestones is not deemed probable.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4" w:name="page25"/>
    <w:bookmarkEnd w:id="24"/>
    <w:p>
      <w:pPr>
        <w:jc w:val="both"/>
        <w:spacing w:after="0" w:line="255" w:lineRule="auto"/>
        <w:rPr>
          <w:sz w:val="20"/>
          <w:szCs w:val="20"/>
          <w:color w:val="auto"/>
        </w:rPr>
      </w:pPr>
      <w:r>
        <w:rPr>
          <w:rFonts w:ascii="Arial" w:cs="Arial" w:eastAsia="Arial" w:hAnsi="Arial"/>
          <w:sz w:val="18"/>
          <w:szCs w:val="18"/>
          <w:color w:val="auto"/>
        </w:rPr>
        <w:t>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could have a material effect on its financial position, results of operations or cash flows, and it has not accrued any liabilities related to such obligations in its condensed consolidated financial statements as of September 30,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the Company may become involved in legal proceedings arising in the ordinary course of business. As of September 30, 2021, the Company was not a party to any material legal matters or claims.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engaged a firm managed by an executive of the Company for professional services related to accounting, finance and other administrative functions. For the three and nine months ended September 30, 2021, the costs incurred under this arrangement totaled $0 and $0.1 million, respectively, of which $0.1 million was recorded in stockholders’ equity (deficit) as a reduction to additional paid-in capital as a result of the Business Combination and $10 thousand was recorded as general and administrative expense in the accompanying condensed consolidated statements of operations and comprehensive loss. As of September 30, 2021 and December 31, 2020, amounts owed under this arrangement totaled $0 and $0.3 million, respectively, and is included in accounts payable and/or accrued expenses in the accompanying consolidated balance sheet for each period. The executive of the Company associated with this firm resigned from the Company in February 2021.</w:t>
      </w:r>
    </w:p>
    <w:p>
      <w:pPr>
        <w:spacing w:after="0" w:line="133" w:lineRule="exact"/>
        <w:rPr>
          <w:sz w:val="20"/>
          <w:szCs w:val="20"/>
          <w:color w:val="auto"/>
        </w:rPr>
      </w:pPr>
    </w:p>
    <w:p>
      <w:pPr>
        <w:ind w:right="9300" w:firstLine="8"/>
        <w:spacing w:after="0" w:line="522" w:lineRule="auto"/>
        <w:tabs>
          <w:tab w:leader="none" w:pos="27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 Corporate Restructuring</w:t>
      </w:r>
    </w:p>
    <w:p>
      <w:pPr>
        <w:jc w:val="both"/>
        <w:spacing w:after="0" w:line="271" w:lineRule="auto"/>
        <w:rPr>
          <w:sz w:val="20"/>
          <w:szCs w:val="20"/>
          <w:color w:val="auto"/>
        </w:rPr>
      </w:pPr>
      <w:r>
        <w:rPr>
          <w:rFonts w:ascii="Arial" w:cs="Arial" w:eastAsia="Arial" w:hAnsi="Arial"/>
          <w:sz w:val="17"/>
          <w:szCs w:val="17"/>
          <w:color w:val="auto"/>
        </w:rPr>
        <w:t>On October 4, 2021, the Company announced a restructuring plan to prioritize assets and focus primarily on initiating and executing GEM103’s resource-intensive pivotal trial in geographic atrophy, resulting in a reduction of the Company’s workforce by 11 positions with a majority of these employees’ separation from the business having occurred in mid-October 2021 and the remaining affected employees transitioning by the end of 2021. As a result, the Company estimates in total it will incur costs within the range of $1.3 million to $1.6 million related to severance benefits for the affected employees, including severance payments, limited reimbursement of medical insurance premiums, outplacement services and an extension of the post-termination option exercise period for the vested portion of the affected employees’ outstanding stock options. Each affected employee’s eligibility for the severance benefits is contingent upon such employee’s execution (without revocation) of a separation agreement, which includes a general release of claims against the Company. The restructuring plan is expected to be completed by the end of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Georges Gemayel</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November 15, 2021, the Company entered into an employment agreement with Dr. Georges Gemayel, the Company's current Executive Chair of its board of directors, who shall serve as an employee of the Company. Details of the employment agreement are set forth below under Item 5 of Part II.</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notes thereto appearing elsewhere in this Quarterly Report on Form 10-Q and Old Gemini’s audited financial statements and notes thereto for the year ended December 31, 2020 included in our Form 8-K/A as filed with the Securities and Exchange Commission on March 29, 2021.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our actual results could differ materially from the results described in or implied by the forward-looking statements contained in the following discussion and analysis.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Management’s Discussion &amp; Analysis of Financial Condition and Results of Operations section to “Gemini,” “we,” “us,” “our” and other similar terms refer to Old Gemini (as defined below) prior to the Business Combination (as defined below) and to Gemini and its consolidated subsidiaries after giving effect to the Business Combination.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overall dysregulation caused by loss of function mutations thus restoring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Since inception in 2015, we have devoted substantially all our efforts and financial resources to organizing and staffing our company, business planning, raising capital, discovering product candidates and securing related intellectual property rights and conducting research and development activities for our product candidates. We do not have any products approved for sale, and we have not generated any revenue from product sales. We may never be able to develop or commercialize a marketable product.</w:t>
      </w:r>
    </w:p>
    <w:p>
      <w:pPr>
        <w:spacing w:after="0" w:line="14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lead product candidate, GEM103, is in Phase 2a clinical development and our other product candidate, GEM307, is in the preclinical stage of development. Our ability to generate revenue from product sales sufficient to achieve profitability will depend heavily on the successful development and eventual commercialization of one or more of our product candidates. We have not yet successfully completed any pivotal clinical trials, nor have we obtained any regulatory approvals, manufactured a commercial-scale drug, or conducted sales and marketing activities. Prior to the Business Combination (as defined below), we primarily financed our operations through the sale of convertible preferred stock, borrowings under convertible promissory notes and borrowings from our term loan facility with Silicon Valley Bank, (“SVB”).</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Restructuring</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4, 2021, we announced a restructuring plan to prioritize assets and focus primarily on initiating and executing GEM103’s resource-intensive pivotal trial in geographic atrophy, resulting in a reduction of our workforce by 11 positions with a majority of these employees’ separation from the business having occurred in mid-October 2021 and the remaining affected employees transitioning by the end of 2021. As a result, we estimate in total we will incur costs within the range of $1.3 million to $1.6 million related to severance benefits for the affected employees. The restructuring plan is expected to be completed by the end of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Georges Gemayel</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November 15, 2021, the Company entered into an employment agreement with Dr. Georges Gemayel, the Company's current Executive Chair of its board of directors, who shall serve as an employee of the Company. Details of the employment agreement are set forth below under Item 5 of Part II.</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&amp; liquidity</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To date, we have not had any products approved for sale and have not generated any revenue from product sales and do not expect to do so for several years, if at all. All of our programs are still in preclinical or clinical development. Our ability to generate product revenue will depend on the successful development and eventual commercialization of one or more of our product candidates.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jc w:val="both"/>
        <w:spacing w:after="0" w:line="275" w:lineRule="auto"/>
        <w:rPr>
          <w:sz w:val="20"/>
          <w:szCs w:val="20"/>
          <w:color w:val="auto"/>
        </w:rPr>
      </w:pPr>
      <w:r>
        <w:rPr>
          <w:rFonts w:ascii="Arial" w:cs="Arial" w:eastAsia="Arial" w:hAnsi="Arial"/>
          <w:sz w:val="18"/>
          <w:szCs w:val="18"/>
          <w:color w:val="auto"/>
        </w:rPr>
        <w:t>We have incurred significant operating losses since inception. Our net losses were $54.0 million for the nine months ended September 30, 2021. As of September 30, 2021, we had an accumulated deficit of $166.9 million. We expect to continue to incur net losses for the foreseeable future and to continue to incur research and development expenses and general and administrative expenses as we continue development activities. We expect to continue to incur expenses and capital requirements if and as we:</w:t>
      </w:r>
    </w:p>
    <w:p>
      <w:pPr>
        <w:spacing w:after="0" w:line="77" w:lineRule="exact"/>
        <w:rPr>
          <w:sz w:val="20"/>
          <w:szCs w:val="20"/>
          <w:color w:val="auto"/>
        </w:rPr>
      </w:pPr>
    </w:p>
    <w:p>
      <w:pPr>
        <w:jc w:val="both"/>
        <w:ind w:left="700"/>
        <w:spacing w:after="0" w:line="279" w:lineRule="auto"/>
        <w:rPr>
          <w:sz w:val="20"/>
          <w:szCs w:val="20"/>
          <w:color w:val="auto"/>
        </w:rPr>
      </w:pPr>
      <w:r>
        <w:rPr>
          <w:rFonts w:ascii="Arial" w:cs="Arial" w:eastAsia="Arial" w:hAnsi="Arial"/>
          <w:sz w:val="18"/>
          <w:szCs w:val="18"/>
          <w:color w:val="auto"/>
        </w:rPr>
        <w:t>continue development activities for GEM103, our first product candidate being tested in AMD, including the completion of our Phase 2a clinical trial in geographic atrophy, the ongoing Phase 2a clinical trial in patients with macular atrophy receiving anti-VEGF therapy and the initiation of a Phase 2b or Phase 3 clinical trial in geographic atrophy;</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continue research and development activities to advance our CFH potentiating antibody, GEM307, as a product candidate;</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maintain and protect our intellectual property portfolio;</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seek regulatory approvals for any product candidates that successfully complete clinical trials;</w:t>
      </w:r>
    </w:p>
    <w:p>
      <w:pPr>
        <w:spacing w:after="0" w:line="198" w:lineRule="exact"/>
        <w:rPr>
          <w:sz w:val="20"/>
          <w:szCs w:val="20"/>
          <w:color w:val="auto"/>
        </w:rPr>
      </w:pPr>
    </w:p>
    <w:p>
      <w:pPr>
        <w:jc w:val="both"/>
        <w:ind w:left="700"/>
        <w:spacing w:after="0" w:line="293" w:lineRule="auto"/>
        <w:rPr>
          <w:sz w:val="20"/>
          <w:szCs w:val="20"/>
          <w:color w:val="auto"/>
        </w:rPr>
      </w:pPr>
      <w:r>
        <w:rPr>
          <w:rFonts w:ascii="Arial" w:cs="Arial" w:eastAsia="Arial" w:hAnsi="Arial"/>
          <w:sz w:val="18"/>
          <w:szCs w:val="18"/>
          <w:color w:val="auto"/>
        </w:rPr>
        <w:t>undertake any pre-commercialization activities to establish sales, marketing and distribution capabilities for any product candidates for which we may receive regulatory approval;</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continue to incur legal, accounting, investor relations and other expenses in operating as a public company; and</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determine if further prioritization is necessary for our development activities.</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private and public equity offerings, debt financings or other capital sources, which may include collaborations with other companies or other strategic transactions. To the extent that we raise additional capital through the sale of private or public equity or convertible debt securities, existing ownership interests will be diluted, and the terms of these securities may include liquidation or other preferences that adversely affect the rights of the holders of our common stock.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or other strategic transactions with third parties, we may have to relinquish valuable rights to our technologies, future revenue streams, research programs or drug candidates, or grant licenses on terms that may not be favorable to us.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believe that our current cash resources will enable us to fund our operating expenses and capital expenditure requirements into the second half of 2023. Our belief with respect to our ability to fund operations is based on estimates that are subject to risks and uncertainties. If actual results are different from our estimates, we may need to seek additional funding sooner than would otherwise be expected. There can be no assurance that we will be able to obtain additional funding on acceptable terms, if at all. Our future viability beyond that point is dependent on our ability to raise additional capital to finance our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March 2020, the World Health Organization declared the novel coronavirus (“COVID-19”) outbreak a pandemic. The ongoing COVID-19 pandemic and the increased prevalence of variants of the virus,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ongoing COVID-19 pandemic and related impacts have resulted in and will likely continue to result in significant disruptions to the global economy and capital markets around the world. The Company cannot predict the future progression or full impact of the outbreak and its effects on the Company’s business and operations.</w:t>
      </w:r>
    </w:p>
    <w:p>
      <w:pPr>
        <w:spacing w:after="0" w:line="152"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We and our third-party contract manufacturers (“CMOs”), contract research organizations (“CROs”) and clinical sites have experienced and may continue to experience disruptions in supply of product candidates and/or procuring items that are essential for our research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jc w:val="both"/>
        <w:spacing w:after="0" w:line="279" w:lineRule="auto"/>
        <w:rPr>
          <w:sz w:val="20"/>
          <w:szCs w:val="20"/>
          <w:color w:val="auto"/>
        </w:rPr>
      </w:pPr>
      <w:r>
        <w:rPr>
          <w:rFonts w:ascii="Arial" w:cs="Arial" w:eastAsia="Arial" w:hAnsi="Arial"/>
          <w:sz w:val="18"/>
          <w:szCs w:val="18"/>
          <w:color w:val="auto"/>
        </w:rPr>
        <w:t>and development activities, including raw materials used in the manufacturing of our product candidates, medical and laboratory supplies used in our clinical trials or preclinical studies or animals that are used for preclinical testing, in each case, for which there may be shortages because of ongoing efforts to address the pandemic.</w:t>
      </w:r>
    </w:p>
    <w:p>
      <w:pPr>
        <w:spacing w:after="0" w:line="156"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Additionally, we have enrolled, and will seek to enroll, patients in our clinical trials at sites located both in the United States and internationally. Most of our clinical trial sites are in areas that have been affected by COVID-19 and, as a result, our trials have been and may continue to be impacted. We cannot predict how long or impactful these delays may be on our clinical trials. In addition, even if sites are initiating and actively recruiting, we may face difficulties recruiting or retaining patients in our clinical trials if patients are affected by the virus or are unable to or are fearful of visiting or traveling to our clinical trial sites because of the outbreak, or if patients are unable or unwilling to be vaccinated or tested. Prolonged delays or closure to enrollment in our trials or patient discontinuations could have a material adverse impact on our clinical trial plans and timelines. In addition, our ability to collect and verify data requested of patients enrolled in our clinical trials during this pandemic is being impacted to varying degrees by COVID-19. Clinical trial data collection continues for each of our clinical trials but at a slower pace, and with challenges and interruptions in data collection, including, in some instances, disruption of collection of complete study data. This could have a material adverse impact on our data quality and analysis. In addition, clinical trial sites may be unable or unwilling to initiate a new trial if factors relevant to the pandemic render this impracticable. These COVID-19 related issues may prolong the time required to conduct our ongoing clinical trials and/or impact the quality of the data obtained from one or more of these studies.</w:t>
      </w:r>
    </w:p>
    <w:p>
      <w:pPr>
        <w:spacing w:after="0" w:line="128"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We have not incurred impairment losses in the carrying values of our assets as a result of the ongoing COVID-19 pandemic, and we are not aware of any specific related event or circumstance that would require us to revise our estimates reflected in our condensed consolidated financial statements. Although the COVID-19 pandemic did not have a significant impact on our financial results in the third quarter of 2021, the full extent to which the ongoing COVID-19 pandemic will impact our business, results of operations, financial condition and cash flows will depend on future developments that are highly uncertain, and the estimates of the impact on our business may change based on new information that may emerge concerning COVID-19, including the duration of the pandemic, any potential subsequent waves or strains of COVID-19 infection, the effectiveness, distribution and acceptance of COVID-19 vaccines and the actions to contain it or treat its impact and the economic impact on local, regional, national and international markets.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5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On February 5, 2021 (the “Closing Date”), FS Development Corporation, a Delaware corporation (“FSDC”), consummated the previously announced business combination (the “Business Combination”) pursuant to the terms of the Agreement and Plan of Merger, dated as of October 15, 2020 (as amended, supplemented or otherwise modified from time to time, the “Merger Agreement”), by and among Gemini Therapeutics, Inc., a Delaware corporation (“Old Gemini”), Shareholder Representative Services LLC, a Colorado limited liability company solely in its capacity as the representative, agent and attorney-in-fact of the Company Securityholders (the “Stockholders’ Representative”), FSDC and FSG Merger Sub Inc., a Delaware corporation (“Merger Sub”).</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FSDC was incorporated in Delaware on June 25, 2020 and was formed for the purpose of effecting a merger, capital stock exchange, asset acquisition, stock purchase, reorganization or similar business combination with one or more businesses.</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On the day prior to the Closing Date, Old Gemini changed its name to “Gemini Therapeutics Sub, Inc.” Pursuant to the Merger Agreement, on the Closing Date, (i) FSDC changed its name to “Gemini Therapeutics, Inc.”, and (ii) Old Gemini merged with and into Merger Sub (the “Merger”), with Old Gemini as the surviving company in the Merger and, after giving effect to such Merger, Old Gemini becoming a wholly-owned subsidiary of Gemini. Upon the closing of the Business Combination, and pursuant to the terms of the Merger Agreement, the existing shareholders of Old Gemini exchanged their interests for shares of common stock of Gemini.</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connection with the Business Combination, certain investors purchased an aggregate of $95.1 million of our Common Stock in a private placement of public equity (the “PIPE Financing”). Together with FSDC’s cash resources and funding of the PIPE Financing, we received net proceeds of approximately $195.9 million.</w:t>
      </w:r>
    </w:p>
    <w:p>
      <w:pPr>
        <w:spacing w:after="0" w:line="19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accounted for the Business Combination as a reverse recapitalization, which is the equivalent of Old Gemini issuing stock for the net assets of FSDC, accompanied by a recapitalization, with FSDC treated as the acquired company for accounting purposes. The net assets of FSDC were stated at historical cost with no goodwill or other intangible assets recorded. Reported results from operations included herein prior to the Business Combination are those of Old Gemini.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(1.00 Old Gemini share for 0.2180 shares of the Company, o the "Conversion Ratio").</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 xml:space="preserve">For additional information on the Business Combination, please read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 to our unaudited condensed consolidated financial statements included elsewhere in this Form 10-Q.</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 February 2019, we entered into a term loan facility of up to $10.0 million (the “Term Loan”) with SVB. The proceeds were used for general corporate and working capital purposes. Concurrent with the Term Loan, we issued SVB warrants to purchase 15,257 shares of Old Gemini’s Series A preferred stock at an exercise price of $5.46. At the closing of the Business Combination, these warrants were automatically exercised for 15,257 shares of our common stock. As of September 30, 2021 and December 31, 2020, we had $6.7 million and $10.0 million, respectively, in principal outstanding under the Term Loan.</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Term Loan is governed by a loan and security agreement, entered into in February 2019, between Gemini and SVB (the “SVB Loan Agreement”). The SVB Loan Agreement provided for two separate tranches under which we could borrow. In April 2019, we borrowed $7.5 million under the first tranche, and in December 2019, we borrowed $2.5 million under the second tranche.</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Term Loan matures in January 2023 and accrues interest at a floating rate per annum equal to the greater of 3.75% or the prime rate minus 1.5% (1.75% as of September 30, 2021). The Term Loan provides for monthly interest-only payments until February 2021. Thereafter, payments are payable in equal monthly installments of principal, plus all accrued and unpaid interest. We may prepay the Term Loan in whole upon 5 days’ prior written notice to SVB. Any such prepayment of the Term Loan is subject to a prepayment charge of 0.5% of the then outstanding principal balance. Amounts outstanding during an event of default are payable upon SVB’s demand and will accrue interest at an additional rate of 5.0% per annum of the past due amount outstanding.</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April 2020, we entered into a deferral agreement with SVB to defer scheduled principal repayments on its term loan by six months. The deferral agreement was offered in connection with SVB’s venture debt relief initiative, which was started due to the COVID-19 pandemic. Our first principal payment under our credit facility occurred in February 2021. The required monthly interest-only payment was not impacted by the deferral. The Term Loan’s new maturity date is January 2023.</w:t>
      </w:r>
    </w:p>
    <w:p>
      <w:pPr>
        <w:spacing w:after="0" w:line="199"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At the end of the loan term (whether at maturity, by prepayment in full or otherwise), we are required to pay a final end of term charge to SVB in the amount of 4.0% of the aggregate original principal amount advanced by SVB.</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August 2020, we entered into a purchase agreement with existing investors to issue $14.0 million in convertible promissory notes, (the “Notes”). The Notes accrued simple interest at 8% per annum and matured in February 2021. The Notes served as a bridge loan prior to the PIPE Financing that was completed in connection with the closing of the Business Combination. The Notes were amended to allow for the principal and interest to convert to shares of Series B preferred stock prior to the closing of the Business Combination. Accordingly, immediately prior to the closing of the Business Combination, the outstanding principal and interest under the Notes converted into 2,341,316 shares of Series B preferred stock at a per share conversion price of $6.1986.</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have not generated any revenue since inception and do not expect to generate any revenue from the sale of products in the near future, if at all. If our development efforts are successful and we commercialize our products, or if we enter into collaboration or license agreements with third parties, we may generate revenue in the future from product sales, as well as upfront, milestone and royalty payments from such collaboration or license agreements, or a combination thereof.</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Research and development expenses consist primarily of costs incurred for research activities, including drug discovery efforts and the clinical development of our product candidates. We expense research and development costs as incurred, which include: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expenses incurred to conduct the necessary preclinical studies and clinical trials required to obtain regulatory approval;</w:t>
      </w:r>
    </w:p>
    <w:p>
      <w:pPr>
        <w:spacing w:after="0" w:line="198" w:lineRule="exact"/>
        <w:rPr>
          <w:sz w:val="20"/>
          <w:szCs w:val="20"/>
          <w:color w:val="auto"/>
        </w:rPr>
      </w:pPr>
    </w:p>
    <w:p>
      <w:pPr>
        <w:jc w:val="both"/>
        <w:ind w:left="700" w:right="20"/>
        <w:spacing w:after="0" w:line="279" w:lineRule="auto"/>
        <w:rPr>
          <w:sz w:val="20"/>
          <w:szCs w:val="20"/>
          <w:color w:val="auto"/>
        </w:rPr>
      </w:pPr>
      <w:r>
        <w:rPr>
          <w:rFonts w:ascii="Arial" w:cs="Arial" w:eastAsia="Arial" w:hAnsi="Arial"/>
          <w:sz w:val="18"/>
          <w:szCs w:val="18"/>
          <w:color w:val="auto"/>
        </w:rPr>
        <w:t>expenses incurred under agreements with CROs that are primarily engaged in the oversight and conduct of our drug discovery efforts and preclinical studies, clinical trials and CMOs that are primarily engaged to provide preclinical and clinical drug substance and product for our research and development programs;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9" w:name="page30"/>
    <w:bookmarkEnd w:id="29"/>
    <w:p>
      <w:pPr>
        <w:jc w:val="both"/>
        <w:ind w:left="700"/>
        <w:spacing w:after="0" w:line="279" w:lineRule="auto"/>
        <w:rPr>
          <w:sz w:val="20"/>
          <w:szCs w:val="20"/>
          <w:color w:val="auto"/>
        </w:rPr>
      </w:pPr>
      <w:r>
        <w:rPr>
          <w:rFonts w:ascii="Arial" w:cs="Arial" w:eastAsia="Arial" w:hAnsi="Arial"/>
          <w:sz w:val="18"/>
          <w:szCs w:val="18"/>
          <w:color w:val="auto"/>
        </w:rPr>
        <w:t>other costs related to acquiring and manufacturing materials in connection with our drug discovery efforts and preclinical studies and clinical trial materials, including manufacturing validation batches, as well as investigative sites and consultants that conduct our clinical trials, preclinical studies and other scientific development services;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payments made in cash or equity securities under third-party licensing, acquisition and option agreements;</w:t>
      </w:r>
    </w:p>
    <w:p>
      <w:pPr>
        <w:spacing w:after="0" w:line="198" w:lineRule="exact"/>
        <w:rPr>
          <w:sz w:val="20"/>
          <w:szCs w:val="20"/>
          <w:color w:val="auto"/>
        </w:rPr>
      </w:pPr>
    </w:p>
    <w:p>
      <w:pPr>
        <w:jc w:val="both"/>
        <w:ind w:left="700"/>
        <w:spacing w:after="0" w:line="293" w:lineRule="auto"/>
        <w:rPr>
          <w:sz w:val="20"/>
          <w:szCs w:val="20"/>
          <w:color w:val="auto"/>
        </w:rPr>
      </w:pPr>
      <w:r>
        <w:rPr>
          <w:rFonts w:ascii="Arial" w:cs="Arial" w:eastAsia="Arial" w:hAnsi="Arial"/>
          <w:sz w:val="18"/>
          <w:szCs w:val="18"/>
          <w:color w:val="auto"/>
        </w:rPr>
        <w:t>employee-related expenses, including salaries and benefits, travel and stock-based compensation expense for employees engaged in research and development functions;</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costs related to compliance with regulatory requirements; and</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allocated facilities-related costs, depreciation and other expenses, which include rent and utilities.</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We recognize external development costs as incurred. Any advance payments that we make for goods or 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 We estimate and accrue for the value of goods and services received from CROs and other third parties each reporting period based on an evaluation of the progress to completion of specific tasks using information provided to us by our service providers.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do not track our research and development expenses on a program-by-program basis. Our direct external research and development expenses consist primarily of external costs, such as fees paid to outside consultants, CROs, CMOs and research laboratories in connection with our preclinical development, process development, manufacturing and clinical development activities. 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Research and development activities are central to our business model. We anticipate that our research and development expenses will remain consistent in 2022 compared to 2021 as we continue the development of our product candidates while realizing cost benefits from our restructuring. If and when we believe a regulatory approval of a product candidate appears likely, we anticipate an increase in payroll and other expenses as a result of our preparation of regulatory filings and precommercial activities.</w:t>
      </w:r>
    </w:p>
    <w:p>
      <w:pPr>
        <w:spacing w:after="0" w:line="19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The successful development and commercialization of our product candidates is highly uncertain. This uncertainty is due to the numerous risks and uncertainties associated with product development and commercialization, including the uncertainty of the following:</w:t>
      </w:r>
    </w:p>
    <w:p>
      <w:pPr>
        <w:spacing w:after="0" w:line="62" w:lineRule="exact"/>
        <w:rPr>
          <w:sz w:val="20"/>
          <w:szCs w:val="20"/>
          <w:color w:val="auto"/>
        </w:rPr>
      </w:pPr>
    </w:p>
    <w:p>
      <w:pPr>
        <w:ind w:left="700" w:right="240"/>
        <w:spacing w:after="0" w:line="455" w:lineRule="auto"/>
        <w:rPr>
          <w:sz w:val="20"/>
          <w:szCs w:val="20"/>
          <w:color w:val="auto"/>
        </w:rPr>
      </w:pPr>
      <w:r>
        <w:rPr>
          <w:rFonts w:ascii="Arial" w:cs="Arial" w:eastAsia="Arial" w:hAnsi="Arial"/>
          <w:sz w:val="17"/>
          <w:szCs w:val="17"/>
          <w:color w:val="auto"/>
        </w:rPr>
        <w:t>the scope, progress, timing, outcome and costs of our preclinical development activities, clinical trials and other related development activities; delays, suspensions, or other setbacks or interruptions encountered, including as a result of the ongoing COVID-19 pandemic;</w:t>
      </w:r>
    </w:p>
    <w:p>
      <w:pPr>
        <w:spacing w:after="0" w:line="1"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establishing an appropriate safety and efficacy profile with Investigational New Drug application ("IND") enabling studies and obtaining clearance for future IND applications;</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successful patient enrollment in and the initiation and completion of clinical trials;</w:t>
      </w:r>
    </w:p>
    <w:p>
      <w:pPr>
        <w:spacing w:after="0" w:line="212"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the timing, receipt and terms of any marketing approvals from applicable regulatory authorities including the U.S. Food and Drug Administration ("FDA") and non-U.S. regulatory authorities;</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extent of any required post-marketing approval commitments to applicable regulatory authorities;</w:t>
      </w:r>
    </w:p>
    <w:p>
      <w:pPr>
        <w:spacing w:after="0" w:line="198"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establishing clinical and commercial manufacturing capabilities or making arrangements with third-party manufacturers in order to ensure that we or our third-party manufacturers are able to make and scale our products successfully;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0" w:name="page31"/>
    <w:bookmarkEnd w:id="30"/>
    <w:p>
      <w:pPr>
        <w:ind w:left="700" w:right="20"/>
        <w:spacing w:after="0" w:line="293" w:lineRule="auto"/>
        <w:rPr>
          <w:sz w:val="20"/>
          <w:szCs w:val="20"/>
          <w:color w:val="auto"/>
        </w:rPr>
      </w:pPr>
      <w:r>
        <w:rPr>
          <w:rFonts w:ascii="Arial" w:cs="Arial" w:eastAsia="Arial" w:hAnsi="Arial"/>
          <w:sz w:val="18"/>
          <w:szCs w:val="18"/>
          <w:color w:val="auto"/>
        </w:rPr>
        <w:t>development and timely delivery of clinical-grade and commercial-grade drug formulations that can be used in our clinical trials and for commercial launch;</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obtaining, maintaining, defending and enforcing patent claims and other intellectual property rights;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significant and changing government regulation;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launching commercial sales of our product candidates, if and when approved, whether alone or in collaboration with others; and</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maintaining a continued acceptable safety profile of our product candidates following approval, if any, of our product candidates.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 change in any of these variables with respect to any of our programs would significantly change the costs, timing and viability associated with that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52"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General and administrative expenses consist primarily of employee-related expenses, including salaries and related benefits, travel and stock-based compensation for personnel in executive, business development, finance, human resources, legal, information technology and administrative functions. General and administrative expenses also include direct and allocated facility-related costs as well as insurance costs and professional fees for legal, patent, consulting, investor and public relations, accounting and audit services. We expense general and administrative costs as incurred.</w:t>
      </w:r>
    </w:p>
    <w:p>
      <w:pPr>
        <w:spacing w:after="0" w:line="169"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We anticipate that our general and administrative expenses will remain consistent in 2022 as compared to 2021 as we continue to support the development of our product candidates. If and when we believe a regulatory approval of a product candidate appears likely, we anticipate an increase in payroll and other expenses as a result of our preparation for commercial operations, especially as it relates to the sales and marketing of that product candidate.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Interest expense consists of interest accrued on the Term Loan we entered into in February 2019 and the Notes, including the accretion of the beneficial conversion feature discount recognized on the issuance date of the Notes.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income earned on our cash, cash equivalents and restricted cash.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conversion of convertible notes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Immediately prior to the closing of the Business Combination, the outstanding principal and interest under the Notes converted into shares of Series B preferred stock, and we recorded other expense equal to the difference between the reacquisition price of the Notes and the net carrying amount of the Notes in the condensed consolidated statements of operations and comprehensive loss.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252"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In February 2019, in conjunction with the Term Loan with SVB, we issued warrants to purchase 15,257 shares of Old Gemini’s Series A preferred stock. We accounted for, and classified, these warrants as a liability on our balance sheet because the warrants were freestanding financial instruments. We remeasured this liability to fair value at each reporting date and recognized changes in the fair value of the warrant liability in our statements of operations. At the closing of the Business Combination, these warrants were automatically exercised for 15,257 shares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2"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We have not recorded any significant amounts related to income tax expense, we have not recognized any reserves related to uncertain tax positions, nor have we recorded any income tax benefits for the majority of our net losses we have incurred to date or for our research and development tax credits.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1" w:name="page32"/>
    <w:bookmarkEnd w:id="31"/>
    <w:p>
      <w:pPr>
        <w:jc w:val="both"/>
        <w:spacing w:after="0" w:line="309"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assets and liabilities for the expected future tax consequences of events that have been included in the condensed consolidated financial statements or our tax returns. Deferred tax assets and liabilities are determined based on the difference between the financial statement carrying amounts and tax bases of existing assets and liabilities and for loss and credit carryforwards, which are measured using the enacted tax rates and laws in effect in the years in which the differences are expected to reverse. The realization of our deferred tax assets is dependent upon the generation of future taxable income, the amount and timing of which are uncertain. Valuation allowances are provided, if, based upon the weight of available evidence, it is more likely than not that some or all of the deferred tax assets will not be realized. We continue to maintain a full valuation allowance against all of our net deferred tax assets based on our evaluation of all available evidence.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file income tax returns in the U.S. federal tax jurisdiction and state jurisdictions and may become subject to income tax audit and adjustments by related tax authorities. Our tax return period for U.S. federal income taxes for the tax years since 2017 remain open to examination under the statute of limitations by the Internal Revenue Service and state jurisdictions. We record reserves for potential tax payments to various tax authorities related to uncertain tax positions, if any. The nature of uncertain tax positions is subject to significant judgment by management and subject to change, which may be substantial. These reserves are based on a determination of whether and how much a tax benefit taken by us in our tax filings or positions is more likely than not to be realized following the resolution of any potential contingencies related to the tax benefit. We develop our assessment of uncertain tax positions, and the associated cumulative probabilities, using internal expertise and assistance from third-party experts. As additional information becomes available, estimates are revised and refined. Differences between estimates and final settlement may occur resulting in additional tax expense. Potential interest and penalties associated with such uncertain tax positions is recorded as a component of our provision for income taxes. To date, no amounts are being presented as an uncertain tax position.</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may experience ownership changes as a result of subsequent shifts in our stock ownership.</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6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6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ind w:right="452"/>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r>
      <w:tr>
        <w:trPr>
          <w:trHeight w:val="263"/>
        </w:trPr>
        <w:tc>
          <w:tcPr>
            <w:tcW w:w="6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bottom w:val="single" w:sz="8" w:color="CFF0FC"/>
            </w:tcBorders>
            <w:shd w:val="clear" w:color="auto" w:fill="CFF0FC"/>
          </w:tcPr>
          <w:p>
            <w:pPr>
              <w:spacing w:after="0"/>
              <w:rPr>
                <w:sz w:val="22"/>
                <w:szCs w:val="22"/>
                <w:color w:val="auto"/>
              </w:rPr>
            </w:pPr>
          </w:p>
        </w:tc>
        <w:tc>
          <w:tcPr>
            <w:tcW w:w="1040" w:type="dxa"/>
            <w:vAlign w:val="bottom"/>
            <w:tcBorders>
              <w:top w:val="single" w:sz="8" w:color="auto"/>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top w:val="single" w:sz="8" w:color="auto"/>
              <w:bottom w:val="single" w:sz="8" w:color="CFF0FC"/>
            </w:tcBorders>
            <w:shd w:val="clear" w:color="auto" w:fill="CFF0FC"/>
          </w:tcPr>
          <w:p>
            <w:pPr>
              <w:spacing w:after="0"/>
              <w:rPr>
                <w:sz w:val="22"/>
                <w:szCs w:val="22"/>
                <w:color w:val="auto"/>
              </w:rPr>
            </w:pPr>
          </w:p>
        </w:tc>
        <w:tc>
          <w:tcPr>
            <w:tcW w:w="840" w:type="dxa"/>
            <w:vAlign w:val="bottom"/>
            <w:tcBorders>
              <w:top w:val="single" w:sz="8" w:color="auto"/>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CFF0FC"/>
            </w:tcBorders>
            <w:shd w:val="clear" w:color="auto" w:fill="CFF0FC"/>
          </w:tcPr>
          <w:p>
            <w:pPr>
              <w:spacing w:after="0"/>
              <w:rPr>
                <w:sz w:val="22"/>
                <w:szCs w:val="22"/>
                <w:color w:val="auto"/>
              </w:rPr>
            </w:pPr>
          </w:p>
        </w:tc>
        <w:tc>
          <w:tcPr>
            <w:tcW w:w="1060" w:type="dxa"/>
            <w:vAlign w:val="bottom"/>
            <w:tcBorders>
              <w:top w:val="single" w:sz="8" w:color="auto"/>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65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13,455</w:t>
            </w:r>
          </w:p>
        </w:tc>
        <w:tc>
          <w:tcPr>
            <w:tcW w:w="28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6,727</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6,728</w:t>
            </w:r>
          </w:p>
        </w:tc>
        <w:tc>
          <w:tcPr>
            <w:tcW w:w="100" w:type="dxa"/>
            <w:vAlign w:val="bottom"/>
          </w:tcPr>
          <w:p>
            <w:pPr>
              <w:spacing w:after="0"/>
              <w:rPr>
                <w:sz w:val="21"/>
                <w:szCs w:val="21"/>
                <w:color w:val="auto"/>
              </w:rPr>
            </w:pPr>
          </w:p>
        </w:tc>
      </w:tr>
      <w:tr>
        <w:trPr>
          <w:trHeight w:val="257"/>
        </w:trPr>
        <w:tc>
          <w:tcPr>
            <w:tcW w:w="6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4,995</w:t>
            </w:r>
          </w:p>
        </w:tc>
        <w:tc>
          <w:tcPr>
            <w:tcW w:w="28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65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18,450</w:t>
            </w:r>
          </w:p>
        </w:tc>
        <w:tc>
          <w:tcPr>
            <w:tcW w:w="2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7,949</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10,501</w:t>
            </w:r>
          </w:p>
        </w:tc>
        <w:tc>
          <w:tcPr>
            <w:tcW w:w="100" w:type="dxa"/>
            <w:vAlign w:val="bottom"/>
          </w:tcPr>
          <w:p>
            <w:pPr>
              <w:spacing w:after="0"/>
              <w:rPr>
                <w:sz w:val="21"/>
                <w:szCs w:val="21"/>
                <w:color w:val="auto"/>
              </w:rPr>
            </w:pPr>
          </w:p>
        </w:tc>
      </w:tr>
      <w:tr>
        <w:trPr>
          <w:trHeight w:val="256"/>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(18,450 )</w:t>
            </w:r>
          </w:p>
        </w:tc>
        <w:tc>
          <w:tcPr>
            <w:tcW w:w="54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(7,949 )</w:t>
            </w:r>
          </w:p>
        </w:tc>
        <w:tc>
          <w:tcPr>
            <w:tcW w:w="2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(10,501 )</w:t>
            </w:r>
          </w:p>
        </w:tc>
      </w:tr>
      <w:tr>
        <w:trPr>
          <w:trHeight w:val="250"/>
        </w:trPr>
        <w:tc>
          <w:tcPr>
            <w:tcW w:w="65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(104 )</w:t>
            </w:r>
          </w:p>
        </w:tc>
        <w:tc>
          <w:tcPr>
            <w:tcW w:w="54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(2,047 )</w:t>
            </w:r>
          </w:p>
        </w:tc>
        <w:tc>
          <w:tcPr>
            <w:tcW w:w="28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w:t>
            </w:r>
          </w:p>
        </w:tc>
        <w:tc>
          <w:tcPr>
            <w:tcW w:w="100" w:type="dxa"/>
            <w:vAlign w:val="bottom"/>
            <w:shd w:val="clear" w:color="auto" w:fill="CFF0FC"/>
          </w:tcPr>
          <w:p>
            <w:pPr>
              <w:spacing w:after="0"/>
              <w:rPr>
                <w:sz w:val="22"/>
                <w:szCs w:val="22"/>
                <w:color w:val="auto"/>
              </w:rPr>
            </w:pPr>
          </w:p>
        </w:tc>
      </w:tr>
      <w:tr>
        <w:trPr>
          <w:trHeight w:val="250"/>
        </w:trPr>
        <w:tc>
          <w:tcPr>
            <w:tcW w:w="65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r>
      <w:tr>
        <w:trPr>
          <w:trHeight w:val="263"/>
        </w:trPr>
        <w:tc>
          <w:tcPr>
            <w:tcW w:w="6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(8 )</w:t>
            </w:r>
          </w:p>
        </w:tc>
        <w:tc>
          <w:tcPr>
            <w:tcW w:w="28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22"/>
                <w:szCs w:val="22"/>
                <w:color w:val="auto"/>
              </w:rPr>
            </w:pPr>
          </w:p>
        </w:tc>
      </w:tr>
      <w:tr>
        <w:trPr>
          <w:trHeight w:val="250"/>
        </w:trPr>
        <w:tc>
          <w:tcPr>
            <w:tcW w:w="6540" w:type="dxa"/>
            <w:vAlign w:val="bottom"/>
          </w:tcPr>
          <w:p>
            <w:pPr>
              <w:ind w:left="200"/>
              <w:spacing w:after="0"/>
              <w:rPr>
                <w:sz w:val="20"/>
                <w:szCs w:val="20"/>
                <w:color w:val="auto"/>
              </w:rPr>
            </w:pPr>
            <w:r>
              <w:rPr>
                <w:rFonts w:ascii="Arial" w:cs="Arial" w:eastAsia="Arial" w:hAnsi="Arial"/>
                <w:sz w:val="18"/>
                <w:szCs w:val="18"/>
                <w:color w:val="auto"/>
              </w:rPr>
              <w:t>Other expense</w:t>
            </w:r>
          </w:p>
        </w:tc>
        <w:tc>
          <w:tcPr>
            <w:tcW w:w="3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(2 )</w:t>
            </w: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(2 )</w:t>
            </w: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and comprehensive loss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(18,551 )</w:t>
            </w:r>
          </w:p>
        </w:tc>
        <w:tc>
          <w:tcPr>
            <w:tcW w:w="5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(10,003 )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(8,548 )</w:t>
            </w:r>
          </w:p>
        </w:tc>
      </w:tr>
      <w:tr>
        <w:trPr>
          <w:trHeight w:val="20"/>
        </w:trPr>
        <w:tc>
          <w:tcPr>
            <w:tcW w:w="65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-1350645</wp:posOffset>
            </wp:positionV>
            <wp:extent cx="17970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-1350645</wp:posOffset>
            </wp:positionV>
            <wp:extent cx="16319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-1350645</wp:posOffset>
            </wp:positionV>
            <wp:extent cx="5969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17970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17970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1631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1631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Research and development expenses were $13.5 million for the three months ended September 30, 2021, compared to $6.7 million for the three months ended September 30, 2020. The increase of $6.8 million was primarily due to an increase in external research and development costs related to clinical trial activities of GEM103. In addition, research and development personnel costs were higher period over period, including stock-based compensation, due to an increase in headcount in our research and development function to support the advancement of our programs.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2"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General and administrative expenses were $5.0 million for the three months ended September 30, 2021, compared to $1.2 million for the three months ended September 30, 2020. The increase of $3.8 million was primarily due to higher personnel-related costs, including stock-based compensation, in support of organizational growth and higher legal and other professional fees incurred in connection with operating as a public company.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98" w:lineRule="exact"/>
        <w:rPr>
          <w:sz w:val="20"/>
          <w:szCs w:val="20"/>
          <w:color w:val="auto"/>
        </w:rPr>
      </w:pPr>
    </w:p>
    <w:p>
      <w:pPr>
        <w:jc w:val="both"/>
        <w:ind w:right="20"/>
        <w:spacing w:after="0" w:line="359" w:lineRule="auto"/>
        <w:rPr>
          <w:sz w:val="20"/>
          <w:szCs w:val="20"/>
          <w:color w:val="auto"/>
        </w:rPr>
      </w:pPr>
      <w:r>
        <w:rPr>
          <w:rFonts w:ascii="Arial" w:cs="Arial" w:eastAsia="Arial" w:hAnsi="Arial"/>
          <w:sz w:val="16"/>
          <w:szCs w:val="16"/>
          <w:color w:val="auto"/>
        </w:rPr>
        <w:t>Interest expense was $0.1 million for the three months ended September 30, 2021, compared to $2.0 million for the three months ended September 30, 2020. The decrease of $1.9 million is due to the accretion of the beneficial conversion feature discount recognized at the issuance date of the Notes.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6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6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452"/>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40"/>
        </w:trPr>
        <w:tc>
          <w:tcPr>
            <w:tcW w:w="6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7"/>
        </w:trPr>
        <w:tc>
          <w:tcPr>
            <w:tcW w:w="6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36,083</w:t>
            </w: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20,472</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15,611</w:t>
            </w:r>
          </w:p>
        </w:tc>
        <w:tc>
          <w:tcPr>
            <w:tcW w:w="100" w:type="dxa"/>
            <w:vAlign w:val="bottom"/>
            <w:shd w:val="clear" w:color="auto" w:fill="CFF0FC"/>
          </w:tcPr>
          <w:p>
            <w:pPr>
              <w:spacing w:after="0"/>
              <w:rPr>
                <w:sz w:val="22"/>
                <w:szCs w:val="22"/>
                <w:color w:val="auto"/>
              </w:rPr>
            </w:pPr>
          </w:p>
        </w:tc>
      </w:tr>
      <w:tr>
        <w:trPr>
          <w:trHeight w:val="250"/>
        </w:trPr>
        <w:tc>
          <w:tcPr>
            <w:tcW w:w="65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15,177</w:t>
            </w:r>
          </w:p>
        </w:tc>
        <w:tc>
          <w:tcPr>
            <w:tcW w:w="2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3,774</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11,403</w:t>
            </w:r>
          </w:p>
        </w:tc>
        <w:tc>
          <w:tcPr>
            <w:tcW w:w="100" w:type="dxa"/>
            <w:vAlign w:val="bottom"/>
          </w:tcPr>
          <w:p>
            <w:pPr>
              <w:spacing w:after="0"/>
              <w:rPr>
                <w:sz w:val="21"/>
                <w:szCs w:val="21"/>
                <w:color w:val="auto"/>
              </w:rPr>
            </w:pPr>
          </w:p>
        </w:tc>
      </w:tr>
      <w:tr>
        <w:trPr>
          <w:trHeight w:val="250"/>
        </w:trPr>
        <w:tc>
          <w:tcPr>
            <w:tcW w:w="65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51,260</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24,246</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65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(51,260 )</w:t>
            </w:r>
          </w:p>
        </w:tc>
        <w:tc>
          <w:tcPr>
            <w:tcW w:w="5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(24,246 )</w:t>
            </w:r>
          </w:p>
        </w:tc>
        <w:tc>
          <w:tcPr>
            <w:tcW w:w="2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(27,014 )</w:t>
            </w:r>
          </w:p>
        </w:tc>
      </w:tr>
      <w:tr>
        <w:trPr>
          <w:trHeight w:val="263"/>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65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(2,073 )</w:t>
            </w:r>
          </w:p>
        </w:tc>
        <w:tc>
          <w:tcPr>
            <w:tcW w:w="5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(2,307 )</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r>
      <w:tr>
        <w:trPr>
          <w:trHeight w:val="263"/>
        </w:trPr>
        <w:tc>
          <w:tcPr>
            <w:tcW w:w="6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(26 )</w:t>
            </w:r>
          </w:p>
        </w:tc>
      </w:tr>
      <w:tr>
        <w:trPr>
          <w:trHeight w:val="250"/>
        </w:trPr>
        <w:tc>
          <w:tcPr>
            <w:tcW w:w="6500" w:type="dxa"/>
            <w:vAlign w:val="bottom"/>
          </w:tcPr>
          <w:p>
            <w:pPr>
              <w:ind w:left="200"/>
              <w:spacing w:after="0"/>
              <w:rPr>
                <w:sz w:val="20"/>
                <w:szCs w:val="20"/>
                <w:color w:val="auto"/>
              </w:rPr>
            </w:pPr>
            <w:r>
              <w:rPr>
                <w:rFonts w:ascii="Arial" w:cs="Arial" w:eastAsia="Arial" w:hAnsi="Arial"/>
                <w:sz w:val="18"/>
                <w:szCs w:val="18"/>
                <w:color w:val="auto"/>
              </w:rPr>
              <w:t>Loss on conversion of convertible notes</w:t>
            </w:r>
          </w:p>
        </w:tc>
        <w:tc>
          <w:tcPr>
            <w:tcW w:w="3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(711 )</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(711 )</w:t>
            </w:r>
          </w:p>
        </w:tc>
      </w:tr>
      <w:tr>
        <w:trPr>
          <w:trHeight w:val="263"/>
        </w:trPr>
        <w:tc>
          <w:tcPr>
            <w:tcW w:w="6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(6 )</w:t>
            </w: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2"/>
                <w:szCs w:val="22"/>
                <w:color w:val="auto"/>
              </w:rPr>
            </w:pPr>
          </w:p>
        </w:tc>
      </w:tr>
      <w:tr>
        <w:trPr>
          <w:trHeight w:val="250"/>
        </w:trPr>
        <w:tc>
          <w:tcPr>
            <w:tcW w:w="6500" w:type="dxa"/>
            <w:vAlign w:val="bottom"/>
          </w:tcPr>
          <w:p>
            <w:pPr>
              <w:ind w:left="200"/>
              <w:spacing w:after="0"/>
              <w:rPr>
                <w:sz w:val="20"/>
                <w:szCs w:val="20"/>
                <w:color w:val="auto"/>
              </w:rPr>
            </w:pPr>
            <w:r>
              <w:rPr>
                <w:rFonts w:ascii="Arial" w:cs="Arial" w:eastAsia="Arial" w:hAnsi="Arial"/>
                <w:sz w:val="18"/>
                <w:szCs w:val="18"/>
                <w:color w:val="auto"/>
              </w:rPr>
              <w:t>Other expense</w:t>
            </w:r>
          </w:p>
        </w:tc>
        <w:tc>
          <w:tcPr>
            <w:tcW w:w="3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(13 )</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(13 )</w:t>
            </w:r>
          </w:p>
        </w:tc>
      </w:tr>
      <w:tr>
        <w:trPr>
          <w:trHeight w:val="20"/>
        </w:trPr>
        <w:tc>
          <w:tcPr>
            <w:tcW w:w="6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and comprehensive loss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(54,046 )</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(26,522 )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(27,524 )</w:t>
            </w:r>
          </w:p>
        </w:tc>
      </w:tr>
      <w:tr>
        <w:trPr>
          <w:trHeight w:val="20"/>
        </w:trPr>
        <w:tc>
          <w:tcPr>
            <w:tcW w:w="65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-1342390</wp:posOffset>
            </wp:positionV>
            <wp:extent cx="17970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-1342390</wp:posOffset>
            </wp:positionV>
            <wp:extent cx="16319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-1342390</wp:posOffset>
            </wp:positionV>
            <wp:extent cx="6858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1797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1797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1631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1631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Research and development expenses were $36.1 million for the nine months ended September 30, 2021, compared to $20.5 million for the nine months ended September 30, 2020. The increase of $15.6 million was primarily due to an increase in external research and development costs related to clinical trial activities of GEM103. In addition, research and development personnel costs were higher period over period, including stock-based compensation, due to an increase in headcount in our research and development function to support the advancement of our programs.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8"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General and administrative expenses were $15.2 million for the nine months ended September 30, 2021, compared to $3.8 million for the nine months ended September 30, 2020. The increase of $11.4 million was primarily due to higher personnel-related costs, including stock-based compensation, in support of organizational growth and higher legal and other professional fees incurred in connection with operating as a public company.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was $2.1 million for the nine months ended September 30, 2021, compared to $2.3 million for the nine months ended September 30, 2020.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decrease of $0.2 million is due to the accretion of the beneficial conversion feature discount recognized at the issuance date of the Notes.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conversion of convertible notes</w:t>
      </w:r>
    </w:p>
    <w:p>
      <w:pPr>
        <w:spacing w:after="0" w:line="19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loss on conversion of convertible notes was $0.7 million for the nine months ended September 30, 2021, compared to $0 for the nine months ended September 30, 2020. The increase reflects the difference between the reacquisition price of the Notes and the net carrying amount of the Notes at the time that the Notes converted into shares of Series B preferred stock immediately prior to the closing of the Business Combination.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 and capital</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Since inception, we have not generated any revenue from any product sales or any other sources and have incurred significant operating losses and negative cash flows from our operations. We have not yet commercialized any of our product candidates and do not expect to generate revenue from sales of any product candidates for several years, if at all. Prior to the Business Combination, we funded our operations to date primarily with proceeds from the sale of preferred stock, borrowings under convertible promissory notes and borrowings under loan agreements. Through September 30, 2021, we have received gross proceeds of $76.0 million from sales of our preferred stock, gross proceeds of $16.9 million from borrowings under convertible promissory notes and $10.0 million of cash proceeds from our term loan with SVB. In connection with the Business Combination, we received net proceeds of $195.9 million.</w:t>
      </w:r>
    </w:p>
    <w:p>
      <w:pPr>
        <w:spacing w:after="0" w:line="122"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As of September 30, 2021, we had cash and cash equivalents of $150.1 million. We have incurred operating losses and experienced negative operating cash flows since inception, and we anticipate that we will continue to incur losses for at least the foreseeable future. Our net losses totaled $54.0 million for the nine months ended September 30, 2021. As of September 30, 2021, we had an accumulated deficit of $166.9 million.</w:t>
      </w:r>
    </w:p>
    <w:p>
      <w:pPr>
        <w:spacing w:after="0" w:line="13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Continued cash generation is highly dependent on our ability to finance our operations through a combination of equity offerings, debt financings, collaboration arrangements and strategic transactions. Due to our significant research and development expenditures, we have experienced periods of negative cash flows from operations as we have yet to generate any revenue. For the nine months ended September 30, 2021, we experienced a loss from operations and negative cash flows from operations. We anticipate incurring operating losses and negative cash flows from operations for the foreseeable future, particularly as we move forward with our clinical-stage programs.</w:t>
      </w:r>
    </w:p>
    <w:p>
      <w:pPr>
        <w:spacing w:after="0" w:line="1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Until required for use in our business, we typically invest our cash in investments that are highly liquid, readily convertible to cash with original maturities of 90 days or less at the date of purchase. We attempt to minimize the risks related to our cash and cash equivalents by maintaining balances in accounts only with accredited financial institutions and, consequently, we do not believe we are subject to unusual credit risk beyond the normal credit risk associated with ordinary commercial banking relationships.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nine months ended September 30,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17145</wp:posOffset>
            </wp:positionV>
            <wp:extent cx="221170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5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4"/>
              </w:rPr>
              <w:t>(47,032 )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(23,855 )</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(61 )</w:t>
            </w:r>
          </w:p>
        </w:tc>
        <w:tc>
          <w:tcPr>
            <w:tcW w:w="38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(22 )</w:t>
            </w:r>
          </w:p>
        </w:tc>
      </w:tr>
      <w:tr>
        <w:trPr>
          <w:trHeight w:val="25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192,659</w:t>
            </w:r>
          </w:p>
        </w:tc>
        <w:tc>
          <w:tcPr>
            <w:tcW w:w="2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34,106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Net increase in cash, cash equivalents and restricted cash</w:t>
            </w: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145,566</w:t>
            </w:r>
          </w:p>
        </w:tc>
        <w:tc>
          <w:tcPr>
            <w:tcW w:w="280" w:type="dxa"/>
            <w:vAlign w:val="bottom"/>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10,229</w:t>
            </w:r>
          </w:p>
        </w:tc>
        <w:tc>
          <w:tcPr>
            <w:tcW w:w="100" w:type="dxa"/>
            <w:vAlign w:val="bottom"/>
          </w:tcPr>
          <w:p>
            <w:pPr>
              <w:spacing w:after="0"/>
              <w:rPr>
                <w:sz w:val="21"/>
                <w:szCs w:val="21"/>
                <w:color w:val="auto"/>
              </w:rPr>
            </w:pPr>
          </w:p>
        </w:tc>
      </w:tr>
      <w:tr>
        <w:trPr>
          <w:trHeight w:val="20"/>
        </w:trPr>
        <w:tc>
          <w:tcPr>
            <w:tcW w:w="7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-193675</wp:posOffset>
            </wp:positionV>
            <wp:extent cx="18034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do not generate any cash inflows from our operating activities. Our cash flows from operating activities are significantly influenced by our use of cash for operating expenses and working capital requirements to support the business. We have historically experienced negative cash flows from operating activities as we invested in developing our platform, drug discovery efforts and related infrastructure.</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nine months ended September 30, 2021, we used cash in operating activities of $47.0 million, reflecting a net loss of $54.0 million, partially offset by non-cash charges of $8.9 million and a net change of $1.8 million in our operating assets and liabilities. The non-cash charges consist primarily of $6.1 million of stock-based compensation expense, $1.6 million accretion of the discount on the Notes, $0.7 million of expense related to the conversion of the Notes and $0.3 million of non-cash interest expense. The net change in our operating assets and liabilities was primarily due to an increase in prepaid expenses and other current currents, other assets and accrued expenses and other current liabilities, partially offset by a decrease in deferred offering costs and accounts payable.</w:t>
      </w:r>
    </w:p>
    <w:p>
      <w:pPr>
        <w:spacing w:after="0" w:line="164"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During the nine months ended September 30, 2020, we used cash in operating activities of $23.9 million, reflecting a net loss of $26.5 million and a decrease in accounts payable, partially offset by a decrease in prepaid expenses and other assets.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During each of the nine months ended September 30, 2021 and 2020, we used cash in investing activities of less than $0.1 million, consisting of purchases of laboratory equipment.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Financing activities</w:t>
      </w:r>
    </w:p>
    <w:p>
      <w:pPr>
        <w:spacing w:after="0" w:line="212"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During the nine months ended September 30, 2021, net cash provided by financing activities was $192.7 million, consisting primarily of $195.9 million of net proceeds received in connection with the Business Combination, partially offset by principal payments made on our term loan.</w:t>
      </w:r>
    </w:p>
    <w:p>
      <w:pPr>
        <w:spacing w:after="0" w:line="107" w:lineRule="exact"/>
        <w:rPr>
          <w:sz w:val="20"/>
          <w:szCs w:val="20"/>
          <w:color w:val="auto"/>
        </w:rPr>
      </w:pPr>
    </w:p>
    <w:p>
      <w:pPr>
        <w:jc w:val="both"/>
        <w:ind w:right="20"/>
        <w:spacing w:after="0" w:line="324" w:lineRule="auto"/>
        <w:rPr>
          <w:sz w:val="20"/>
          <w:szCs w:val="20"/>
          <w:color w:val="auto"/>
        </w:rPr>
      </w:pPr>
      <w:r>
        <w:rPr>
          <w:rFonts w:ascii="Arial" w:cs="Arial" w:eastAsia="Arial" w:hAnsi="Arial"/>
          <w:sz w:val="17"/>
          <w:szCs w:val="17"/>
          <w:color w:val="auto"/>
        </w:rPr>
        <w:t>During the nine months ended September 30, 2020, net cash provided by financing activities was $34.1 million, consisting primarily of $20.1 million of proceeds from the issuance of our Series B preferred stock and $14.0 million of proceeds from the issuance of the convertible promissory notes.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primary use of cash is to fund operating expenses, primarily related to our research and development activities. Cash used to fund operating expenses is impacted by the timing of when we pay these expenses, as reflected in the change in our outstanding accounts payable, accrued expenses and prepaid expenses.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We expect our expenses to remain consistent in 2022 compared to 2021 as we advance the preclinical activities and clinical trials of our product candidates.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amount of our operating expenditures will depend largely on our ability to:</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advance preclinical development of our early-stage programs and clinical trials of our product candidates;</w:t>
      </w:r>
    </w:p>
    <w:p>
      <w:pPr>
        <w:spacing w:after="0" w:line="212"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manufacture, or have manufactured on our behalf, including sourcing raw materials, our preclinical and clinical drug material and develop processes for late stage and commercial manufacturing;</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seek regulatory approvals for any product candidates that successfully complete clinical trials;</w:t>
      </w:r>
    </w:p>
    <w:p>
      <w:pPr>
        <w:spacing w:after="0" w:line="198"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establish a sales, marketing, medical affairs and distribution infrastructure to commercialize any product candidates for which we may obtain marketing approval and intend to commercialize on our own;</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maintain and protect our intellectual property portfolio;</w:t>
      </w:r>
    </w:p>
    <w:p>
      <w:pPr>
        <w:spacing w:after="0" w:line="198"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manage the costs of preparing, filing and prosecuting patent applications, maintaining and protecting our intellectual property rights, including enforcing and defending intellectual property related claims;</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manage the costs of operating as a public company; and</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realize the anticipated benefits of our restructuring plan.</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50"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As of September 30, 2021, we had cash and cash equivalents of $150.1 million. We believe that our cash and cash equivalents will enable us to fund our operating expenses and capital expenditure requirements into the second half of 2023. We have based this estimate on assumptions that may prove to be wrong, and we could utilize our available capital resources sooner than we expect.</w:t>
      </w:r>
    </w:p>
    <w:p>
      <w:pPr>
        <w:spacing w:after="0" w:line="15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Until such time as we can generate substantial product revenue, if ever,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pharmaceutical product candidates, we are unable to estimate the exact amount of our working capital requirements. Our future funding requirements will depend on and could increase significantly as a result of many factors, including:</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scope, progress, results and costs of researching and developing our product candidates, and conducting preclinical and clinical trials;</w:t>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costs, timing and outcome of regulatory review of our product candidates;</w:t>
      </w:r>
    </w:p>
    <w:p>
      <w:pPr>
        <w:spacing w:after="0" w:line="212"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the costs, timing and ability to manufacture our product candidates to supply our clinical and preclinical development efforts and our clinical trials;</w:t>
      </w:r>
    </w:p>
    <w:p>
      <w:pPr>
        <w:spacing w:after="0" w:line="129"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costs of raw materials and manufacturing commercial-grade product and necessary inventory to support commercial launch;</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ability to receive additional non-dilutive funding, including grants from organizations and foundations;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revenue, if any, received from commercial sale of our products, should any of our product candidates receive marketing approval;</w:t>
      </w:r>
    </w:p>
    <w:p>
      <w:pPr>
        <w:spacing w:after="0" w:line="210"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the costs of preparing, filing and prosecuting patent applications, obtaining, maintaining, expanding and enforcing our intellectual property rights and defending intellectual property-related claims;</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establish and maintain collaborations on favorable terms, if at all; and</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extent to which we acquire or in-license other product candidates and technologies.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generally accepted accounting principles in the United States (“GAAP”). The preparation of our financial statements and related disclosures requires us to make estimates and judgments that affect the reported amounts of assets, liabilities, costs and expenses.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76"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While our significant accounting policies are described in more detail in Note 4 to the unaudited condensed consolidated financial statements appearing elsewhere in this Quarterly Report on Form 10-Q, we believe that the following accounting policies are those most critical to the judgments and estimates used in the preparation of our condensed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As part of the process of preparing our condensed consolidated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condensed consolidated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vendors, including research laboratories, in connection with preclinical development activities;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CROs and investigative sites in connection with preclinical studies and clinical trials; and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 w:name="page37"/>
    <w:bookmarkEnd w:id="36"/>
    <w:p>
      <w:pPr>
        <w:ind w:left="700"/>
        <w:spacing w:after="0"/>
        <w:rPr>
          <w:sz w:val="20"/>
          <w:szCs w:val="20"/>
          <w:color w:val="auto"/>
        </w:rPr>
      </w:pPr>
      <w:r>
        <w:rPr>
          <w:rFonts w:ascii="Arial" w:cs="Arial" w:eastAsia="Arial" w:hAnsi="Arial"/>
          <w:sz w:val="18"/>
          <w:szCs w:val="18"/>
          <w:color w:val="auto"/>
        </w:rPr>
        <w:t>CMOs in connection with drug substance and drug product formulation of preclinical studies and clinical trial materials.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our estimated accruals have not differed materially from actual costs incurred.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measure all stock-based awards granted to employees, directors and non-employees based on the fair value on the date of grant and recognize compensation expense of those awards over the requisite service period, which is generally the vesting period of the respective award. Forfeitures are accounted for as they occur. We grant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We estimate the probability that certain performance criteria will be met and do not recognize compensation expense until it is probable that the performance-based vesting condition will be achieved.</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classify stock-based compensation expense in our consolidated statements of operations and comprehensive loss in the same manner in which the award recipient’s payroll costs are classified or in which the award recipient’s service payments are classified.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 Preferred and Common Stock</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Prior to the completion of the Business Combination, given there had been no public market for our common stock, the estimated fair value of our common stock was determined by our most recently available third-party valuations of common stock. These third-party valuations were performed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Our common stock valuations were prepared using an option pricing method ("OPM") or a hybrid</w:t>
      </w:r>
      <w:r>
        <w:rPr>
          <w:rFonts w:ascii="Arial" w:cs="Arial" w:eastAsia="Arial" w:hAnsi="Arial"/>
          <w:sz w:val="16"/>
          <w:szCs w:val="16"/>
          <w:i w:val="1"/>
          <w:iCs w:val="1"/>
          <w:color w:val="auto"/>
        </w:rPr>
        <w:t xml:space="preserve"> </w:t>
      </w:r>
      <w:r>
        <w:rPr>
          <w:rFonts w:ascii="Arial" w:cs="Arial" w:eastAsia="Arial" w:hAnsi="Arial"/>
          <w:sz w:val="16"/>
          <w:szCs w:val="16"/>
          <w:color w:val="auto"/>
        </w:rPr>
        <w:t>method, both of which used market approaches to estimate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("PWERM") where the equity value in one or more scenarios is calculated using an OPM. The PWERM is a scenario-based methodology that estimates the fair value of our common stock based upon an analysis of our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There are significant judgments and estimates inherent in the determination of the fair value of our common stock. These estimates and assumptions include a number of objective and subjective factors, including external market conditions, the prices at which we sold shares of preferred securities, the superior rights and preferences of securities senior to the common securities at the time of, and the likelihood of, achieving a liquidity event, such as an initial public offering or sale. Significant changes to the key assumptions used in the valuations could result in different fair values of common stock at each valuation date.</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Subsequent to the closing of the Business Combination, the fair value of each share of common stock underlying stock-based awards is determined based on the closing price of our common stock as reported by Nasdaq on the date of grant.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 Stock Option Awards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fair value of each restricted common stock award is estimated on the date of grant based on the fair value of our common stock on that same date. The fair value of each option grant is estimated on the date of grant using the Black-Scholes option pricing model, which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7" w:name="page38"/>
    <w:bookmarkEnd w:id="37"/>
    <w:p>
      <w:pPr>
        <w:jc w:val="both"/>
        <w:ind w:right="20"/>
        <w:spacing w:after="0" w:line="293" w:lineRule="auto"/>
        <w:rPr>
          <w:sz w:val="20"/>
          <w:szCs w:val="20"/>
          <w:color w:val="auto"/>
        </w:rPr>
      </w:pPr>
      <w:r>
        <w:rPr>
          <w:rFonts w:ascii="Arial" w:cs="Arial" w:eastAsia="Arial" w:hAnsi="Arial"/>
          <w:sz w:val="18"/>
          <w:szCs w:val="18"/>
          <w:color w:val="auto"/>
        </w:rPr>
        <w:t>requires inputs based on certain subjective assumptions, including the expected stock price volatility, the expected term of the award, the risk-free interest rate and expected dividends.</w:t>
      </w:r>
    </w:p>
    <w:p>
      <w:pPr>
        <w:spacing w:after="0" w:line="183"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Prior to the Business Combination, we were a private company and, therefore, lack company-specific historical and implied volatility information for our common stock. Therefore, we estimated our expected stock price volatility based on the historical volatility of publicly traded peer companies and expect to continue to do so until such time as we have adequate historical data regarding the volatility of our own traded stock price. The expected term of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unaudited condensed consolidated financial statements included elsewhere in this Quarterly Report on Form 10-Q for information regarding recently issued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202"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are an “emerging growth company,” as defined in the Jumpstart Our Business Startups Act of 2012 ("JOBS Act"), and we may take advantage of certain exemptions from various reporting requirements that are applicable to other public companies that are not emerging growth companies. We may take advantage of these exemptions until we are no longer an emerging growth company under Section 107 of the JOBS Act, which provides that an emerging growth company can take advantage of the extended transition period afforded by the JOBS Act for the implementation of new or revised accounting standards. We have elected to avail ourselves of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We will remain an emerging growth company until the earlier of</w:t>
      </w:r>
    </w:p>
    <w:p>
      <w:pPr>
        <w:spacing w:after="0" w:line="3" w:lineRule="exact"/>
        <w:rPr>
          <w:sz w:val="20"/>
          <w:szCs w:val="20"/>
          <w:color w:val="auto"/>
        </w:rPr>
      </w:pPr>
    </w:p>
    <w:p>
      <w:pPr>
        <w:jc w:val="both"/>
        <w:ind w:firstLine="8"/>
        <w:spacing w:after="0" w:line="274" w:lineRule="auto"/>
        <w:tabs>
          <w:tab w:leader="none" w:pos="26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last day of the fiscal year (a) following the fifth anniversary of the closing of our initial public offering, (b) in which we have total annual gross revenue of at least $1.07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 $100 million during such completed fiscal year and the market value of our common stock held by non-affiliates exceeds $700 million as of the prior June 30.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are a smaller reporting company as defined by Rule 12b-2 of the Exchange Act and Item 10(f)(1) of Regulation S-K. As such, we are not required to provide the information set forth in this item.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2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September 30, 2021, our principal executive officer and principal financial officer, after evaluating the effectiveness of our “disclosure controls and procedures” (as defined in the Exchange Act Rule 13a-15(e) or Rule 15d-15(e)), with the participation of our management, have each concluded that, as of the end of the period covered by this Quarterly Report on Form 10-Q, our disclosure controls and procedures were effective and were designed to ensure that information we are required to disclose in the reports that we file or submit under the Securities Exchange Act of 1934, as amended,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Securities and Exchange Commission rules and forms. It should be noted that any system of controls is designed to provide reasonable, but not absolute, assurances that the system will achieve its stated goals under all reasonably foreseeable circumstances. Our principal executive officer and principal financial officer have each concluded that our disclosure controls and procedures as of September 30, 2021 are effective at a level that provides such reasonable assurances.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There were no changes in internal control over financial reporting (as such term is defined in Exchange Act Rules 13a-15(f) and 15d-15(f)) that occurred during the three months ended September 30, 2021 that have materially affected, or that are reasonably likely to materially affect, our internal control over financial reporting.</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The matters discussed in this Quarterly Report on Form 10-Q include forward-looking statements that involve risks or uncertainties. These statements are neither promises nor guarantees, but are based on various assumptions by management regarding future circumstances, over many of which we have little or no control. A number of important risks and uncertainties, including those identified under the caption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 Item 1A of our Annual Report on Form 10-K for the period ended December 31, 2020 and under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in our Form 8-K/A as filed with the SEC on March 29, 2021 and in subsequent filings, could cause our actual results to differ materially from those in the forward-looking statements. There are no material changes to the risk factors described in our Annual Report on Form 10-K for the period ended December 31, 2020 and our Form 8-K/A as filed with the SEC on March 29, 2021. We may disclose changes to such factors or disclose additional factors from time to time in our future filings with the SEC.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Recent Sales of Unregistered Equity Securities and Use of Proceeds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Issuer Purchases of Equity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Georges Gemayel</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Effective as of November 15, 2021, the Company entered into an employment agreement (the “Employment Agreement”) with the Company’s current Executive Chair of the Company’s board of directors (the “Board”), Georges Gemayel, Ph.D. Biographical information regarding Dr. Gemayel is contained in and incorporated herein by reference from the Company’s definitive proxy statement filed with the Securities and Exchange Commission on August 17, 2021.</w:t>
      </w:r>
    </w:p>
    <w:p>
      <w:pPr>
        <w:spacing w:after="0" w:line="199"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Pursuant to the Employment Agreement, Dr. Gemayel shall serve as an employee of the Company. The employment of Dr. Gemayel is “at will” and the Company may terminate the Employment Agreement for any reason or no reason and Dr. Gemayel may voluntarily resign for any reason or no reason.</w:t>
      </w:r>
    </w:p>
    <w:p>
      <w:pPr>
        <w:spacing w:after="0" w:line="13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Pursuant to the Employment Agreement, Dr. Gemayel is entitled to receive: (i) a base salary of $300,000 (it being agreed that such fee shall be inclusive of any fees associated with Dr. Gemayel’s services as both a director of the Company and in the capacity of Executive Chair) and (ii) a one-time sign-on bonus equal to $63,300. Under the terms of the Employment Agreement, Dr. Gemayel is eligible to participate in any annual bonus programs as may be established from time to time by the Board. In addition, subject to Board approval, Dr. Gemayel is eligible to receive (a) a stock option to purchase 23,514 shares of Common Stock at an exercise price per share equal to the closing price of the Common Stock on the Nasdaq Global Market on the date of grant following the effective date of the Employment Agreement, which will vest on August 5, 2022; (b) a stock option to purchase 17,245 shares of Common Stock at an exercise price per share equal to the closing price of the Common Stock on the Nasdaq Global Market on the date of grant following the effective date of the Employment Agreement, which will vest on the earlier of the one-year anniversary of the grant date and the Company’s next annual meeting of stockholders, (c) a stock option to purchase 793,274 shares of Common Stock, which shall be granted on January 3, 2022, at an exercise price per share equal to the closing price of the Common Stock on the Nasdaq Global Market on the date of grant, which will vest 50% on August 5, 2022 and the remaining 50% on August 5, 2023, and (d) an annual equity award for an option to purchase such number of shares of Common Stock equal to 0.16% of the then issued and outstanding shares of the Company, which shall vest on the earlier of the one-year anniversary of the grant date and the Company’s next annual meeting of stockholders, with respect to each</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jc w:val="both"/>
        <w:spacing w:after="0" w:line="279" w:lineRule="auto"/>
        <w:rPr>
          <w:sz w:val="20"/>
          <w:szCs w:val="20"/>
          <w:color w:val="auto"/>
        </w:rPr>
      </w:pPr>
      <w:r>
        <w:rPr>
          <w:rFonts w:ascii="Arial" w:cs="Arial" w:eastAsia="Arial" w:hAnsi="Arial"/>
          <w:sz w:val="18"/>
          <w:szCs w:val="18"/>
          <w:color w:val="auto"/>
        </w:rPr>
        <w:t>such equity grant, subject to Dr. Gemayel’s continued service relationship with the Company on each such vesting date. The foregoing description of the Employment Agreement is a summary and is qualified in its entirety by reference to the Employment Agreement, which is attached hereto as Exhibit 10.2 and is incorporated by reference herein.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Exhibits </w:t>
      </w:r>
      <w:r>
        <w:rPr>
          <w:rFonts w:ascii="Arial" w:cs="Arial" w:eastAsia="Arial" w:hAnsi="Arial"/>
          <w:sz w:val="18"/>
          <w:szCs w:val="18"/>
          <w:b w:val="1"/>
          <w:bCs w:val="1"/>
          <w:color w:val="auto"/>
        </w:rPr>
        <w:t>Registration No. 333-249785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40" w:type="dxa"/>
            <w:vAlign w:val="bottom"/>
          </w:tcPr>
          <w:p>
            <w:pPr>
              <w:jc w:val="right"/>
              <w:ind w:right="152"/>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8620" w:type="dxa"/>
            <w:vAlign w:val="bottom"/>
            <w:tcBorders>
              <w:bottom w:val="single" w:sz="8" w:color="auto"/>
            </w:tcBorders>
            <w:gridSpan w:val="12"/>
          </w:tcPr>
          <w:p>
            <w:pPr>
              <w:ind w:left="316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940" w:type="dxa"/>
            <w:vAlign w:val="bottom"/>
          </w:tcPr>
          <w:p>
            <w:pPr>
              <w:jc w:val="right"/>
              <w:ind w:right="4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tcBorders>
              <w:bottom w:val="single" w:sz="8" w:color="0563C1"/>
            </w:tcBorders>
            <w:gridSpan w:val="11"/>
          </w:tcPr>
          <w:p>
            <w:pPr>
              <w:spacing w:after="0"/>
              <w:rPr>
                <w:rFonts w:ascii="Arial" w:cs="Arial" w:eastAsia="Arial" w:hAnsi="Arial"/>
                <w:sz w:val="18"/>
                <w:szCs w:val="18"/>
                <w:color w:val="0563C1"/>
                <w:w w:val="91"/>
              </w:rPr>
            </w:pPr>
            <w:hyperlink r:id="rId227">
              <w:r>
                <w:rPr>
                  <w:rFonts w:ascii="Arial" w:cs="Arial" w:eastAsia="Arial" w:hAnsi="Arial"/>
                  <w:sz w:val="18"/>
                  <w:szCs w:val="18"/>
                  <w:color w:val="0563C1"/>
                  <w:w w:val="91"/>
                </w:rPr>
                <w:t>Amended and Restated Articles of Incorporation of Gemini Therapeutics, Inc. (incorporated by reference to Annex B to the Registrant’s</w:t>
              </w:r>
            </w:hyperlink>
          </w:p>
        </w:tc>
        <w:tc>
          <w:tcPr>
            <w:tcW w:w="340" w:type="dxa"/>
            <w:vAlign w:val="bottom"/>
            <w:gridSpan w:val="2"/>
          </w:tcPr>
          <w:p>
            <w:pPr>
              <w:spacing w:after="0"/>
              <w:rPr>
                <w:sz w:val="24"/>
                <w:szCs w:val="24"/>
                <w:color w:val="auto"/>
              </w:rPr>
            </w:pPr>
          </w:p>
        </w:tc>
      </w:tr>
      <w:tr>
        <w:trPr>
          <w:trHeight w:val="210"/>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60" w:type="dxa"/>
            <w:vAlign w:val="bottom"/>
            <w:tcBorders>
              <w:bottom w:val="single" w:sz="8" w:color="0563C1"/>
            </w:tcBorders>
            <w:gridSpan w:val="4"/>
          </w:tcPr>
          <w:p>
            <w:pPr>
              <w:spacing w:after="0"/>
              <w:rPr>
                <w:rFonts w:ascii="Arial" w:cs="Arial" w:eastAsia="Arial" w:hAnsi="Arial"/>
                <w:sz w:val="18"/>
                <w:szCs w:val="18"/>
                <w:color w:val="0563C1"/>
                <w:w w:val="90"/>
              </w:rPr>
            </w:pPr>
            <w:hyperlink r:id="rId227">
              <w:r>
                <w:rPr>
                  <w:rFonts w:ascii="Arial" w:cs="Arial" w:eastAsia="Arial" w:hAnsi="Arial"/>
                  <w:sz w:val="18"/>
                  <w:szCs w:val="18"/>
                  <w:color w:val="0563C1"/>
                  <w:w w:val="90"/>
                </w:rPr>
                <w:t>Proxy Statement/Prospectus on Form S-4 (Registration No. 333-249785)).</w:t>
              </w:r>
            </w:hyperlink>
          </w:p>
        </w:tc>
        <w:tc>
          <w:tcPr>
            <w:tcW w:w="4820" w:type="dxa"/>
            <w:vAlign w:val="bottom"/>
            <w:gridSpan w:val="9"/>
          </w:tcPr>
          <w:p>
            <w:pPr>
              <w:spacing w:after="0"/>
              <w:rPr>
                <w:sz w:val="18"/>
                <w:szCs w:val="18"/>
                <w:color w:val="auto"/>
              </w:rPr>
            </w:pPr>
          </w:p>
        </w:tc>
      </w:tr>
      <w:tr>
        <w:trPr>
          <w:trHeight w:val="223"/>
        </w:trPr>
        <w:tc>
          <w:tcPr>
            <w:tcW w:w="940" w:type="dxa"/>
            <w:vAlign w:val="bottom"/>
          </w:tcPr>
          <w:p>
            <w:pPr>
              <w:jc w:val="right"/>
              <w:ind w:right="4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40" w:type="dxa"/>
            <w:vAlign w:val="bottom"/>
            <w:tcBorders>
              <w:bottom w:val="single" w:sz="8" w:color="0563C1"/>
            </w:tcBorders>
            <w:gridSpan w:val="7"/>
          </w:tcPr>
          <w:p>
            <w:pPr>
              <w:spacing w:after="0"/>
              <w:rPr>
                <w:rFonts w:ascii="Arial" w:cs="Arial" w:eastAsia="Arial" w:hAnsi="Arial"/>
                <w:sz w:val="18"/>
                <w:szCs w:val="18"/>
                <w:color w:val="0563C1"/>
                <w:w w:val="91"/>
              </w:rPr>
            </w:pPr>
            <w:hyperlink r:id="rId227">
              <w:r>
                <w:rPr>
                  <w:rFonts w:ascii="Arial" w:cs="Arial" w:eastAsia="Arial" w:hAnsi="Arial"/>
                  <w:sz w:val="18"/>
                  <w:szCs w:val="18"/>
                  <w:color w:val="0563C1"/>
                  <w:w w:val="91"/>
                </w:rPr>
                <w:t>Amended and Restated By-laws of Gemini Therapeutics, Inc. (incorporated by reference to Annex C to the Registrant’s Proxy</w:t>
              </w:r>
            </w:hyperlink>
          </w:p>
        </w:tc>
        <w:tc>
          <w:tcPr>
            <w:tcW w:w="1040" w:type="dxa"/>
            <w:vAlign w:val="bottom"/>
            <w:gridSpan w:val="6"/>
          </w:tcPr>
          <w:p>
            <w:pPr>
              <w:spacing w:after="0"/>
              <w:rPr>
                <w:sz w:val="19"/>
                <w:szCs w:val="19"/>
                <w:color w:val="auto"/>
              </w:rPr>
            </w:pPr>
          </w:p>
        </w:tc>
      </w:tr>
      <w:tr>
        <w:trPr>
          <w:trHeight w:val="210"/>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80" w:type="dxa"/>
            <w:vAlign w:val="bottom"/>
            <w:tcBorders>
              <w:bottom w:val="single" w:sz="8" w:color="0563C1"/>
            </w:tcBorders>
            <w:gridSpan w:val="2"/>
          </w:tcPr>
          <w:p>
            <w:pPr>
              <w:spacing w:after="0"/>
              <w:rPr>
                <w:rFonts w:ascii="Arial" w:cs="Arial" w:eastAsia="Arial" w:hAnsi="Arial"/>
                <w:sz w:val="18"/>
                <w:szCs w:val="18"/>
                <w:color w:val="0563C1"/>
                <w:w w:val="89"/>
              </w:rPr>
            </w:pPr>
            <w:hyperlink r:id="rId227">
              <w:r>
                <w:rPr>
                  <w:rFonts w:ascii="Arial" w:cs="Arial" w:eastAsia="Arial" w:hAnsi="Arial"/>
                  <w:sz w:val="18"/>
                  <w:szCs w:val="18"/>
                  <w:color w:val="0563C1"/>
                  <w:w w:val="89"/>
                </w:rPr>
                <w:t>Statement/Prospectus on Form S-4 (Registration No. 333-249785)).</w:t>
              </w:r>
            </w:hyperlink>
          </w:p>
        </w:tc>
        <w:tc>
          <w:tcPr>
            <w:tcW w:w="5300" w:type="dxa"/>
            <w:vAlign w:val="bottom"/>
            <w:gridSpan w:val="11"/>
          </w:tcPr>
          <w:p>
            <w:pPr>
              <w:spacing w:after="0"/>
              <w:rPr>
                <w:sz w:val="18"/>
                <w:szCs w:val="18"/>
                <w:color w:val="auto"/>
              </w:rPr>
            </w:pPr>
          </w:p>
        </w:tc>
      </w:tr>
      <w:tr>
        <w:trPr>
          <w:trHeight w:val="223"/>
        </w:trPr>
        <w:tc>
          <w:tcPr>
            <w:tcW w:w="940" w:type="dxa"/>
            <w:vAlign w:val="bottom"/>
          </w:tcPr>
          <w:p>
            <w:pPr>
              <w:jc w:val="right"/>
              <w:ind w:right="4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80" w:type="dxa"/>
            <w:vAlign w:val="bottom"/>
            <w:tcBorders>
              <w:bottom w:val="single" w:sz="8" w:color="0563C1"/>
            </w:tcBorders>
            <w:gridSpan w:val="12"/>
          </w:tcPr>
          <w:p>
            <w:pPr>
              <w:spacing w:after="0"/>
              <w:rPr>
                <w:rFonts w:ascii="Arial" w:cs="Arial" w:eastAsia="Arial" w:hAnsi="Arial"/>
                <w:sz w:val="18"/>
                <w:szCs w:val="18"/>
                <w:color w:val="0563C1"/>
                <w:w w:val="92"/>
              </w:rPr>
            </w:pPr>
            <w:hyperlink r:id="rId228">
              <w:r>
                <w:rPr>
                  <w:rFonts w:ascii="Arial" w:cs="Arial" w:eastAsia="Arial" w:hAnsi="Arial"/>
                  <w:sz w:val="18"/>
                  <w:szCs w:val="18"/>
                  <w:color w:val="0563C1"/>
                  <w:w w:val="92"/>
                </w:rPr>
                <w:t>Form of Specimen Common Stock Certificate (incorporated by reference to Exhibit 4.1 to Form S-4/A (Registration No. 333-249785) filed</w:t>
              </w:r>
            </w:hyperlink>
          </w:p>
        </w:tc>
        <w:tc>
          <w:tcPr>
            <w:tcW w:w="100" w:type="dxa"/>
            <w:vAlign w:val="bottom"/>
          </w:tcPr>
          <w:p>
            <w:pPr>
              <w:spacing w:after="0"/>
              <w:rPr>
                <w:sz w:val="19"/>
                <w:szCs w:val="19"/>
                <w:color w:val="auto"/>
              </w:rPr>
            </w:pPr>
          </w:p>
        </w:tc>
      </w:tr>
      <w:tr>
        <w:trPr>
          <w:trHeight w:val="210"/>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3"/>
          </w:tcPr>
          <w:p>
            <w:pPr>
              <w:spacing w:after="0"/>
              <w:rPr>
                <w:rFonts w:ascii="Arial" w:cs="Arial" w:eastAsia="Arial" w:hAnsi="Arial"/>
                <w:sz w:val="18"/>
                <w:szCs w:val="18"/>
                <w:color w:val="0563C1"/>
              </w:rPr>
            </w:pPr>
            <w:hyperlink r:id="rId228">
              <w:r>
                <w:rPr>
                  <w:rFonts w:ascii="Arial" w:cs="Arial" w:eastAsia="Arial" w:hAnsi="Arial"/>
                  <w:sz w:val="18"/>
                  <w:szCs w:val="18"/>
                  <w:color w:val="0563C1"/>
                </w:rPr>
                <w:t>on January 19, 2021).</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shd w:val="clear" w:color="auto" w:fill="0563C1"/>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223"/>
        </w:trPr>
        <w:tc>
          <w:tcPr>
            <w:tcW w:w="940" w:type="dxa"/>
            <w:vAlign w:val="bottom"/>
          </w:tcPr>
          <w:p>
            <w:pPr>
              <w:jc w:val="right"/>
              <w:ind w:right="33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540" w:type="dxa"/>
            <w:vAlign w:val="bottom"/>
            <w:tcBorders>
              <w:bottom w:val="single" w:sz="8" w:color="0563C1"/>
            </w:tcBorders>
            <w:gridSpan w:val="5"/>
          </w:tcPr>
          <w:p>
            <w:pPr>
              <w:spacing w:after="0"/>
              <w:rPr>
                <w:rFonts w:ascii="Arial" w:cs="Arial" w:eastAsia="Arial" w:hAnsi="Arial"/>
                <w:sz w:val="18"/>
                <w:szCs w:val="18"/>
                <w:color w:val="0563C1"/>
                <w:w w:val="89"/>
              </w:rPr>
            </w:pPr>
            <w:hyperlink w:anchor="page44">
              <w:r>
                <w:rPr>
                  <w:rFonts w:ascii="Arial" w:cs="Arial" w:eastAsia="Arial" w:hAnsi="Arial"/>
                  <w:sz w:val="18"/>
                  <w:szCs w:val="18"/>
                  <w:color w:val="0563C1"/>
                  <w:w w:val="89"/>
                </w:rPr>
                <w:t>Retention Agreement, dated as of October 4, 2021, by and between Gemini Therapeutics, Inc. and Dr. Samuel Barone.</w:t>
              </w:r>
            </w:hyperlink>
          </w:p>
        </w:tc>
        <w:tc>
          <w:tcPr>
            <w:tcW w:w="1640" w:type="dxa"/>
            <w:vAlign w:val="bottom"/>
            <w:gridSpan w:val="8"/>
          </w:tcPr>
          <w:p>
            <w:pPr>
              <w:spacing w:after="0"/>
              <w:rPr>
                <w:sz w:val="19"/>
                <w:szCs w:val="19"/>
                <w:color w:val="auto"/>
              </w:rPr>
            </w:pPr>
          </w:p>
        </w:tc>
      </w:tr>
      <w:tr>
        <w:trPr>
          <w:trHeight w:val="223"/>
        </w:trPr>
        <w:tc>
          <w:tcPr>
            <w:tcW w:w="940" w:type="dxa"/>
            <w:vAlign w:val="bottom"/>
          </w:tcPr>
          <w:p>
            <w:pPr>
              <w:jc w:val="right"/>
              <w:ind w:right="33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80" w:type="dxa"/>
            <w:vAlign w:val="bottom"/>
            <w:gridSpan w:val="13"/>
          </w:tcPr>
          <w:p>
            <w:pPr>
              <w:spacing w:after="0"/>
              <w:rPr>
                <w:rFonts w:ascii="Arial" w:cs="Arial" w:eastAsia="Arial" w:hAnsi="Arial"/>
                <w:sz w:val="18"/>
                <w:szCs w:val="18"/>
                <w:color w:val="0563C1"/>
                <w:w w:val="93"/>
              </w:rPr>
            </w:pPr>
            <w:hyperlink w:anchor="page57">
              <w:r>
                <w:rPr>
                  <w:rFonts w:ascii="Arial" w:cs="Arial" w:eastAsia="Arial" w:hAnsi="Arial"/>
                  <w:sz w:val="18"/>
                  <w:szCs w:val="18"/>
                  <w:color w:val="0563C1"/>
                  <w:w w:val="93"/>
                </w:rPr>
                <w:t>Executive Chairman Agreement, dated as of November 15, 2021, by and between Gemini Therapeutics, Inc. and Dr. Georges Gemayel.</w:t>
              </w:r>
            </w:hyperlink>
          </w:p>
        </w:tc>
      </w:tr>
      <w:tr>
        <w:trPr>
          <w:trHeight w:val="223"/>
        </w:trPr>
        <w:tc>
          <w:tcPr>
            <w:tcW w:w="940" w:type="dxa"/>
            <w:vAlign w:val="bottom"/>
          </w:tcPr>
          <w:p>
            <w:pPr>
              <w:jc w:val="right"/>
              <w:ind w:right="332"/>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60" w:type="dxa"/>
            <w:vAlign w:val="bottom"/>
            <w:tcBorders>
              <w:top w:val="single" w:sz="8" w:color="0563C1"/>
              <w:bottom w:val="single" w:sz="8" w:color="0563C1"/>
            </w:tcBorders>
            <w:gridSpan w:val="9"/>
          </w:tcPr>
          <w:p>
            <w:pPr>
              <w:spacing w:after="0"/>
              <w:rPr>
                <w:rFonts w:ascii="Arial" w:cs="Arial" w:eastAsia="Arial" w:hAnsi="Arial"/>
                <w:sz w:val="18"/>
                <w:szCs w:val="18"/>
                <w:color w:val="0563C1"/>
                <w:w w:val="91"/>
              </w:rPr>
            </w:pPr>
            <w:hyperlink w:anchor="page62">
              <w:r>
                <w:rPr>
                  <w:rFonts w:ascii="Arial" w:cs="Arial" w:eastAsia="Arial" w:hAnsi="Arial"/>
                  <w:sz w:val="18"/>
                  <w:szCs w:val="18"/>
                  <w:color w:val="0563C1"/>
                  <w:w w:val="91"/>
                </w:rPr>
                <w:t>Certification of Principal Executive Officer Pursuant to Rules 13a-14(a) and 15d-14(a) under the Securities Exchange Act of 1934, as</w:t>
              </w:r>
            </w:hyperlink>
          </w:p>
        </w:tc>
        <w:tc>
          <w:tcPr>
            <w:tcW w:w="100" w:type="dxa"/>
            <w:vAlign w:val="bottom"/>
            <w:tcBorders>
              <w:top w:val="single" w:sz="8" w:color="0563C1"/>
            </w:tcBorders>
          </w:tcPr>
          <w:p>
            <w:pPr>
              <w:spacing w:after="0"/>
              <w:rPr>
                <w:sz w:val="19"/>
                <w:szCs w:val="19"/>
                <w:color w:val="auto"/>
              </w:rPr>
            </w:pPr>
          </w:p>
        </w:tc>
        <w:tc>
          <w:tcPr>
            <w:tcW w:w="420" w:type="dxa"/>
            <w:vAlign w:val="bottom"/>
            <w:gridSpan w:val="3"/>
          </w:tcPr>
          <w:p>
            <w:pPr>
              <w:spacing w:after="0"/>
              <w:rPr>
                <w:sz w:val="19"/>
                <w:szCs w:val="19"/>
                <w:color w:val="auto"/>
              </w:rPr>
            </w:pPr>
          </w:p>
        </w:tc>
      </w:tr>
      <w:tr>
        <w:trPr>
          <w:trHeight w:val="210"/>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3"/>
          </w:tcPr>
          <w:p>
            <w:pPr>
              <w:spacing w:after="0"/>
              <w:rPr>
                <w:rFonts w:ascii="Arial" w:cs="Arial" w:eastAsia="Arial" w:hAnsi="Arial"/>
                <w:sz w:val="18"/>
                <w:szCs w:val="18"/>
                <w:color w:val="0563C1"/>
              </w:rPr>
            </w:pPr>
            <w:hyperlink w:anchor="page62">
              <w:r>
                <w:rPr>
                  <w:rFonts w:ascii="Arial" w:cs="Arial" w:eastAsia="Arial" w:hAnsi="Arial"/>
                  <w:sz w:val="18"/>
                  <w:szCs w:val="18"/>
                  <w:color w:val="0563C1"/>
                </w:rPr>
                <w:t>Adopted Pursuant to Section 302 of the Sarbanes-Oxley Act of 2002.</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80" w:type="dxa"/>
            <w:vAlign w:val="bottom"/>
            <w:gridSpan w:val="3"/>
            <w:shd w:val="clear" w:color="auto" w:fill="0563C1"/>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r>
      <w:tr>
        <w:trPr>
          <w:trHeight w:val="223"/>
        </w:trPr>
        <w:tc>
          <w:tcPr>
            <w:tcW w:w="940" w:type="dxa"/>
            <w:vAlign w:val="bottom"/>
          </w:tcPr>
          <w:p>
            <w:pPr>
              <w:jc w:val="right"/>
              <w:ind w:right="33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tcBorders>
              <w:bottom w:val="single" w:sz="8" w:color="0563C1"/>
            </w:tcBorders>
            <w:gridSpan w:val="8"/>
          </w:tcPr>
          <w:p>
            <w:pPr>
              <w:spacing w:after="0"/>
              <w:rPr>
                <w:rFonts w:ascii="Arial" w:cs="Arial" w:eastAsia="Arial" w:hAnsi="Arial"/>
                <w:sz w:val="18"/>
                <w:szCs w:val="18"/>
                <w:color w:val="0563C1"/>
                <w:w w:val="91"/>
              </w:rPr>
            </w:pPr>
            <w:hyperlink w:anchor="page63">
              <w:r>
                <w:rPr>
                  <w:rFonts w:ascii="Arial" w:cs="Arial" w:eastAsia="Arial" w:hAnsi="Arial"/>
                  <w:sz w:val="18"/>
                  <w:szCs w:val="18"/>
                  <w:color w:val="0563C1"/>
                  <w:w w:val="91"/>
                </w:rPr>
                <w:t>Certification of Principal Financial Officer Pursuant to Rules 13a-14(a) and 15d-14(a) under the Securities Exchange Act of 1934, as</w:t>
              </w:r>
            </w:hyperlink>
          </w:p>
        </w:tc>
        <w:tc>
          <w:tcPr>
            <w:tcW w:w="560" w:type="dxa"/>
            <w:vAlign w:val="bottom"/>
            <w:gridSpan w:val="5"/>
          </w:tcPr>
          <w:p>
            <w:pPr>
              <w:spacing w:after="0"/>
              <w:rPr>
                <w:sz w:val="19"/>
                <w:szCs w:val="19"/>
                <w:color w:val="auto"/>
              </w:rPr>
            </w:pPr>
          </w:p>
        </w:tc>
      </w:tr>
      <w:tr>
        <w:trPr>
          <w:trHeight w:val="210"/>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3"/>
          </w:tcPr>
          <w:p>
            <w:pPr>
              <w:spacing w:after="0"/>
              <w:rPr>
                <w:rFonts w:ascii="Arial" w:cs="Arial" w:eastAsia="Arial" w:hAnsi="Arial"/>
                <w:sz w:val="18"/>
                <w:szCs w:val="18"/>
                <w:color w:val="0563C1"/>
              </w:rPr>
            </w:pPr>
            <w:hyperlink w:anchor="page63">
              <w:r>
                <w:rPr>
                  <w:rFonts w:ascii="Arial" w:cs="Arial" w:eastAsia="Arial" w:hAnsi="Arial"/>
                  <w:sz w:val="18"/>
                  <w:szCs w:val="18"/>
                  <w:color w:val="0563C1"/>
                </w:rPr>
                <w:t>Adopted Pursuant to Section 302 of the Sarbanes-Oxley Act of 2002.</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80" w:type="dxa"/>
            <w:vAlign w:val="bottom"/>
            <w:gridSpan w:val="3"/>
            <w:shd w:val="clear" w:color="auto" w:fill="0563C1"/>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r>
      <w:tr>
        <w:trPr>
          <w:trHeight w:val="223"/>
        </w:trPr>
        <w:tc>
          <w:tcPr>
            <w:tcW w:w="940" w:type="dxa"/>
            <w:vAlign w:val="bottom"/>
          </w:tcPr>
          <w:p>
            <w:pPr>
              <w:jc w:val="right"/>
              <w:ind w:right="332"/>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780" w:type="dxa"/>
            <w:vAlign w:val="bottom"/>
            <w:tcBorders>
              <w:bottom w:val="single" w:sz="8" w:color="0563C1"/>
            </w:tcBorders>
            <w:gridSpan w:val="6"/>
          </w:tcPr>
          <w:p>
            <w:pPr>
              <w:spacing w:after="0"/>
              <w:rPr>
                <w:rFonts w:ascii="Arial" w:cs="Arial" w:eastAsia="Arial" w:hAnsi="Arial"/>
                <w:sz w:val="18"/>
                <w:szCs w:val="18"/>
                <w:color w:val="0563C1"/>
                <w:w w:val="90"/>
              </w:rPr>
            </w:pPr>
            <w:hyperlink w:anchor="page64">
              <w:r>
                <w:rPr>
                  <w:rFonts w:ascii="Arial" w:cs="Arial" w:eastAsia="Arial" w:hAnsi="Arial"/>
                  <w:sz w:val="18"/>
                  <w:szCs w:val="18"/>
                  <w:color w:val="0563C1"/>
                  <w:w w:val="90"/>
                </w:rPr>
                <w:t>Certification pursuant to 18 U.S.C. Section 1350, as Adopted Pursuant to Section 906 of the Sarbanes-Oxley Act of 2002.</w:t>
              </w:r>
            </w:hyperlink>
          </w:p>
        </w:tc>
        <w:tc>
          <w:tcPr>
            <w:tcW w:w="1400" w:type="dxa"/>
            <w:vAlign w:val="bottom"/>
            <w:gridSpan w:val="7"/>
          </w:tcPr>
          <w:p>
            <w:pPr>
              <w:spacing w:after="0"/>
              <w:rPr>
                <w:sz w:val="19"/>
                <w:szCs w:val="19"/>
                <w:color w:val="auto"/>
              </w:rPr>
            </w:pPr>
          </w:p>
        </w:tc>
      </w:tr>
      <w:tr>
        <w:trPr>
          <w:trHeight w:val="493"/>
        </w:trPr>
        <w:tc>
          <w:tcPr>
            <w:tcW w:w="940" w:type="dxa"/>
            <w:vAlign w:val="bottom"/>
          </w:tcPr>
          <w:p>
            <w:pPr>
              <w:ind w:left="2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13"/>
          </w:tcPr>
          <w:p>
            <w:pPr>
              <w:spacing w:after="0"/>
              <w:rPr>
                <w:sz w:val="20"/>
                <w:szCs w:val="20"/>
                <w:color w:val="auto"/>
              </w:rPr>
            </w:pPr>
            <w:r>
              <w:rPr>
                <w:rFonts w:ascii="Arial" w:cs="Arial" w:eastAsia="Arial" w:hAnsi="Arial"/>
                <w:sz w:val="18"/>
                <w:szCs w:val="18"/>
                <w:color w:val="auto"/>
              </w:rPr>
              <w:t>Inline XBRL Instance Document</w:t>
            </w:r>
          </w:p>
        </w:tc>
      </w:tr>
      <w:tr>
        <w:trPr>
          <w:trHeight w:val="473"/>
        </w:trPr>
        <w:tc>
          <w:tcPr>
            <w:tcW w:w="940" w:type="dxa"/>
            <w:vAlign w:val="bottom"/>
          </w:tcPr>
          <w:p>
            <w:pPr>
              <w:ind w:left="2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940" w:type="dxa"/>
            <w:vAlign w:val="bottom"/>
          </w:tcPr>
          <w:p>
            <w:pPr>
              <w:ind w:left="2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8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940" w:type="dxa"/>
            <w:vAlign w:val="bottom"/>
          </w:tcPr>
          <w:p>
            <w:pPr>
              <w:ind w:left="2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8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940" w:type="dxa"/>
            <w:vAlign w:val="bottom"/>
          </w:tcPr>
          <w:p>
            <w:pPr>
              <w:ind w:left="2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8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2"/>
        </w:trPr>
        <w:tc>
          <w:tcPr>
            <w:tcW w:w="940" w:type="dxa"/>
            <w:vAlign w:val="bottom"/>
          </w:tcPr>
          <w:p>
            <w:pPr>
              <w:ind w:left="2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8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940" w:type="dxa"/>
            <w:vAlign w:val="bottom"/>
          </w:tcPr>
          <w:p>
            <w:pPr>
              <w:jc w:val="right"/>
              <w:ind w:right="33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80" w:type="dxa"/>
            <w:vAlign w:val="bottom"/>
            <w:gridSpan w:val="1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right="300" w:firstLine="8"/>
        <w:spacing w:after="0" w:line="302" w:lineRule="auto"/>
        <w:tabs>
          <w:tab w:leader="none" w:pos="14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GEMINI THERAPEUTICS, INC.</w:t>
      </w:r>
    </w:p>
    <w:p>
      <w:pPr>
        <w:spacing w:after="0" w:line="279" w:lineRule="exact"/>
        <w:rPr>
          <w:sz w:val="20"/>
          <w:szCs w:val="20"/>
          <w:color w:val="auto"/>
        </w:rPr>
      </w:pPr>
    </w:p>
    <w:p>
      <w:pPr>
        <w:ind w:left="20"/>
        <w:spacing w:after="0"/>
        <w:tabs>
          <w:tab w:leader="none" w:pos="5680" w:val="left"/>
          <w:tab w:leader="none" w:pos="788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Jason Meyenburg</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(Principal executive officer)</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Gemini Therapeutics, Inc.</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Date: November 15, 2021</w:t>
            </w:r>
          </w:p>
        </w:tc>
        <w:tc>
          <w:tcPr>
            <w:tcW w:w="2300" w:type="dxa"/>
            <w:vAlign w:val="bottom"/>
          </w:tcPr>
          <w:p>
            <w:pPr>
              <w:jc w:val="right"/>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Brian Piekos</w:t>
            </w:r>
          </w:p>
        </w:tc>
      </w:tr>
      <w:tr>
        <w:trPr>
          <w:trHeight w:val="218"/>
        </w:trPr>
        <w:tc>
          <w:tcPr>
            <w:tcW w:w="3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89"/>
              </w:rPr>
              <w:t>Brian Piekos</w:t>
            </w:r>
          </w:p>
        </w:tc>
      </w:tr>
      <w:tr>
        <w:trPr>
          <w:trHeight w:val="234"/>
        </w:trPr>
        <w:tc>
          <w:tcPr>
            <w:tcW w:w="3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8"/>
        </w:trPr>
        <w:tc>
          <w:tcPr>
            <w:tcW w:w="3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financial officer)</w:t>
            </w:r>
          </w:p>
        </w:tc>
      </w:tr>
      <w:tr>
        <w:trPr>
          <w:trHeight w:val="234"/>
        </w:trPr>
        <w:tc>
          <w:tcPr>
            <w:tcW w:w="3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1"/>
              </w:rPr>
              <w:t>Gemini Therapeutics, Inc.</w:t>
            </w:r>
          </w:p>
        </w:tc>
      </w:tr>
      <w:tr>
        <w:trPr>
          <w:trHeight w:val="688"/>
        </w:trPr>
        <w:tc>
          <w:tcPr>
            <w:tcW w:w="3720" w:type="dxa"/>
            <w:vAlign w:val="bottom"/>
          </w:tcPr>
          <w:p>
            <w:pPr>
              <w:spacing w:after="0"/>
              <w:rPr>
                <w:sz w:val="24"/>
                <w:szCs w:val="24"/>
                <w:color w:val="auto"/>
              </w:rPr>
            </w:pP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39</w:t>
            </w:r>
          </w:p>
        </w:tc>
        <w:tc>
          <w:tcPr>
            <w:tcW w:w="522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Exhibit 10.1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RETENTION AGREEMENT</w:t>
      </w:r>
    </w:p>
    <w:p>
      <w:pPr>
        <w:spacing w:after="0" w:line="212"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2"/>
          <w:szCs w:val="22"/>
          <w:color w:val="auto"/>
        </w:rPr>
        <w:t>This Retention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is made between Gemini Therapeutics,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Samuel Barone, M.D. (the “</w:t>
      </w:r>
      <w:r>
        <w:rPr>
          <w:rFonts w:ascii="Arial" w:cs="Arial" w:eastAsia="Arial" w:hAnsi="Arial"/>
          <w:sz w:val="22"/>
          <w:szCs w:val="22"/>
          <w:u w:val="single" w:color="auto"/>
          <w:color w:val="auto"/>
        </w:rPr>
        <w:t>Executive</w:t>
      </w:r>
      <w:r>
        <w:rPr>
          <w:rFonts w:ascii="Arial" w:cs="Arial" w:eastAsia="Arial" w:hAnsi="Arial"/>
          <w:sz w:val="22"/>
          <w:szCs w:val="22"/>
          <w:color w:val="auto"/>
        </w:rPr>
        <w:t>”). The Company together with the Executive shall be referred to as the “</w:t>
      </w:r>
      <w:r>
        <w:rPr>
          <w:rFonts w:ascii="Arial" w:cs="Arial" w:eastAsia="Arial" w:hAnsi="Arial"/>
          <w:sz w:val="22"/>
          <w:szCs w:val="22"/>
          <w:u w:val="single" w:color="auto"/>
          <w:color w:val="auto"/>
        </w:rPr>
        <w:t>Parties</w:t>
      </w:r>
      <w:r>
        <w:rPr>
          <w:rFonts w:ascii="Arial" w:cs="Arial" w:eastAsia="Arial" w:hAnsi="Arial"/>
          <w:sz w:val="22"/>
          <w:szCs w:val="22"/>
          <w:color w:val="auto"/>
        </w:rPr>
        <w:t>”. Terms with initial capitalization not otherwise defined shall have the meanings ascribed to such terms in the Employment Agreement (as defined below).</w:t>
      </w:r>
    </w:p>
    <w:p>
      <w:pPr>
        <w:spacing w:after="0" w:line="239" w:lineRule="exact"/>
        <w:rPr>
          <w:sz w:val="20"/>
          <w:szCs w:val="20"/>
          <w:color w:val="auto"/>
        </w:rPr>
      </w:pPr>
    </w:p>
    <w:p>
      <w:pPr>
        <w:jc w:val="both"/>
        <w:ind w:right="20" w:firstLine="749"/>
        <w:spacing w:after="0" w:line="282"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Parties entered into an Employment Agreement dated March 24, 2021 (the “</w:t>
      </w:r>
      <w:r>
        <w:rPr>
          <w:rFonts w:ascii="Arial" w:cs="Arial" w:eastAsia="Arial" w:hAnsi="Arial"/>
          <w:sz w:val="22"/>
          <w:szCs w:val="22"/>
          <w:u w:val="single" w:color="auto"/>
          <w:color w:val="auto"/>
        </w:rPr>
        <w:t>Employment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the Employment Agreement, the Company and the Executive each retained the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the Executive’s employment by the Company without any breach of the Employment Agreement under the circumstances set forth in Section 3 of the Employment Agreement;</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continue the Executive’s at-will employment during a retention period and to</w:t>
      </w:r>
      <w:r>
        <w:rPr>
          <w:rFonts w:ascii="Arial" w:cs="Arial" w:eastAsia="Arial" w:hAnsi="Arial"/>
          <w:sz w:val="22"/>
          <w:szCs w:val="22"/>
          <w:b w:val="1"/>
          <w:bCs w:val="1"/>
          <w:color w:val="auto"/>
        </w:rPr>
        <w:t xml:space="preserve"> </w:t>
      </w:r>
      <w:r>
        <w:rPr>
          <w:rFonts w:ascii="Arial" w:cs="Arial" w:eastAsia="Arial" w:hAnsi="Arial"/>
          <w:sz w:val="22"/>
          <w:szCs w:val="22"/>
          <w:color w:val="auto"/>
        </w:rPr>
        <w:t>incent the Executive to remain employed with and committed to the Company during such retention period;</w:t>
      </w:r>
    </w:p>
    <w:p>
      <w:pPr>
        <w:spacing w:after="0" w:line="21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if the Executive enters into, does not revoke and complies with this Agreement, the Executive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eligible to receive the compensation and benefits and an extended exercise period as described in this Agreement, subject to the terms and conditions of this Agreement;</w:t>
      </w:r>
    </w:p>
    <w:p>
      <w:pPr>
        <w:spacing w:after="0" w:line="229"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payments and benefits set forth in this Agreement are the exclusive payments and benefits to the</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in connection with the ending of the Executive’s employment. By entering into this Agreement, the Executive acknowledges and agrees that he is not entitled to any other severance pay, benefits or equity rights including without limitation pursuant to the Employment Agreement or any severance plan, or program or arrangement.</w:t>
      </w:r>
    </w:p>
    <w:p>
      <w:pPr>
        <w:spacing w:after="0" w:line="233" w:lineRule="exact"/>
        <w:rPr>
          <w:sz w:val="20"/>
          <w:szCs w:val="20"/>
          <w:color w:val="auto"/>
        </w:rPr>
      </w:pPr>
    </w:p>
    <w:p>
      <w:pPr>
        <w:jc w:val="both"/>
        <w:ind w:right="20" w:firstLine="749"/>
        <w:spacing w:after="0" w:line="282"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for good and valuable consideration, the receipt and sufficiency of which is hereby</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acknowledged, the Parties hereby agree as follows: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1.Retention Period.</w:t>
      </w:r>
    </w:p>
    <w:p>
      <w:pPr>
        <w:spacing w:after="0" w:line="280" w:lineRule="exact"/>
        <w:rPr>
          <w:sz w:val="20"/>
          <w:szCs w:val="20"/>
          <w:color w:val="auto"/>
        </w:rPr>
      </w:pPr>
    </w:p>
    <w:p>
      <w:pPr>
        <w:jc w:val="both"/>
        <w:ind w:right="180" w:firstLine="800"/>
        <w:spacing w:after="0" w:line="261" w:lineRule="auto"/>
        <w:tabs>
          <w:tab w:leader="none" w:pos="1397"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Executive’s employment with the Company shall continue to be “at will”, meaning that the Executive’s employment may be terminated by the Company or the Executive at any time and for any reason subject to the terms of this Agreement. The actual last day of the Executive’s at-will employment with the Company is referred to herein as the “</w:t>
      </w:r>
      <w:r>
        <w:rPr>
          <w:rFonts w:ascii="Arial" w:cs="Arial" w:eastAsia="Arial" w:hAnsi="Arial"/>
          <w:sz w:val="22"/>
          <w:szCs w:val="22"/>
          <w:u w:val="single" w:color="auto"/>
          <w:color w:val="auto"/>
        </w:rPr>
        <w:t>Date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Termination</w:t>
      </w:r>
      <w:r>
        <w:rPr>
          <w:rFonts w:ascii="Arial" w:cs="Arial" w:eastAsia="Arial" w:hAnsi="Arial"/>
          <w:sz w:val="22"/>
          <w:szCs w:val="22"/>
          <w:color w:val="auto"/>
        </w:rPr>
        <w:t>,” and the time period between the Effective Date (as defined below) of this Agreement and the Date of Termination is the “</w:t>
      </w:r>
      <w:r>
        <w:rPr>
          <w:rFonts w:ascii="Arial" w:cs="Arial" w:eastAsia="Arial" w:hAnsi="Arial"/>
          <w:sz w:val="22"/>
          <w:szCs w:val="22"/>
          <w:u w:val="single" w:color="auto"/>
          <w:color w:val="auto"/>
        </w:rPr>
        <w:t>Retention Period</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1" w:right="339" w:bottom="1440" w:gutter="0" w:footer="0" w:header="0"/>
        </w:sectPr>
      </w:pPr>
    </w:p>
    <w:bookmarkStart w:id="44" w:name="page45"/>
    <w:bookmarkEnd w:id="44"/>
    <w:p>
      <w:pPr>
        <w:jc w:val="both"/>
        <w:ind w:left="-180" w:firstLine="800"/>
        <w:spacing w:after="0" w:line="306" w:lineRule="auto"/>
        <w:tabs>
          <w:tab w:leader="none" w:pos="1217" w:val="left"/>
        </w:tabs>
        <w:numPr>
          <w:ilvl w:val="0"/>
          <w:numId w:val="10"/>
        </w:numPr>
        <w:rPr>
          <w:rFonts w:ascii="Arial" w:cs="Arial" w:eastAsia="Arial" w:hAnsi="Arial"/>
          <w:sz w:val="19"/>
          <w:szCs w:val="19"/>
          <w:color w:val="auto"/>
        </w:rPr>
      </w:pPr>
      <w:r>
        <w:rPr>
          <w:rFonts w:ascii="Arial" w:cs="Arial" w:eastAsia="Arial" w:hAnsi="Arial"/>
          <w:sz w:val="19"/>
          <w:szCs w:val="19"/>
          <w:color w:val="auto"/>
        </w:rPr>
        <w:t>During the Retention Period, the Executive will continue to serve as the Chief Medical Officer of the Company, reporting to the Chief Executive Officer of the Company (the “</w:t>
      </w:r>
      <w:r>
        <w:rPr>
          <w:rFonts w:ascii="Arial" w:cs="Arial" w:eastAsia="Arial" w:hAnsi="Arial"/>
          <w:sz w:val="19"/>
          <w:szCs w:val="19"/>
          <w:u w:val="single" w:color="auto"/>
          <w:color w:val="auto"/>
        </w:rPr>
        <w:t>CEO</w:t>
      </w:r>
      <w:r>
        <w:rPr>
          <w:rFonts w:ascii="Arial" w:cs="Arial" w:eastAsia="Arial" w:hAnsi="Arial"/>
          <w:sz w:val="19"/>
          <w:szCs w:val="19"/>
          <w:color w:val="auto"/>
        </w:rPr>
        <w:t>”), and shall have such powers and duties as may from time to time be prescribed by the CEO and/or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Notwithstanding the foregoing, if a new Chief Medical Officer commences employment during the Retention Period, then the Executive shall be deemed to have resigned from such position and shall become a Senior Advisor for the remainder of the Retention Period. The Executive’s duties may change during the Retention Period, and the Executive acknowledges and agrees that such changes shall not constitute a Good Reason condition and that Good Reason shall not apply during the Retention Period.</w:t>
      </w:r>
    </w:p>
    <w:p>
      <w:pPr>
        <w:spacing w:after="0" w:line="210" w:lineRule="exact"/>
        <w:rPr>
          <w:rFonts w:ascii="Arial" w:cs="Arial" w:eastAsia="Arial" w:hAnsi="Arial"/>
          <w:sz w:val="19"/>
          <w:szCs w:val="19"/>
          <w:color w:val="auto"/>
        </w:rPr>
      </w:pPr>
    </w:p>
    <w:p>
      <w:pPr>
        <w:jc w:val="both"/>
        <w:ind w:left="-180" w:firstLine="800"/>
        <w:spacing w:after="0" w:line="301" w:lineRule="auto"/>
        <w:tabs>
          <w:tab w:leader="none" w:pos="1217"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Executive shall devote his full working time and efforts to the business and affairs of the Company during the Retention Period, unless otherwise requested by the CEO. Notwithstanding the foregoing, the Executive may serve on other boards of directors, with the approval of the Board or a committee of the Board, or engage in religious, charitable or other community activities as long as such services and activities are disclosed to the Board and do not interfere with the Executive’s performance of his duties to the Company. The Executive may continue to serve on the Board of Directors for Halodine, LLC a commercial-stage pharmaceutical company focused on resistance-free antiviral, antifungal and antibacterial topical drugs. Effective January 1, 2022, the Executive may provide up to 4 days per month of ophthalmologic patient care activities, provided that such days are approved in advance by the CEO and that the provision of such patient care activities does not conflict with the Executive’s employment with the Company. If the Executive commences other employment during the Retention Period, the Executive must immediately inform the Company and his employment with the Company will end. The Executive will work primarily remotely, provided that the Executive may be required to travel for business, including to the Company’s Massachusetts office (the “</w:t>
      </w:r>
      <w:r>
        <w:rPr>
          <w:rFonts w:ascii="Arial" w:cs="Arial" w:eastAsia="Arial" w:hAnsi="Arial"/>
          <w:sz w:val="19"/>
          <w:szCs w:val="19"/>
          <w:u w:val="single" w:color="auto"/>
          <w:color w:val="auto"/>
        </w:rPr>
        <w:t>Corporate Office</w:t>
      </w:r>
      <w:r>
        <w:rPr>
          <w:rFonts w:ascii="Arial" w:cs="Arial" w:eastAsia="Arial" w:hAnsi="Arial"/>
          <w:sz w:val="19"/>
          <w:szCs w:val="19"/>
          <w:color w:val="auto"/>
        </w:rPr>
        <w:t>”), consistent with the Company’s business needs. The Executive shall work cooperatively and professionally with his colleagues during the Retention Period, including, without limitation, with respect to transitioning certain of his duties as requested by the Chief Executive Officer.</w:t>
      </w:r>
    </w:p>
    <w:p>
      <w:pPr>
        <w:spacing w:after="0" w:line="213" w:lineRule="exact"/>
        <w:rPr>
          <w:rFonts w:ascii="Arial" w:cs="Arial" w:eastAsia="Arial" w:hAnsi="Arial"/>
          <w:sz w:val="19"/>
          <w:szCs w:val="19"/>
          <w:color w:val="auto"/>
        </w:rPr>
      </w:pPr>
    </w:p>
    <w:p>
      <w:pPr>
        <w:jc w:val="both"/>
        <w:ind w:left="-180" w:firstLine="800"/>
        <w:spacing w:after="0" w:line="273" w:lineRule="auto"/>
        <w:tabs>
          <w:tab w:leader="none" w:pos="1217" w:val="left"/>
        </w:tabs>
        <w:numPr>
          <w:ilvl w:val="0"/>
          <w:numId w:val="10"/>
        </w:numPr>
        <w:rPr>
          <w:rFonts w:ascii="Arial" w:cs="Arial" w:eastAsia="Arial" w:hAnsi="Arial"/>
          <w:sz w:val="21"/>
          <w:szCs w:val="21"/>
          <w:color w:val="auto"/>
        </w:rPr>
      </w:pPr>
      <w:r>
        <w:rPr>
          <w:rFonts w:ascii="Arial" w:cs="Arial" w:eastAsia="Arial" w:hAnsi="Arial"/>
          <w:sz w:val="21"/>
          <w:szCs w:val="21"/>
          <w:color w:val="auto"/>
        </w:rPr>
        <w:t>During the Retention Period, the Executive will (i) be paid his Base Salary, (ii) remain eligible to participate in the Company’s group employee benefit plans, subject to the terms and conditions of those plans; (iii) remain eligible to receive his Target Bonus for 2021 as determined by the Board or the Compensation Committee from time to time (provided, however, that if the Date of Termination occurs prior to December 31, 2021, Executive’s Target Bonus for 2021 shall be calculated and paid in accordance with Section 1(f)(ii) below); and (iv) continue to vest in his outstanding equity awards through the Date of Termination consistent with the Company’s applicable equity incentive plan(s) and the applicable award agreement(s) (collectively, the “</w:t>
      </w:r>
      <w:r>
        <w:rPr>
          <w:rFonts w:ascii="Arial" w:cs="Arial" w:eastAsia="Arial" w:hAnsi="Arial"/>
          <w:sz w:val="21"/>
          <w:szCs w:val="21"/>
          <w:u w:val="single" w:color="auto"/>
          <w:color w:val="auto"/>
        </w:rPr>
        <w:t>Equity Documents</w:t>
      </w:r>
      <w:r>
        <w:rPr>
          <w:rFonts w:ascii="Arial" w:cs="Arial" w:eastAsia="Arial" w:hAnsi="Arial"/>
          <w:sz w:val="21"/>
          <w:szCs w:val="21"/>
          <w:color w:val="auto"/>
        </w:rPr>
        <w:t>”).</w:t>
      </w:r>
    </w:p>
    <w:p>
      <w:pPr>
        <w:spacing w:after="0" w:line="223" w:lineRule="exact"/>
        <w:rPr>
          <w:rFonts w:ascii="Arial" w:cs="Arial" w:eastAsia="Arial" w:hAnsi="Arial"/>
          <w:sz w:val="21"/>
          <w:szCs w:val="21"/>
          <w:color w:val="auto"/>
        </w:rPr>
      </w:pPr>
    </w:p>
    <w:p>
      <w:pPr>
        <w:jc w:val="both"/>
        <w:ind w:left="-180" w:firstLine="800"/>
        <w:spacing w:after="0" w:line="269" w:lineRule="auto"/>
        <w:tabs>
          <w:tab w:leader="none" w:pos="1217" w:val="left"/>
        </w:tabs>
        <w:numPr>
          <w:ilvl w:val="0"/>
          <w:numId w:val="10"/>
        </w:numPr>
        <w:rPr>
          <w:rFonts w:ascii="Arial" w:cs="Arial" w:eastAsia="Arial" w:hAnsi="Arial"/>
          <w:sz w:val="21"/>
          <w:szCs w:val="21"/>
          <w:color w:val="auto"/>
        </w:rPr>
      </w:pPr>
      <w:r>
        <w:rPr>
          <w:rFonts w:ascii="Arial" w:cs="Arial" w:eastAsia="Arial" w:hAnsi="Arial"/>
          <w:sz w:val="21"/>
          <w:szCs w:val="21"/>
          <w:color w:val="auto"/>
        </w:rPr>
        <w:t>In addition, the Executive will be eligible to receive two milestone payments of $50,000 each, less applicable deductions and withholdings (the “</w:t>
      </w:r>
      <w:r>
        <w:rPr>
          <w:rFonts w:ascii="Arial" w:cs="Arial" w:eastAsia="Arial" w:hAnsi="Arial"/>
          <w:sz w:val="21"/>
          <w:szCs w:val="21"/>
          <w:u w:val="single" w:color="auto"/>
          <w:color w:val="auto"/>
        </w:rPr>
        <w:t>Milestone Payments</w:t>
      </w:r>
      <w:r>
        <w:rPr>
          <w:rFonts w:ascii="Arial" w:cs="Arial" w:eastAsia="Arial" w:hAnsi="Arial"/>
          <w:sz w:val="21"/>
          <w:szCs w:val="21"/>
          <w:color w:val="auto"/>
        </w:rPr>
        <w:t>”), if the applicable milestones are achieved, as determined by the CEO in his sole discretion; provided, that the CEO shall act in good faith and shall not intentionally delay making such determination in order to preclude payment of any Milestone Payment. In order to receive either of the Milestone Payments, Executive must be employed by the Company on the respective dates upon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237490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780" w:right="519" w:bottom="1440" w:gutter="0" w:footer="0" w:header="0"/>
        </w:sectPr>
      </w:pPr>
    </w:p>
    <w:bookmarkStart w:id="45" w:name="page46"/>
    <w:bookmarkEnd w:id="45"/>
    <w:p>
      <w:pPr>
        <w:jc w:val="both"/>
        <w:spacing w:after="0" w:line="257" w:lineRule="auto"/>
        <w:rPr>
          <w:sz w:val="20"/>
          <w:szCs w:val="20"/>
          <w:color w:val="auto"/>
        </w:rPr>
      </w:pPr>
      <w:r>
        <w:rPr>
          <w:rFonts w:ascii="Arial" w:cs="Arial" w:eastAsia="Arial" w:hAnsi="Arial"/>
          <w:sz w:val="22"/>
          <w:szCs w:val="22"/>
          <w:color w:val="auto"/>
        </w:rPr>
        <w:t>which the CEO determines that the applicable milestone has been achieved. The applicable Milestone Payment will be paid within thirty (30) days following the date that the CEO determines that the applicable milestone has been achieved. The milestones are as follows:</w:t>
      </w:r>
    </w:p>
    <w:p>
      <w:pPr>
        <w:spacing w:after="0" w:line="2" w:lineRule="exact"/>
        <w:rPr>
          <w:sz w:val="20"/>
          <w:szCs w:val="20"/>
          <w:color w:val="auto"/>
        </w:rPr>
      </w:pPr>
    </w:p>
    <w:p>
      <w:pPr>
        <w:ind w:left="760" w:hanging="3"/>
        <w:spacing w:after="0" w:line="272" w:lineRule="auto"/>
        <w:tabs>
          <w:tab w:leader="none" w:pos="1018"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first milestone shall be such time when the Company and the U.S. Food and Drug Administration concur on the Company’s Phase 3 study (the “</w:t>
      </w:r>
      <w:r>
        <w:rPr>
          <w:rFonts w:ascii="Arial" w:cs="Arial" w:eastAsia="Arial" w:hAnsi="Arial"/>
          <w:sz w:val="22"/>
          <w:szCs w:val="22"/>
          <w:u w:val="single" w:color="auto"/>
          <w:color w:val="auto"/>
        </w:rPr>
        <w:t>Phase 3 Study</w:t>
      </w:r>
      <w:r>
        <w:rPr>
          <w:rFonts w:ascii="Arial" w:cs="Arial" w:eastAsia="Arial" w:hAnsi="Arial"/>
          <w:sz w:val="22"/>
          <w:szCs w:val="22"/>
          <w:color w:val="auto"/>
        </w:rPr>
        <w:t>”) design; and</w:t>
      </w:r>
    </w:p>
    <w:p>
      <w:pPr>
        <w:spacing w:after="0" w:line="232" w:lineRule="exact"/>
        <w:rPr>
          <w:rFonts w:ascii="Arial" w:cs="Arial" w:eastAsia="Arial" w:hAnsi="Arial"/>
          <w:sz w:val="22"/>
          <w:szCs w:val="22"/>
          <w:color w:val="auto"/>
        </w:rPr>
      </w:pPr>
    </w:p>
    <w:p>
      <w:pPr>
        <w:ind w:left="1080" w:hanging="323"/>
        <w:spacing w:after="0"/>
        <w:tabs>
          <w:tab w:leader="none" w:pos="10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second milestone shall be such time when the first patient is successfully enrolled in the Phase 3 Study.</w:t>
      </w:r>
    </w:p>
    <w:p>
      <w:pPr>
        <w:spacing w:after="0" w:line="321" w:lineRule="exact"/>
        <w:rPr>
          <w:rFonts w:ascii="Arial" w:cs="Arial" w:eastAsia="Arial" w:hAnsi="Arial"/>
          <w:sz w:val="19"/>
          <w:szCs w:val="19"/>
          <w:color w:val="auto"/>
        </w:rPr>
      </w:pPr>
    </w:p>
    <w:p>
      <w:pPr>
        <w:jc w:val="both"/>
        <w:ind w:firstLine="800"/>
        <w:spacing w:after="0" w:line="302" w:lineRule="auto"/>
        <w:tabs>
          <w:tab w:leader="none" w:pos="1397"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The Company shall pay the Executive a lump sum amount equal to the sum of (i) nine (9) months of the Executive’s Base Salary and (ii) a pro rata portion of the Target Bonus earned by the Executive for the calendar year in which the Date of Termination occurs, measured from the first day of such calendar year through the Date of Termination (or, if the Date of Termination occurs on or after December 31, 2022, the full Target Bonus) (the “</w:t>
      </w:r>
      <w:r>
        <w:rPr>
          <w:rFonts w:ascii="Arial" w:cs="Arial" w:eastAsia="Arial" w:hAnsi="Arial"/>
          <w:sz w:val="19"/>
          <w:szCs w:val="19"/>
          <w:u w:val="single" w:color="auto"/>
          <w:color w:val="auto"/>
        </w:rPr>
        <w:t>Retention Bonus</w:t>
      </w:r>
      <w:r>
        <w:rPr>
          <w:rFonts w:ascii="Arial" w:cs="Arial" w:eastAsia="Arial" w:hAnsi="Arial"/>
          <w:sz w:val="19"/>
          <w:szCs w:val="19"/>
          <w:color w:val="auto"/>
        </w:rPr>
        <w:t>”), which Retention Bonus shall be paid in calendar year 2022 on such date as determined by the Company; provided, that it shall be no earlier than January 1, 2022 and no later than December 31, 2022; provided, further, however, if the Company terminates the Executive’s employment for Cause during the Retention Period or if the Executive fails to satisfy the Conditions (as defined below), he shall not be entitled to receive or retain, as applicable, Retention Bonus. For the avoidance of doubt, in the event that the Company terminates Executive’s employment without Cause as defined in Section 3(d) of the Employment Agreement, the Company shall pay Executive the Retention Bonus in calendar year 2022 on such date as determined by the Company; provided, that it shall be no earlier than January 1, 2022 and no later than December 31, 2022; and provided, further, that the Executive has satisfied the Conditions.</w:t>
      </w:r>
    </w:p>
    <w:p>
      <w:pPr>
        <w:spacing w:after="0" w:line="200" w:lineRule="exact"/>
        <w:rPr>
          <w:rFonts w:ascii="Arial" w:cs="Arial" w:eastAsia="Arial" w:hAnsi="Arial"/>
          <w:sz w:val="19"/>
          <w:szCs w:val="19"/>
          <w:color w:val="auto"/>
        </w:rPr>
      </w:pPr>
    </w:p>
    <w:p>
      <w:pPr>
        <w:spacing w:after="0" w:line="285" w:lineRule="exact"/>
        <w:rPr>
          <w:rFonts w:ascii="Arial" w:cs="Arial" w:eastAsia="Arial" w:hAnsi="Arial"/>
          <w:sz w:val="19"/>
          <w:szCs w:val="19"/>
          <w:color w:val="auto"/>
        </w:rPr>
      </w:pPr>
    </w:p>
    <w:p>
      <w:pPr>
        <w:jc w:val="both"/>
        <w:ind w:firstLine="800"/>
        <w:spacing w:after="0" w:line="273" w:lineRule="auto"/>
        <w:tabs>
          <w:tab w:leader="none" w:pos="1397" w:val="left"/>
        </w:tabs>
        <w:numPr>
          <w:ilvl w:val="1"/>
          <w:numId w:val="11"/>
        </w:numPr>
        <w:rPr>
          <w:rFonts w:ascii="Arial" w:cs="Arial" w:eastAsia="Arial" w:hAnsi="Arial"/>
          <w:sz w:val="21"/>
          <w:szCs w:val="21"/>
          <w:color w:val="auto"/>
        </w:rPr>
      </w:pPr>
      <w:r>
        <w:rPr>
          <w:rFonts w:ascii="Arial" w:cs="Arial" w:eastAsia="Arial" w:hAnsi="Arial"/>
          <w:sz w:val="21"/>
          <w:szCs w:val="21"/>
          <w:color w:val="auto"/>
        </w:rPr>
        <w:t>During the Retention Period, and notwithstanding anything to the contrary in this Agreement, Section 6 of the Employment Agreement (the “</w:t>
      </w:r>
      <w:r>
        <w:rPr>
          <w:rFonts w:ascii="Arial" w:cs="Arial" w:eastAsia="Arial" w:hAnsi="Arial"/>
          <w:sz w:val="21"/>
          <w:szCs w:val="21"/>
          <w:u w:val="single" w:color="auto"/>
          <w:color w:val="auto"/>
        </w:rPr>
        <w:t>Change in Control Payment</w:t>
      </w:r>
      <w:r>
        <w:rPr>
          <w:rFonts w:ascii="Arial" w:cs="Arial" w:eastAsia="Arial" w:hAnsi="Arial"/>
          <w:sz w:val="21"/>
          <w:szCs w:val="21"/>
          <w:color w:val="auto"/>
        </w:rPr>
        <w:t>”) shall apply in lieu of, and expressly supersede, Sections 1(f) and 3 of this Agreement regarding the Retention Bonus under Sections 1(f) and Severance Benefits (as defined below) upon the Executive’s termination of employment if such termination of employment occurs within the Change in Control Period; provided, however, that if the Company terminates the Executive’s employment for Cause or if the Executive fails to satisfy the Conditions, he shall not be entitled to any of the benefits under Section 6 of the Employment Agreement or under Sections 1(f) and 3 of this Agreement. This Section 1(g) shall terminate and be of no further force or effect beginning after the Change in Control Period has ended.</w:t>
      </w:r>
    </w:p>
    <w:p>
      <w:pPr>
        <w:spacing w:after="0" w:line="232" w:lineRule="exact"/>
        <w:rPr>
          <w:rFonts w:ascii="Arial" w:cs="Arial" w:eastAsia="Arial" w:hAnsi="Arial"/>
          <w:sz w:val="21"/>
          <w:szCs w:val="21"/>
          <w:color w:val="auto"/>
        </w:rPr>
      </w:pPr>
    </w:p>
    <w:p>
      <w:pPr>
        <w:jc w:val="both"/>
        <w:ind w:firstLine="800"/>
        <w:spacing w:after="0" w:line="266" w:lineRule="auto"/>
        <w:tabs>
          <w:tab w:leader="none" w:pos="1397" w:val="left"/>
        </w:tabs>
        <w:numPr>
          <w:ilvl w:val="1"/>
          <w:numId w:val="11"/>
        </w:numPr>
        <w:rPr>
          <w:rFonts w:ascii="Arial" w:cs="Arial" w:eastAsia="Arial" w:hAnsi="Arial"/>
          <w:sz w:val="22"/>
          <w:szCs w:val="22"/>
          <w:color w:val="auto"/>
        </w:rPr>
      </w:pPr>
      <w:r>
        <w:rPr>
          <w:rFonts w:ascii="Arial" w:cs="Arial" w:eastAsia="Arial" w:hAnsi="Arial"/>
          <w:sz w:val="22"/>
          <w:szCs w:val="22"/>
          <w:color w:val="auto"/>
        </w:rPr>
        <w:t>During and after the Retention Period, unless provided to the contrary herein, the Executive will continue to be bound by the restrictive covenants and his continuing obligations to the Company set forth in Sections 8 through 18 of the Employment Agreement (the “</w:t>
      </w:r>
      <w:r>
        <w:rPr>
          <w:rFonts w:ascii="Arial" w:cs="Arial" w:eastAsia="Arial" w:hAnsi="Arial"/>
          <w:sz w:val="22"/>
          <w:szCs w:val="22"/>
          <w:u w:val="single" w:color="auto"/>
          <w:color w:val="auto"/>
        </w:rPr>
        <w:t>Preserved Provisions</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9.Ending of Employment.</w:t>
      </w:r>
    </w:p>
    <w:p>
      <w:pPr>
        <w:spacing w:after="0" w:line="280" w:lineRule="exact"/>
        <w:rPr>
          <w:sz w:val="20"/>
          <w:szCs w:val="20"/>
          <w:color w:val="auto"/>
        </w:rPr>
      </w:pPr>
    </w:p>
    <w:p>
      <w:pPr>
        <w:jc w:val="both"/>
        <w:ind w:firstLine="800"/>
        <w:spacing w:after="0" w:line="257" w:lineRule="auto"/>
        <w:tabs>
          <w:tab w:leader="none" w:pos="1397" w:val="left"/>
        </w:tabs>
        <w:numPr>
          <w:ilvl w:val="0"/>
          <w:numId w:val="12"/>
        </w:numPr>
        <w:rPr>
          <w:rFonts w:ascii="Arial" w:cs="Arial" w:eastAsia="Arial" w:hAnsi="Arial"/>
          <w:sz w:val="21"/>
          <w:szCs w:val="21"/>
          <w:color w:val="auto"/>
        </w:rPr>
      </w:pPr>
      <w:r>
        <w:rPr>
          <w:rFonts w:ascii="Arial" w:cs="Arial" w:eastAsia="Arial" w:hAnsi="Arial"/>
          <w:sz w:val="22"/>
          <w:szCs w:val="22"/>
          <w:color w:val="auto"/>
        </w:rPr>
        <w:t>The Executive’s employment with the Company will end on the Date of Termination. If the Executive satisfies the Conditions (as defined below), the Executive will be eligible to receive the Severance Benefits set forth in Section 3 below following the Date of Termination.</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780" w:right="519" w:bottom="1440" w:gutter="0" w:footer="0" w:header="0"/>
        </w:sectPr>
      </w:pPr>
    </w:p>
    <w:bookmarkStart w:id="46" w:name="page47"/>
    <w:bookmarkEnd w:id="46"/>
    <w:p>
      <w:pPr>
        <w:jc w:val="both"/>
        <w:ind w:right="180"/>
        <w:spacing w:after="0" w:line="279" w:lineRule="auto"/>
        <w:rPr>
          <w:sz w:val="20"/>
          <w:szCs w:val="20"/>
          <w:color w:val="auto"/>
        </w:rPr>
      </w:pPr>
      <w:r>
        <w:rPr>
          <w:rFonts w:ascii="Arial" w:cs="Arial" w:eastAsia="Arial" w:hAnsi="Arial"/>
          <w:sz w:val="21"/>
          <w:szCs w:val="21"/>
          <w:color w:val="auto"/>
        </w:rPr>
        <w:t>For the avoidance of doubt, if the Company terminates the Executive’s employment for Cause during the Retention Period or if the Executive fails to satisfy any of the Conditions, then his employment will end immediately, he will cease vesting as of the Date of Termination, he shall be entitled to the Accrued Obligations (as set forth in Section 2(b) below), and he shall have no further rights to any compensation or benefits from the Company or any of its affiliates.</w:t>
      </w:r>
    </w:p>
    <w:p>
      <w:pPr>
        <w:spacing w:after="0" w:line="227" w:lineRule="exact"/>
        <w:rPr>
          <w:sz w:val="20"/>
          <w:szCs w:val="20"/>
          <w:color w:val="auto"/>
        </w:rPr>
      </w:pPr>
    </w:p>
    <w:p>
      <w:pPr>
        <w:jc w:val="both"/>
        <w:ind w:right="180" w:firstLine="800"/>
        <w:spacing w:after="0" w:line="304" w:lineRule="auto"/>
        <w:tabs>
          <w:tab w:leader="none" w:pos="1397" w:val="left"/>
        </w:tabs>
        <w:numPr>
          <w:ilvl w:val="0"/>
          <w:numId w:val="13"/>
        </w:numPr>
        <w:rPr>
          <w:rFonts w:ascii="Arial" w:cs="Arial" w:eastAsia="Arial" w:hAnsi="Arial"/>
          <w:sz w:val="19"/>
          <w:szCs w:val="19"/>
          <w:color w:val="auto"/>
        </w:rPr>
      </w:pPr>
      <w:r>
        <w:rPr>
          <w:rFonts w:ascii="Arial" w:cs="Arial" w:eastAsia="Arial" w:hAnsi="Arial"/>
          <w:sz w:val="19"/>
          <w:szCs w:val="19"/>
          <w:color w:val="auto"/>
        </w:rPr>
        <w:t>Regardless of the Date of Termination, the Executive will cease vesting in his equity awards on the Date of Termination consistent with the terms of the Equity Documents, and the Company shall pay or provide to the Executive (or to the Executive’s authorized representative or estate) any Base Salary and accrued but unused vacation earned through the Date of Termination, unpaid expense reimbursements (subject to, and in accordance with, Section 2(e) of the Employment Agreement)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w:t>
      </w:r>
      <w:r>
        <w:rPr>
          <w:rFonts w:ascii="Arial" w:cs="Arial" w:eastAsia="Arial" w:hAnsi="Arial"/>
          <w:sz w:val="19"/>
          <w:szCs w:val="19"/>
          <w:u w:val="single" w:color="auto"/>
          <w:color w:val="auto"/>
        </w:rPr>
        <w:t>Accrued Benefit</w:t>
      </w:r>
      <w:r>
        <w:rPr>
          <w:rFonts w:ascii="Arial" w:cs="Arial" w:eastAsia="Arial" w:hAnsi="Arial"/>
          <w:sz w:val="19"/>
          <w:szCs w:val="19"/>
          <w:color w:val="auto"/>
        </w:rPr>
        <w:t>”). The Executive will also be provided with information regarding the Consolidated Omnibus Budget Reconciliation Act of 1985, as amended (“</w:t>
      </w:r>
      <w:r>
        <w:rPr>
          <w:rFonts w:ascii="Arial" w:cs="Arial" w:eastAsia="Arial" w:hAnsi="Arial"/>
          <w:sz w:val="19"/>
          <w:szCs w:val="19"/>
          <w:u w:val="single" w:color="auto"/>
          <w:color w:val="auto"/>
        </w:rPr>
        <w:t>COBRA</w:t>
      </w:r>
      <w:r>
        <w:rPr>
          <w:rFonts w:ascii="Arial" w:cs="Arial" w:eastAsia="Arial" w:hAnsi="Arial"/>
          <w:sz w:val="19"/>
          <w:szCs w:val="19"/>
          <w:color w:val="auto"/>
        </w:rPr>
        <w:t>”), under separate cover.</w:t>
      </w:r>
    </w:p>
    <w:p>
      <w:pPr>
        <w:spacing w:after="0" w:line="209" w:lineRule="exact"/>
        <w:rPr>
          <w:rFonts w:ascii="Arial" w:cs="Arial" w:eastAsia="Arial" w:hAnsi="Arial"/>
          <w:sz w:val="19"/>
          <w:szCs w:val="19"/>
          <w:color w:val="auto"/>
        </w:rPr>
      </w:pPr>
    </w:p>
    <w:p>
      <w:pPr>
        <w:jc w:val="both"/>
        <w:ind w:right="180" w:firstLine="800"/>
        <w:spacing w:after="0" w:line="261" w:lineRule="auto"/>
        <w:tabs>
          <w:tab w:leader="none" w:pos="1397" w:val="left"/>
        </w:tabs>
        <w:numPr>
          <w:ilvl w:val="0"/>
          <w:numId w:val="13"/>
        </w:numPr>
        <w:rPr>
          <w:rFonts w:ascii="Arial" w:cs="Arial" w:eastAsia="Arial" w:hAnsi="Arial"/>
          <w:sz w:val="21"/>
          <w:szCs w:val="21"/>
          <w:color w:val="auto"/>
        </w:rPr>
      </w:pPr>
      <w:r>
        <w:rPr>
          <w:rFonts w:ascii="Arial" w:cs="Arial" w:eastAsia="Arial" w:hAnsi="Arial"/>
          <w:sz w:val="22"/>
          <w:szCs w:val="22"/>
          <w:color w:val="auto"/>
        </w:rPr>
        <w:t>For the avoidance of doubt, if the Executive satisfies the Conditions, then the Executive will not be required to repay any portion of the Sign-On Bonus pursuant to Section 2(d) of the Employment Agreement. If the Executive’s employment is terminated for Cause or Executive resigns without providing at least thirty (30) days’ prior written notice of his intended resignation date during the Retention Period, then he will be required to repay the Sign-On Bonus in accordance with Section 2(d) of the Employment Agreement.</w:t>
      </w:r>
    </w:p>
    <w:p>
      <w:pPr>
        <w:spacing w:after="0" w:line="244" w:lineRule="exact"/>
        <w:rPr>
          <w:rFonts w:ascii="Arial" w:cs="Arial" w:eastAsia="Arial" w:hAnsi="Arial"/>
          <w:sz w:val="21"/>
          <w:szCs w:val="21"/>
          <w:color w:val="auto"/>
        </w:rPr>
      </w:pPr>
    </w:p>
    <w:p>
      <w:pPr>
        <w:jc w:val="both"/>
        <w:ind w:right="180" w:firstLine="800"/>
        <w:spacing w:after="0" w:line="276" w:lineRule="auto"/>
        <w:tabs>
          <w:tab w:leader="none" w:pos="1397" w:val="left"/>
        </w:tabs>
        <w:numPr>
          <w:ilvl w:val="0"/>
          <w:numId w:val="13"/>
        </w:numPr>
        <w:rPr>
          <w:rFonts w:ascii="Arial" w:cs="Arial" w:eastAsia="Arial" w:hAnsi="Arial"/>
          <w:sz w:val="20"/>
          <w:szCs w:val="20"/>
          <w:color w:val="auto"/>
        </w:rPr>
      </w:pPr>
      <w:r>
        <w:rPr>
          <w:rFonts w:ascii="Arial" w:cs="Arial" w:eastAsia="Arial" w:hAnsi="Arial"/>
          <w:sz w:val="21"/>
          <w:szCs w:val="21"/>
          <w:color w:val="auto"/>
        </w:rPr>
        <w:t>To the extent applicable, the Executive shall be deemed to have resigned from all officer and board member positions that he holds with the Company or any of its respective subsidiaries or affiliates upon the Date of Termination (or sooner, if requested by the Board), and the Executive agrees to execute any documents reasonably requested by the Company in order to effectuate such resignations. As of the Date of Termination, the Executive shall have no further employment or service relationship with the Company or any of its subsidiaries or affiliates.</w:t>
      </w:r>
    </w:p>
    <w:p>
      <w:pPr>
        <w:spacing w:after="0" w:line="212" w:lineRule="exact"/>
        <w:rPr>
          <w:sz w:val="20"/>
          <w:szCs w:val="20"/>
          <w:color w:val="auto"/>
        </w:rPr>
      </w:pPr>
    </w:p>
    <w:p>
      <w:pPr>
        <w:jc w:val="both"/>
        <w:ind w:left="180" w:hanging="161"/>
        <w:spacing w:after="0" w:line="310" w:lineRule="auto"/>
        <w:rPr>
          <w:sz w:val="20"/>
          <w:szCs w:val="20"/>
          <w:color w:val="auto"/>
        </w:rPr>
      </w:pPr>
      <w:r>
        <w:rPr>
          <w:rFonts w:ascii="Arial" w:cs="Arial" w:eastAsia="Arial" w:hAnsi="Arial"/>
          <w:sz w:val="19"/>
          <w:szCs w:val="19"/>
          <w:b w:val="1"/>
          <w:bCs w:val="1"/>
          <w:u w:val="single" w:color="auto"/>
          <w:color w:val="auto"/>
        </w:rPr>
        <w:t>5.Severance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If the Executive (i) enters into, does not revoke and complies with this Agreement, (ii) is not terminated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by the Company for Cause and does not resign without providing at least thirty (30) days’ prior written notice of his intended resignation date, (iii) provides services and works cooperatively and professionally with the Company during the Retention Period and (iv) enters into the certificate updating the release of claims set forth in Section 5 of this Agreement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Certificate</w:t>
      </w:r>
      <w:r>
        <w:rPr>
          <w:rFonts w:ascii="Arial" w:cs="Arial" w:eastAsia="Arial" w:hAnsi="Arial"/>
          <w:sz w:val="19"/>
          <w:szCs w:val="19"/>
          <w:color w:val="auto"/>
        </w:rPr>
        <w:t>”) on or after the Date of Termination within the time period set forth therein (collectively, the “</w:t>
      </w:r>
      <w:r>
        <w:rPr>
          <w:rFonts w:ascii="Arial" w:cs="Arial" w:eastAsia="Arial" w:hAnsi="Arial"/>
          <w:sz w:val="19"/>
          <w:szCs w:val="19"/>
          <w:u w:val="single" w:color="auto"/>
          <w:color w:val="auto"/>
        </w:rPr>
        <w:t>Conditions</w:t>
      </w:r>
      <w:r>
        <w:rPr>
          <w:rFonts w:ascii="Arial" w:cs="Arial" w:eastAsia="Arial" w:hAnsi="Arial"/>
          <w:sz w:val="19"/>
          <w:szCs w:val="19"/>
          <w:color w:val="auto"/>
        </w:rPr>
        <w:t>”), then the Company shall provide the Executive with the following “</w:t>
      </w:r>
      <w:r>
        <w:rPr>
          <w:rFonts w:ascii="Arial" w:cs="Arial" w:eastAsia="Arial" w:hAnsi="Arial"/>
          <w:sz w:val="19"/>
          <w:szCs w:val="19"/>
          <w:u w:val="single" w:color="auto"/>
          <w:color w:val="auto"/>
        </w:rPr>
        <w:t>Severance Benefits</w:t>
      </w:r>
      <w:r>
        <w:rPr>
          <w:rFonts w:ascii="Arial" w:cs="Arial" w:eastAsia="Arial" w:hAnsi="Arial"/>
          <w:sz w:val="19"/>
          <w:szCs w:val="19"/>
          <w:color w:val="auto"/>
        </w:rPr>
        <w:t>”:</w:t>
      </w:r>
    </w:p>
    <w:p>
      <w:pPr>
        <w:spacing w:after="0" w:line="203" w:lineRule="exact"/>
        <w:rPr>
          <w:sz w:val="20"/>
          <w:szCs w:val="20"/>
          <w:color w:val="auto"/>
        </w:rPr>
      </w:pPr>
    </w:p>
    <w:p>
      <w:pPr>
        <w:jc w:val="both"/>
        <w:ind w:firstLine="800"/>
        <w:spacing w:after="0" w:line="298" w:lineRule="auto"/>
        <w:tabs>
          <w:tab w:leader="none" w:pos="1397" w:val="left"/>
        </w:tabs>
        <w:numPr>
          <w:ilvl w:val="0"/>
          <w:numId w:val="14"/>
        </w:numPr>
        <w:rPr>
          <w:rFonts w:ascii="Arial" w:cs="Arial" w:eastAsia="Arial" w:hAnsi="Arial"/>
          <w:sz w:val="19"/>
          <w:szCs w:val="19"/>
          <w:color w:val="auto"/>
        </w:rPr>
      </w:pPr>
      <w:r>
        <w:rPr>
          <w:rFonts w:ascii="Arial" w:cs="Arial" w:eastAsia="Arial" w:hAnsi="Arial"/>
          <w:sz w:val="19"/>
          <w:szCs w:val="19"/>
          <w:color w:val="auto"/>
        </w:rPr>
        <w:t>subject to the Executive’s proper election to receive benefits under COBRA, the Company shall pay to the group health plan provider or the COBRA provider a monthly payment equal to all amounts necessary to provide health insurance to the Executive if the Executive had remained employed by the Company until the earliest of (A) the nine (9) month anniversary of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47" w:name="page48"/>
    <w:bookmarkEnd w:id="47"/>
    <w:p>
      <w:pPr>
        <w:jc w:val="both"/>
        <w:spacing w:after="0" w:line="306" w:lineRule="auto"/>
        <w:rPr>
          <w:sz w:val="20"/>
          <w:szCs w:val="20"/>
          <w:color w:val="auto"/>
        </w:rPr>
      </w:pPr>
      <w:r>
        <w:rPr>
          <w:rFonts w:ascii="Arial" w:cs="Arial" w:eastAsia="Arial" w:hAnsi="Arial"/>
          <w:sz w:val="19"/>
          <w:szCs w:val="19"/>
          <w:color w:val="auto"/>
        </w:rPr>
        <w:t>Date of Termination; (B) the Executive’s eligibility for group medical plan benefits under any other employer’s group medical plan; or (C) the cessation of the Executive’s continuation rights under COBRA; provided, however, if the Company determines that it cannot pay such amounts without potentially violating applicable law (including, without limitation, Section 2716 of the Public Health Service Act), then the Company will convert such payments to payroll payments directly to the Executive for the time period specified above. Such payments shall be subject to tax- related deductions and withholdings and paid on the Company’s regular payroll dates. For the avoidance of doubt, the taxable payments described above may be used for any purpose, including, but not limited to, continuation coverage under COBRA.</w:t>
      </w:r>
    </w:p>
    <w:p>
      <w:pPr>
        <w:spacing w:after="0" w:line="204" w:lineRule="exact"/>
        <w:rPr>
          <w:sz w:val="20"/>
          <w:szCs w:val="20"/>
          <w:color w:val="auto"/>
        </w:rPr>
      </w:pPr>
    </w:p>
    <w:p>
      <w:pPr>
        <w:jc w:val="both"/>
        <w:ind w:left="180" w:hanging="161"/>
        <w:spacing w:after="0" w:line="272" w:lineRule="auto"/>
        <w:rPr>
          <w:sz w:val="20"/>
          <w:szCs w:val="20"/>
          <w:color w:val="auto"/>
        </w:rPr>
      </w:pPr>
      <w:r>
        <w:rPr>
          <w:rFonts w:ascii="Arial" w:cs="Arial" w:eastAsia="Arial" w:hAnsi="Arial"/>
          <w:sz w:val="21"/>
          <w:szCs w:val="21"/>
          <w:b w:val="1"/>
          <w:bCs w:val="1"/>
          <w:u w:val="single" w:color="auto"/>
          <w:color w:val="auto"/>
        </w:rPr>
        <w:t>6.Accelerated Vesting; Extended Exercise Period.</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approval of the Board and provided that Executive satisfies</w:t>
      </w:r>
      <w:r>
        <w:rPr>
          <w:rFonts w:ascii="Arial" w:cs="Arial" w:eastAsia="Arial" w:hAnsi="Arial"/>
          <w:sz w:val="21"/>
          <w:szCs w:val="21"/>
          <w:b w:val="1"/>
          <w:bCs w:val="1"/>
          <w:color w:val="auto"/>
        </w:rPr>
        <w:t xml:space="preserve"> </w:t>
      </w:r>
      <w:r>
        <w:rPr>
          <w:rFonts w:ascii="Arial" w:cs="Arial" w:eastAsia="Arial" w:hAnsi="Arial"/>
          <w:sz w:val="21"/>
          <w:szCs w:val="21"/>
          <w:color w:val="auto"/>
        </w:rPr>
        <w:t>the Conditions, the Company shall extend the exercise period with respect to the Executive’s vested stock options until the earlier of (i) the original 10-year expiration date for such vested stock options as provided in the applicable Equity Documents, or (ii) 180 days after the Date of Termination (the “</w:t>
      </w:r>
      <w:r>
        <w:rPr>
          <w:rFonts w:ascii="Arial" w:cs="Arial" w:eastAsia="Arial" w:hAnsi="Arial"/>
          <w:sz w:val="21"/>
          <w:szCs w:val="21"/>
          <w:u w:val="single" w:color="auto"/>
          <w:color w:val="auto"/>
        </w:rPr>
        <w:t>Extended Exercise Period</w:t>
      </w:r>
      <w:r>
        <w:rPr>
          <w:rFonts w:ascii="Arial" w:cs="Arial" w:eastAsia="Arial" w:hAnsi="Arial"/>
          <w:sz w:val="21"/>
          <w:szCs w:val="21"/>
          <w:color w:val="auto"/>
        </w:rPr>
        <w:t>”). Furthermore, subject to the approval of the Board, in the event that the Company terminates Executive’s employment without Cause prior to April 12, 2022 and provided that Executive satisfies the Conditions, twenty-five percent (25%) of Executive’s option shares granted under the Stock Option Agreement under the Gemini Therapeutics, Inc. 2021 Inducement Plan, by and between the Company and the Executive, dated April 12, 2021, shall become fully vested on the Date of Termination and such vested options shall be subject to the Extended Exercise Period. The Executive should consult his tax advisor regarding the tax treatment of any stock option subject to the Extended Exercise Period.</w:t>
      </w:r>
    </w:p>
    <w:p>
      <w:pPr>
        <w:spacing w:after="0" w:line="233" w:lineRule="exact"/>
        <w:rPr>
          <w:sz w:val="20"/>
          <w:szCs w:val="20"/>
          <w:color w:val="auto"/>
        </w:rPr>
      </w:pPr>
    </w:p>
    <w:p>
      <w:pPr>
        <w:jc w:val="both"/>
        <w:ind w:left="180" w:hanging="161"/>
        <w:spacing w:after="0" w:line="300" w:lineRule="auto"/>
        <w:rPr>
          <w:sz w:val="20"/>
          <w:szCs w:val="20"/>
          <w:color w:val="auto"/>
        </w:rPr>
      </w:pPr>
      <w:r>
        <w:rPr>
          <w:rFonts w:ascii="Arial" w:cs="Arial" w:eastAsia="Arial" w:hAnsi="Arial"/>
          <w:sz w:val="19"/>
          <w:szCs w:val="19"/>
          <w:b w:val="1"/>
          <w:bCs w:val="1"/>
          <w:u w:val="single" w:color="auto"/>
          <w:color w:val="auto"/>
        </w:rPr>
        <w:t>7.General Release.</w:t>
      </w:r>
      <w:r>
        <w:rPr>
          <w:rFonts w:ascii="Arial" w:cs="Arial" w:eastAsia="Arial" w:hAnsi="Arial"/>
          <w:sz w:val="19"/>
          <w:szCs w:val="19"/>
          <w:b w:val="1"/>
          <w:bCs w:val="1"/>
          <w:color w:val="auto"/>
        </w:rPr>
        <w:t xml:space="preserve"> </w:t>
      </w:r>
      <w:r>
        <w:rPr>
          <w:rFonts w:ascii="Arial" w:cs="Arial" w:eastAsia="Arial" w:hAnsi="Arial"/>
          <w:sz w:val="19"/>
          <w:szCs w:val="19"/>
          <w:color w:val="auto"/>
        </w:rPr>
        <w:t>In consideration for, among other terms, the opportunity to continue the Executive’s at-will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Retention Period and to receive compensation, benefits and continued vesting during such time, and for the Milestone Payments, the Retention Bonus, Severance Benefits and Accelerated Vesting, if applicable, and the Extended Exercise Period, to which the Executive acknowledges he would not otherwise be entitled, the Executive irrevocably and unconditionally releases and forever discharges the Company, all of its subsidiaries and affiliated and related entities, its and their respective predecessors, successors and assigns, employee benefit plans and the fiduciaries of such plans, and the current and former officers, directors, shareholders, employees, attorneys, accountants, fiduciaries and agents of each of the foregoing in their official and personal capacities (collectively referred to as the “</w:t>
      </w:r>
      <w:r>
        <w:rPr>
          <w:rFonts w:ascii="Arial" w:cs="Arial" w:eastAsia="Arial" w:hAnsi="Arial"/>
          <w:sz w:val="19"/>
          <w:szCs w:val="19"/>
          <w:u w:val="single" w:color="auto"/>
          <w:color w:val="auto"/>
        </w:rPr>
        <w:t>Releasees</w:t>
      </w:r>
      <w:r>
        <w:rPr>
          <w:rFonts w:ascii="Arial" w:cs="Arial" w:eastAsia="Arial" w:hAnsi="Arial"/>
          <w:sz w:val="19"/>
          <w:szCs w:val="19"/>
          <w:color w:val="auto"/>
        </w:rPr>
        <w:t>”) generally from all claims, demands, debts, damages and liabilities of every name and nature, known or unknown, that, as of the date when the Executive signs this Agreement, he has, ever had, now claims to have or ever claimed to have had against any or all of the Releasees (“</w:t>
      </w:r>
      <w:r>
        <w:rPr>
          <w:rFonts w:ascii="Arial" w:cs="Arial" w:eastAsia="Arial" w:hAnsi="Arial"/>
          <w:sz w:val="19"/>
          <w:szCs w:val="19"/>
          <w:u w:val="single" w:color="auto"/>
          <w:color w:val="auto"/>
        </w:rPr>
        <w:t>Claims</w:t>
      </w:r>
      <w:r>
        <w:rPr>
          <w:rFonts w:ascii="Arial" w:cs="Arial" w:eastAsia="Arial" w:hAnsi="Arial"/>
          <w:sz w:val="19"/>
          <w:szCs w:val="19"/>
          <w:color w:val="auto"/>
        </w:rPr>
        <w:t>”). This release includes, without limitation, the complete waiver and release of all Claims: arising in connection with or under the Employment Agreement or any other agreement between the Executive and any of the Releasees; of breach of express or implied contract; of wrongful termination of employment, whether in contract or tort; of intentional, reckless or negligent infliction of emotional distress; of breach of any express or implied covenant of employment, including the covenant of good faith and fair dealing; of interference with contractual or advantageous relations, whether prospective or existing; of deceit or misrepresentation; of discrimination or retaliation under federal, state or local law, including, without limitation, Title VII of the Civil Rights Act of 1964, 42 U.S.C. § 2000e et seq., as amended, the Americans with Disabilities Act, 42 U.S.C. § 12101 et seq., the Age Discrimination in Employment Act, the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48" w:name="page49"/>
    <w:bookmarkEnd w:id="48"/>
    <w:p>
      <w:pPr>
        <w:jc w:val="both"/>
        <w:spacing w:after="0" w:line="300" w:lineRule="auto"/>
        <w:rPr>
          <w:sz w:val="20"/>
          <w:szCs w:val="20"/>
          <w:color w:val="auto"/>
        </w:rPr>
      </w:pPr>
      <w:r>
        <w:rPr>
          <w:rFonts w:ascii="Arial" w:cs="Arial" w:eastAsia="Arial" w:hAnsi="Arial"/>
          <w:sz w:val="19"/>
          <w:szCs w:val="19"/>
          <w:color w:val="auto"/>
        </w:rPr>
        <w:t>Massachusetts Fair Employment Practices Act or the Maryland Fair Employment Practices Act; under any federal, state, local or foreign statute, rule, ordinance or regulation; of promissory estoppel or detrimental reliance; of violation of public policy; for wages, bonuses, incentive compensation, vacation pay or any other compensation or benefits, whether under the Massachusetts Wage Act, or otherwise; for fraud, slander, libel, defamation, disparagement, personal injury, negligence, compensatory or punitive damages, or any other Claim for damages or injury of any kind whatsoever; and for monetary recovery, injunctive relief, attorneys’ fees, experts’ fees, medical fees or expenses, costs and disbursements. The Executive understands that this general release of Claims includes, without limitation, any and all Claims related to the Executive’s employment by the Company (including without limitation, any Claims against the Company in respect of any stock-based awards of any kind) and the termination of his employment, and all Claims as a Company stockholder or option holder arising up to and through the date that the Executive signs this Agreement. The Executive understands that this general release does not extend to any rights or claims that may arise out of acts or events that occur after the date on which the Executive signs this Agreement, or to Claims that cannot be released as a matter of law. The Executive represents that he has not assigned to any third party and has not filed with any agency or court any Claim released by this Agreement. This release does not affect the Executive’s rights or obligations under this Agreement, nor shall it affect the Executive’s rights, if any, to indemnification by the Company pursuant to the Company’s organizational documents or, if applicable, any written indemnification agreement between the Company and the Executive, or coverage, if any, under applicable directors’ and officers’ insurance policies.</w:t>
      </w:r>
    </w:p>
    <w:p>
      <w:pPr>
        <w:spacing w:after="0" w:line="200" w:lineRule="exact"/>
        <w:rPr>
          <w:sz w:val="20"/>
          <w:szCs w:val="20"/>
          <w:color w:val="auto"/>
        </w:rPr>
      </w:pPr>
    </w:p>
    <w:p>
      <w:pPr>
        <w:spacing w:after="0" w:line="287"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22"/>
          <w:szCs w:val="22"/>
          <w:b w:val="1"/>
          <w:bCs w:val="1"/>
          <w:u w:val="single" w:color="auto"/>
          <w:color w:val="auto"/>
        </w:rPr>
        <w:t>8.Return of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Upon the earlier of the Date of Termination or a request by the Company, the Executive is required to</w:t>
      </w:r>
      <w:r>
        <w:rPr>
          <w:rFonts w:ascii="Arial" w:cs="Arial" w:eastAsia="Arial" w:hAnsi="Arial"/>
          <w:sz w:val="22"/>
          <w:szCs w:val="22"/>
          <w:b w:val="1"/>
          <w:bCs w:val="1"/>
          <w:color w:val="auto"/>
        </w:rPr>
        <w:t xml:space="preserve"> </w:t>
      </w:r>
      <w:r>
        <w:rPr>
          <w:rFonts w:ascii="Arial" w:cs="Arial" w:eastAsia="Arial" w:hAnsi="Arial"/>
          <w:sz w:val="22"/>
          <w:szCs w:val="22"/>
          <w:color w:val="auto"/>
        </w:rPr>
        <w:t>immediately return all Company property, including, without limitation, his Company laptop, computer equipment, software, keys and access cards, credit cards, files and any documents (including computerized data and any copies made of any computerized data or software) containing information concerning the Company, its business or its business relationships (“</w:t>
      </w:r>
      <w:r>
        <w:rPr>
          <w:rFonts w:ascii="Arial" w:cs="Arial" w:eastAsia="Arial" w:hAnsi="Arial"/>
          <w:sz w:val="22"/>
          <w:szCs w:val="22"/>
          <w:u w:val="single" w:color="auto"/>
          <w:color w:val="auto"/>
        </w:rPr>
        <w:t>Company Property</w:t>
      </w:r>
      <w:r>
        <w:rPr>
          <w:rFonts w:ascii="Arial" w:cs="Arial" w:eastAsia="Arial" w:hAnsi="Arial"/>
          <w:sz w:val="22"/>
          <w:szCs w:val="22"/>
          <w:color w:val="auto"/>
        </w:rPr>
        <w:t>”). After returning all Company Property, the Executive commits to deleting and finally purging any duplicates of files or documents that may contain Company or customer information from any non-Company computer or other device that remains the Executive’s property after the Date of Termination. The obligations contained in this Section 6 are supplemental to, and not in lieu of, any return of property obligations the Executive has pursuant to Section 8(f) of the Employment Agreement.</w:t>
      </w:r>
    </w:p>
    <w:p>
      <w:pPr>
        <w:spacing w:after="0" w:line="243" w:lineRule="exact"/>
        <w:rPr>
          <w:sz w:val="20"/>
          <w:szCs w:val="20"/>
          <w:color w:val="auto"/>
        </w:rPr>
      </w:pPr>
    </w:p>
    <w:p>
      <w:pPr>
        <w:jc w:val="both"/>
        <w:ind w:left="180" w:hanging="161"/>
        <w:spacing w:after="0" w:line="269" w:lineRule="auto"/>
        <w:rPr>
          <w:sz w:val="20"/>
          <w:szCs w:val="20"/>
          <w:color w:val="auto"/>
        </w:rPr>
      </w:pPr>
      <w:r>
        <w:rPr>
          <w:rFonts w:ascii="Arial" w:cs="Arial" w:eastAsia="Arial" w:hAnsi="Arial"/>
          <w:sz w:val="21"/>
          <w:szCs w:val="21"/>
          <w:b w:val="1"/>
          <w:bCs w:val="1"/>
          <w:u w:val="single" w:color="auto"/>
          <w:color w:val="auto"/>
        </w:rPr>
        <w:t>9.Noncompetition and Nonsolicitation.</w:t>
      </w:r>
      <w:r>
        <w:rPr>
          <w:rFonts w:ascii="Arial" w:cs="Arial" w:eastAsia="Arial" w:hAnsi="Arial"/>
          <w:sz w:val="21"/>
          <w:szCs w:val="21"/>
          <w:b w:val="1"/>
          <w:bCs w:val="1"/>
          <w:color w:val="auto"/>
        </w:rPr>
        <w:t xml:space="preserve"> </w:t>
      </w:r>
      <w:r>
        <w:rPr>
          <w:rFonts w:ascii="Arial" w:cs="Arial" w:eastAsia="Arial" w:hAnsi="Arial"/>
          <w:sz w:val="21"/>
          <w:szCs w:val="21"/>
          <w:color w:val="auto"/>
        </w:rPr>
        <w:t>The Executive acknowledges and agrees that the nonsolicitation obligations set forth in</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8(h) of the Employment Agreement remain in full force and effect in accordance with their terms. This Section 7 adds a post-employment noncompetition obligation in connection with the Executive’s separation from employment in order to protect the Company’s Proprietary Information and goodwill. Accordingly, during the Executive’s employment and during the Restricted Period, the Executive shall not, directly or indirectly, whether as owner, partner, shareholder, director, manager, consultant, agent, employee, co-venturer or otherwise, anywhere in the world, engage or otherwise participate in any business that is, in whole or in part, engaged, or preparing to engage, in the Business (as defined below). The Executive acknowledges that this covenant is necessary because the Company’s legitimate business interests cannot be adequately protected solely by the other covenants in this Agreement. “</w:t>
      </w:r>
      <w:r>
        <w:rPr>
          <w:rFonts w:ascii="Arial" w:cs="Arial" w:eastAsia="Arial" w:hAnsi="Arial"/>
          <w:sz w:val="21"/>
          <w:szCs w:val="21"/>
          <w:u w:val="single" w:color="auto"/>
          <w:color w:val="auto"/>
        </w:rPr>
        <w:t>Business</w:t>
      </w:r>
      <w:r>
        <w:rPr>
          <w:rFonts w:ascii="Arial" w:cs="Arial" w:eastAsia="Arial" w:hAnsi="Arial"/>
          <w:sz w:val="21"/>
          <w:szCs w:val="21"/>
          <w:color w:val="auto"/>
        </w:rPr>
        <w:t>” shall mean, the research, manufacturing, development or marketing of a Geographic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49" w:name="page50"/>
    <w:bookmarkEnd w:id="49"/>
    <w:p>
      <w:pPr>
        <w:jc w:val="both"/>
        <w:spacing w:after="0" w:line="266" w:lineRule="auto"/>
        <w:rPr>
          <w:sz w:val="20"/>
          <w:szCs w:val="20"/>
          <w:color w:val="auto"/>
        </w:rPr>
      </w:pPr>
      <w:r>
        <w:rPr>
          <w:rFonts w:ascii="Arial" w:cs="Arial" w:eastAsia="Arial" w:hAnsi="Arial"/>
          <w:sz w:val="22"/>
          <w:szCs w:val="22"/>
          <w:color w:val="auto"/>
        </w:rPr>
        <w:t>Atrophy therapeutic or any complement therapeutic and the performance of any services related to the foregoing as previously or currently conducted by the Company or as planned to be conducted in the future by the Company as publicly disclosed by the Company or as disclosed to Executive during his employment with the Company.</w:t>
      </w:r>
    </w:p>
    <w:p>
      <w:pPr>
        <w:spacing w:after="0" w:line="233" w:lineRule="exact"/>
        <w:rPr>
          <w:sz w:val="20"/>
          <w:szCs w:val="20"/>
          <w:color w:val="auto"/>
        </w:rPr>
      </w:pPr>
    </w:p>
    <w:p>
      <w:pPr>
        <w:jc w:val="both"/>
        <w:ind w:left="280" w:hanging="269"/>
        <w:spacing w:after="0" w:line="307" w:lineRule="auto"/>
        <w:rPr>
          <w:sz w:val="20"/>
          <w:szCs w:val="20"/>
          <w:color w:val="auto"/>
        </w:rPr>
      </w:pPr>
      <w:r>
        <w:rPr>
          <w:rFonts w:ascii="Arial" w:cs="Arial" w:eastAsia="Arial" w:hAnsi="Arial"/>
          <w:sz w:val="19"/>
          <w:szCs w:val="19"/>
          <w:b w:val="1"/>
          <w:bCs w:val="1"/>
          <w:u w:val="single" w:color="auto"/>
          <w:color w:val="auto"/>
        </w:rPr>
        <w:t>10.Communications.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 agrees that he will not communicate about his transition and/or departure with anyone until</w:t>
      </w:r>
      <w:r>
        <w:rPr>
          <w:rFonts w:ascii="Arial" w:cs="Arial" w:eastAsia="Arial" w:hAnsi="Arial"/>
          <w:sz w:val="19"/>
          <w:szCs w:val="19"/>
          <w:b w:val="1"/>
          <w:bCs w:val="1"/>
          <w:color w:val="auto"/>
        </w:rPr>
        <w:t xml:space="preserve"> </w:t>
      </w:r>
      <w:r>
        <w:rPr>
          <w:rFonts w:ascii="Arial" w:cs="Arial" w:eastAsia="Arial" w:hAnsi="Arial"/>
          <w:sz w:val="19"/>
          <w:szCs w:val="19"/>
          <w:color w:val="auto"/>
        </w:rPr>
        <w:t>after the Company has made a formal written announcement about the Executive’s transition and/or departure through an email communication (the “</w:t>
      </w:r>
      <w:r>
        <w:rPr>
          <w:rFonts w:ascii="Arial" w:cs="Arial" w:eastAsia="Arial" w:hAnsi="Arial"/>
          <w:sz w:val="19"/>
          <w:szCs w:val="19"/>
          <w:u w:val="single" w:color="auto"/>
          <w:color w:val="auto"/>
        </w:rPr>
        <w:t>Company Announcement</w:t>
      </w:r>
      <w:r>
        <w:rPr>
          <w:rFonts w:ascii="Arial" w:cs="Arial" w:eastAsia="Arial" w:hAnsi="Arial"/>
          <w:sz w:val="19"/>
          <w:szCs w:val="19"/>
          <w:color w:val="auto"/>
        </w:rPr>
        <w:t>”); provided that the Executive may communicate with his tax advisors, attorneys, and spouse about his transition and/or departure before the Company Announcement, provided further that the Executive first advises such persons not to reveal information about the Executive’s departure and each such person agrees. Once the Company has made the Company Announcement, the Executive agrees to limit any communications regarding his transition and/or departure to statements consistent with the Company Announcement.</w:t>
      </w:r>
    </w:p>
    <w:p>
      <w:pPr>
        <w:spacing w:after="0" w:line="204" w:lineRule="exact"/>
        <w:rPr>
          <w:sz w:val="20"/>
          <w:szCs w:val="20"/>
          <w:color w:val="auto"/>
        </w:rPr>
      </w:pPr>
    </w:p>
    <w:p>
      <w:pPr>
        <w:jc w:val="both"/>
        <w:ind w:left="260" w:hanging="257"/>
        <w:spacing w:after="0" w:line="275" w:lineRule="auto"/>
        <w:rPr>
          <w:sz w:val="20"/>
          <w:szCs w:val="20"/>
          <w:color w:val="auto"/>
        </w:rPr>
      </w:pPr>
      <w:r>
        <w:rPr>
          <w:rFonts w:ascii="Arial" w:cs="Arial" w:eastAsia="Arial" w:hAnsi="Arial"/>
          <w:sz w:val="21"/>
          <w:szCs w:val="21"/>
          <w:b w:val="1"/>
          <w:bCs w:val="1"/>
          <w:u w:val="single" w:color="auto"/>
          <w:color w:val="auto"/>
        </w:rPr>
        <w:t>11.Non-Disparagement.</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Section 13 of this Agreement, the Executive agrees not to take any action or make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statements (whether written, oral, through social or electronic media or otherwise) that are disparaging about or adverse to the business interests of the Company or any of the Releasees. The Executive further agrees not to take any actions or conduct himself in any way that would reasonably be expected to affect adversely the reputation or goodwill of the Company or any of the Releasees. </w:t>
      </w:r>
      <w:r>
        <w:rPr>
          <w:rFonts w:ascii="Arial" w:cs="Arial" w:eastAsia="Arial" w:hAnsi="Arial"/>
          <w:sz w:val="22"/>
          <w:szCs w:val="22"/>
          <w:color w:val="auto"/>
        </w:rPr>
        <w:t>T</w:t>
      </w:r>
      <w:r>
        <w:rPr>
          <w:rFonts w:ascii="Arial" w:cs="Arial" w:eastAsia="Arial" w:hAnsi="Arial"/>
          <w:sz w:val="21"/>
          <w:szCs w:val="21"/>
          <w:color w:val="auto"/>
        </w:rPr>
        <w:t>he Company shall instruct its senior officers and members of the Board of Directors not to engage in any conduct which is intended to harm professionally or personally Executive’s reputation. Notwithstanding anything in this Section 9 or elsewhere in this Agreement, both Executive and the Company shall respond truthfully to any valid subpoena or government inquiry.</w:t>
      </w:r>
    </w:p>
    <w:p>
      <w:pPr>
        <w:spacing w:after="0" w:line="230" w:lineRule="exact"/>
        <w:rPr>
          <w:sz w:val="20"/>
          <w:szCs w:val="20"/>
          <w:color w:val="auto"/>
        </w:rPr>
      </w:pPr>
    </w:p>
    <w:p>
      <w:pPr>
        <w:jc w:val="both"/>
        <w:ind w:left="280" w:hanging="269"/>
        <w:spacing w:after="0" w:line="298" w:lineRule="auto"/>
        <w:rPr>
          <w:sz w:val="20"/>
          <w:szCs w:val="20"/>
          <w:color w:val="auto"/>
        </w:rPr>
      </w:pPr>
      <w:r>
        <w:rPr>
          <w:rFonts w:ascii="Arial" w:cs="Arial" w:eastAsia="Arial" w:hAnsi="Arial"/>
          <w:sz w:val="19"/>
          <w:szCs w:val="19"/>
          <w:b w:val="1"/>
          <w:bCs w:val="1"/>
          <w:u w:val="single" w:color="auto"/>
          <w:color w:val="auto"/>
        </w:rPr>
        <w:t>12.Ongoing Obligations; Injunctive Relief.</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 acknowledges that the opportunity to continue his at-will</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during the Retention Period and receive the associated compensation, benefits and equity vesting, as well as to receive or retain the Milestone Payments, the Retention Bonus, the Severance Benefits, the Accelerated Vesting, if applicable, and the Extended Exercise Period, is conditioned on his full compliance with Sections 6 through 9 of this Agreement and the Preserved Provisions, which are incorporated by reference herein (collectively, the “</w:t>
      </w:r>
      <w:r>
        <w:rPr>
          <w:rFonts w:ascii="Arial" w:cs="Arial" w:eastAsia="Arial" w:hAnsi="Arial"/>
          <w:sz w:val="19"/>
          <w:szCs w:val="19"/>
          <w:u w:val="single" w:color="auto"/>
          <w:color w:val="auto"/>
        </w:rPr>
        <w:t>Ongoing Obligations</w:t>
      </w:r>
      <w:r>
        <w:rPr>
          <w:rFonts w:ascii="Arial" w:cs="Arial" w:eastAsia="Arial" w:hAnsi="Arial"/>
          <w:sz w:val="19"/>
          <w:szCs w:val="19"/>
          <w:color w:val="auto"/>
        </w:rPr>
        <w:t>”). In the event that</w:t>
      </w:r>
    </w:p>
    <w:p>
      <w:pPr>
        <w:spacing w:after="0" w:line="4" w:lineRule="exact"/>
        <w:rPr>
          <w:sz w:val="20"/>
          <w:szCs w:val="20"/>
          <w:color w:val="auto"/>
        </w:rPr>
      </w:pPr>
    </w:p>
    <w:p>
      <w:pPr>
        <w:jc w:val="both"/>
        <w:ind w:left="280" w:hanging="2"/>
        <w:spacing w:after="0" w:line="296" w:lineRule="auto"/>
        <w:tabs>
          <w:tab w:leader="none" w:pos="545"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Executive fails to comply with any of the Ongoing Obligations, or (ii) the Board learns new information after the Date of Termination and determines that the Executive’s employment could have been terminated for Cause under the Employment Agreement, then in addition to any other legal or equitable remedies it may have for such breach, the Company shall have the right to immediately terminate the Executive’s employment for Cause if he remains employed, and to terminate any Retention Bonus or Severance Benefits. Such actions in the event of a breach by the Executive shall not affect the general release in Section 5 of this Agreement or the Executive’s obligation to comply with the Ongoing Obligations. Further, the Executive agrees that any breach of the Ongoing Obligations is likely to cause the Company substantial and irrevocable damage and therefore, in the event of such breach, the Company, in addition to such other remedies which may be available, will be entitled to specific performance and other injunctive relief, without the posting of a bond. If the Executive violates the Ongoing Obligations, in addition to all other remedies available to the Company at law, in equity and under contract, the Executive agrees that the Executive is obligated to pay all</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50" w:name="page51"/>
    <w:bookmarkEnd w:id="50"/>
    <w:p>
      <w:pPr>
        <w:jc w:val="both"/>
        <w:spacing w:after="0" w:line="276" w:lineRule="auto"/>
        <w:rPr>
          <w:sz w:val="20"/>
          <w:szCs w:val="20"/>
          <w:color w:val="auto"/>
        </w:rPr>
      </w:pPr>
      <w:r>
        <w:rPr>
          <w:rFonts w:ascii="Arial" w:cs="Arial" w:eastAsia="Arial" w:hAnsi="Arial"/>
          <w:sz w:val="22"/>
          <w:szCs w:val="22"/>
          <w:color w:val="auto"/>
        </w:rPr>
        <w:t>the Company’s costs of enforcement of this Agreement, including reasonable attorneys’ fees and expenses in the event that the Company is a prevailing party as determined by a court in connection with any enforcement action.</w:t>
      </w:r>
    </w:p>
    <w:p>
      <w:pPr>
        <w:spacing w:after="0" w:line="222" w:lineRule="exact"/>
        <w:rPr>
          <w:sz w:val="20"/>
          <w:szCs w:val="20"/>
          <w:color w:val="auto"/>
        </w:rPr>
      </w:pPr>
    </w:p>
    <w:p>
      <w:pPr>
        <w:jc w:val="both"/>
        <w:ind w:left="280" w:hanging="269"/>
        <w:spacing w:after="0" w:line="262" w:lineRule="auto"/>
        <w:rPr>
          <w:sz w:val="20"/>
          <w:szCs w:val="20"/>
          <w:color w:val="auto"/>
        </w:rPr>
      </w:pPr>
      <w:r>
        <w:rPr>
          <w:rFonts w:ascii="Arial" w:cs="Arial" w:eastAsia="Arial" w:hAnsi="Arial"/>
          <w:sz w:val="22"/>
          <w:szCs w:val="22"/>
          <w:b w:val="1"/>
          <w:bCs w:val="1"/>
          <w:u w:val="single" w:color="auto"/>
          <w:color w:val="auto"/>
        </w:rPr>
        <w:t>13.Advice of Counsel.</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a legally binding document and the Executive’s signature will commit the Executive to</w:t>
      </w:r>
      <w:r>
        <w:rPr>
          <w:rFonts w:ascii="Arial" w:cs="Arial" w:eastAsia="Arial" w:hAnsi="Arial"/>
          <w:sz w:val="22"/>
          <w:szCs w:val="22"/>
          <w:b w:val="1"/>
          <w:bCs w:val="1"/>
          <w:color w:val="auto"/>
        </w:rPr>
        <w:t xml:space="preserve"> </w:t>
      </w:r>
      <w:r>
        <w:rPr>
          <w:rFonts w:ascii="Arial" w:cs="Arial" w:eastAsia="Arial" w:hAnsi="Arial"/>
          <w:sz w:val="22"/>
          <w:szCs w:val="22"/>
          <w:color w:val="auto"/>
        </w:rPr>
        <w:t>its terms. The Company advises the Executive to consult with an attorney prior to signing this Agreement. The Executive acknowledges that he has carefully read and fully understands all of the provisions of this Agreement and that he is voluntarily entering into this Agreement. In signing this Agreement, the Executive is not relying upon any promises or representations made by anyone at or on behalf of the Company.</w:t>
      </w:r>
    </w:p>
    <w:p>
      <w:pPr>
        <w:spacing w:after="0" w:line="239" w:lineRule="exact"/>
        <w:rPr>
          <w:sz w:val="20"/>
          <w:szCs w:val="20"/>
          <w:color w:val="auto"/>
        </w:rPr>
      </w:pPr>
    </w:p>
    <w:p>
      <w:pPr>
        <w:jc w:val="both"/>
        <w:ind w:left="280" w:hanging="269"/>
        <w:spacing w:after="0" w:line="364" w:lineRule="auto"/>
        <w:rPr>
          <w:sz w:val="20"/>
          <w:szCs w:val="20"/>
          <w:color w:val="auto"/>
        </w:rPr>
      </w:pPr>
      <w:r>
        <w:rPr>
          <w:rFonts w:ascii="Arial" w:cs="Arial" w:eastAsia="Arial" w:hAnsi="Arial"/>
          <w:sz w:val="19"/>
          <w:szCs w:val="19"/>
          <w:b w:val="1"/>
          <w:bCs w:val="1"/>
          <w:u w:val="single" w:color="auto"/>
          <w:color w:val="auto"/>
        </w:rPr>
        <w:t>14.Attorneys’ Fees.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shall reimburse the Executive for up to $5,000 in his reasonable attorneys’ fees with respect</w:t>
      </w:r>
      <w:r>
        <w:rPr>
          <w:rFonts w:ascii="Arial" w:cs="Arial" w:eastAsia="Arial" w:hAnsi="Arial"/>
          <w:sz w:val="19"/>
          <w:szCs w:val="19"/>
          <w:b w:val="1"/>
          <w:bCs w:val="1"/>
          <w:color w:val="auto"/>
        </w:rPr>
        <w:t xml:space="preserve"> </w:t>
      </w:r>
      <w:r>
        <w:rPr>
          <w:rFonts w:ascii="Arial" w:cs="Arial" w:eastAsia="Arial" w:hAnsi="Arial"/>
          <w:sz w:val="19"/>
          <w:szCs w:val="19"/>
          <w:color w:val="auto"/>
        </w:rPr>
        <w:t>to having legal counsel review this Agreement, subject to the Company’s expense reimbursement policies and procedures.</w:t>
      </w:r>
    </w:p>
    <w:p>
      <w:pPr>
        <w:spacing w:after="0" w:line="147" w:lineRule="exact"/>
        <w:rPr>
          <w:sz w:val="20"/>
          <w:szCs w:val="20"/>
          <w:color w:val="auto"/>
        </w:rPr>
      </w:pPr>
    </w:p>
    <w:p>
      <w:pPr>
        <w:jc w:val="both"/>
        <w:ind w:left="280" w:hanging="269"/>
        <w:spacing w:after="0" w:line="305" w:lineRule="auto"/>
        <w:rPr>
          <w:sz w:val="20"/>
          <w:szCs w:val="20"/>
          <w:color w:val="auto"/>
        </w:rPr>
      </w:pPr>
      <w:r>
        <w:rPr>
          <w:rFonts w:ascii="Arial" w:cs="Arial" w:eastAsia="Arial" w:hAnsi="Arial"/>
          <w:sz w:val="19"/>
          <w:szCs w:val="19"/>
          <w:b w:val="1"/>
          <w:bCs w:val="1"/>
          <w:u w:val="single" w:color="auto"/>
          <w:color w:val="auto"/>
        </w:rPr>
        <w:t>15.Protected Disclosures.</w:t>
      </w:r>
      <w:r>
        <w:rPr>
          <w:rFonts w:ascii="Arial" w:cs="Arial" w:eastAsia="Arial" w:hAnsi="Arial"/>
          <w:sz w:val="19"/>
          <w:szCs w:val="19"/>
          <w:b w:val="1"/>
          <w:bCs w:val="1"/>
          <w:color w:val="auto"/>
        </w:rPr>
        <w:t xml:space="preserve"> </w:t>
      </w:r>
      <w:r>
        <w:rPr>
          <w:rFonts w:ascii="Arial" w:cs="Arial" w:eastAsia="Arial" w:hAnsi="Arial"/>
          <w:sz w:val="19"/>
          <w:szCs w:val="19"/>
          <w:color w:val="auto"/>
        </w:rPr>
        <w:t>Nothing in this Agreement or otherwise limits the Executive’s (i) obligation to testify truthfully in any</w:t>
      </w:r>
      <w:r>
        <w:rPr>
          <w:rFonts w:ascii="Arial" w:cs="Arial" w:eastAsia="Arial" w:hAnsi="Arial"/>
          <w:sz w:val="19"/>
          <w:szCs w:val="19"/>
          <w:b w:val="1"/>
          <w:bCs w:val="1"/>
          <w:color w:val="auto"/>
        </w:rPr>
        <w:t xml:space="preserve"> </w:t>
      </w:r>
      <w:r>
        <w:rPr>
          <w:rFonts w:ascii="Arial" w:cs="Arial" w:eastAsia="Arial" w:hAnsi="Arial"/>
          <w:sz w:val="19"/>
          <w:szCs w:val="19"/>
          <w:color w:val="auto"/>
        </w:rPr>
        <w:t>legal proceeding; (ii) right to file a charge or complaint with any federal agency or any state or local governmental agency or commission (together, a “</w:t>
      </w:r>
      <w:r>
        <w:rPr>
          <w:rFonts w:ascii="Arial" w:cs="Arial" w:eastAsia="Arial" w:hAnsi="Arial"/>
          <w:sz w:val="19"/>
          <w:szCs w:val="19"/>
          <w:u w:val="single" w:color="auto"/>
          <w:color w:val="auto"/>
        </w:rPr>
        <w:t>Government Agency</w:t>
      </w:r>
      <w:r>
        <w:rPr>
          <w:rFonts w:ascii="Arial" w:cs="Arial" w:eastAsia="Arial" w:hAnsi="Arial"/>
          <w:sz w:val="19"/>
          <w:szCs w:val="19"/>
          <w:color w:val="auto"/>
        </w:rPr>
        <w:t>”); or (iii) ability to communicate with, provide documents and information to, or otherwise participate in any investigation or proceeding that may be conducted by any Government Agency or to make any disclosures mandated by state or federal law. If the Executive files any charge or complaint with any Government Agency and if the Government Agency pursues any claim on the Executive’s behalf, or if any other third party pursues any claim on the Executive’s behalf, the Executive waives any right to monetary or other individualized relief (either individually or as part of any collective or class action); provided that nothing in this Agreement limits any right the Executive may have to receive a whistleblower award or bounty for information provided to the Securities and Exchange Commission.</w:t>
      </w:r>
    </w:p>
    <w:p>
      <w:pPr>
        <w:spacing w:after="0" w:line="201" w:lineRule="exact"/>
        <w:rPr>
          <w:sz w:val="20"/>
          <w:szCs w:val="20"/>
          <w:color w:val="auto"/>
        </w:rPr>
      </w:pPr>
    </w:p>
    <w:p>
      <w:pPr>
        <w:jc w:val="both"/>
        <w:ind w:left="280" w:hanging="269"/>
        <w:spacing w:after="0" w:line="302" w:lineRule="auto"/>
        <w:rPr>
          <w:sz w:val="20"/>
          <w:szCs w:val="20"/>
          <w:color w:val="auto"/>
        </w:rPr>
      </w:pPr>
      <w:r>
        <w:rPr>
          <w:rFonts w:ascii="Arial" w:cs="Arial" w:eastAsia="Arial" w:hAnsi="Arial"/>
          <w:sz w:val="19"/>
          <w:szCs w:val="19"/>
          <w:b w:val="1"/>
          <w:bCs w:val="1"/>
          <w:u w:val="single" w:color="auto"/>
          <w:color w:val="auto"/>
        </w:rPr>
        <w:t>16.Time for Consideration; Effective Date.</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 acknowledges that he has been given the opportunity to consider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for 21 days before executing it (the “</w:t>
      </w:r>
      <w:r>
        <w:rPr>
          <w:rFonts w:ascii="Arial" w:cs="Arial" w:eastAsia="Arial" w:hAnsi="Arial"/>
          <w:sz w:val="19"/>
          <w:szCs w:val="19"/>
          <w:u w:val="single" w:color="auto"/>
          <w:color w:val="auto"/>
        </w:rPr>
        <w:t>Consideration Period</w:t>
      </w:r>
      <w:r>
        <w:rPr>
          <w:rFonts w:ascii="Arial" w:cs="Arial" w:eastAsia="Arial" w:hAnsi="Arial"/>
          <w:sz w:val="19"/>
          <w:szCs w:val="19"/>
          <w:color w:val="auto"/>
        </w:rPr>
        <w:t>”). To accept this Agreement, the Executive must return a signed, unmodified original or PDF copy of this Agreement so that it is received by the undersigned at or before the expiration of the Consideration Period. If the Executive signs this Agreement before the end of the Consideration Period, the Executive acknowledges that such decision was entirely voluntary and that the Executive had the opportunity to consider this Agreement for the entire Consideration Period. For the period of seven (7) business days from the date when the Executive signs this Agreement, the Executive has the right to revoke this Agreement by written notice to the undersigned, provided that such notice is delivered so that it is received at or before the expiration of the seven (7)-business day revocation period. This Agreement shall not become effective or enforceable during the revocation period. This Agreement shall become effective on the first business day following the expiration of the revocation period (the “</w:t>
      </w:r>
      <w:r>
        <w:rPr>
          <w:rFonts w:ascii="Arial" w:cs="Arial" w:eastAsia="Arial" w:hAnsi="Arial"/>
          <w:sz w:val="19"/>
          <w:szCs w:val="19"/>
          <w:u w:val="single" w:color="auto"/>
          <w:color w:val="auto"/>
        </w:rPr>
        <w:t>Effective Date</w:t>
      </w:r>
      <w:r>
        <w:rPr>
          <w:rFonts w:ascii="Arial" w:cs="Arial" w:eastAsia="Arial" w:hAnsi="Arial"/>
          <w:sz w:val="19"/>
          <w:szCs w:val="19"/>
          <w:color w:val="auto"/>
        </w:rPr>
        <w:t>”). Notwithstanding the foregoing, the Company may withdraw the offer of this Agreement or may void this Agreement before the Effective Date if the Executive breaches any provision contained in this Agreement (including any provision of the Preserved Provisions).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17.Enforceability.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any portion or provision of this Agreement (including, without limitation,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51" w:name="page52"/>
    <w:bookmarkEnd w:id="51"/>
    <w:p>
      <w:pPr>
        <w:jc w:val="both"/>
        <w:spacing w:after="0" w:line="279" w:lineRule="auto"/>
        <w:rPr>
          <w:sz w:val="20"/>
          <w:szCs w:val="20"/>
          <w:color w:val="auto"/>
        </w:rPr>
      </w:pPr>
      <w:r>
        <w:rPr>
          <w:rFonts w:ascii="Arial" w:cs="Arial" w:eastAsia="Arial" w:hAnsi="Arial"/>
          <w:sz w:val="21"/>
          <w:szCs w:val="21"/>
          <w:color w:val="auto"/>
        </w:rPr>
        <w:t>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221" w:lineRule="exact"/>
        <w:rPr>
          <w:sz w:val="20"/>
          <w:szCs w:val="20"/>
          <w:color w:val="auto"/>
        </w:rPr>
      </w:pPr>
    </w:p>
    <w:p>
      <w:pPr>
        <w:jc w:val="both"/>
        <w:ind w:left="280" w:hanging="269"/>
        <w:spacing w:after="0" w:line="307" w:lineRule="auto"/>
        <w:rPr>
          <w:sz w:val="20"/>
          <w:szCs w:val="20"/>
          <w:color w:val="auto"/>
        </w:rPr>
      </w:pPr>
      <w:r>
        <w:rPr>
          <w:rFonts w:ascii="Arial" w:cs="Arial" w:eastAsia="Arial" w:hAnsi="Arial"/>
          <w:sz w:val="19"/>
          <w:szCs w:val="19"/>
          <w:b w:val="1"/>
          <w:bCs w:val="1"/>
          <w:u w:val="single" w:color="auto"/>
          <w:color w:val="auto"/>
        </w:rPr>
        <w:t>18.Entire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together with the Preserved Provisions, constitutes the entire agreement between the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and the Company concerning the Executive’s employment with the Company, and supersedes and replaces any and all prior agreements and understandings between the Parties concerning the Executive’s employment with the Company including, without limitation, the Employment Agreement (except for the Change in Control Payment as provided in Section 1(g) of this Agreement, the Preserved Provisions, the definition of Cause in Section 3(c), the definition of “without Cause” in Section 3(d), and Sections 19 through 30 thereof, which are preserved), provided that the Equity Documents shall continue to be in full force and effect in accordance with their terms, subject to the terms of this Agreement.</w:t>
      </w:r>
    </w:p>
    <w:p>
      <w:pPr>
        <w:spacing w:after="0" w:line="204" w:lineRule="exact"/>
        <w:rPr>
          <w:sz w:val="20"/>
          <w:szCs w:val="20"/>
          <w:color w:val="auto"/>
        </w:rPr>
      </w:pPr>
    </w:p>
    <w:p>
      <w:pPr>
        <w:jc w:val="both"/>
        <w:ind w:left="280" w:hanging="269"/>
        <w:spacing w:after="0" w:line="276" w:lineRule="auto"/>
        <w:rPr>
          <w:sz w:val="20"/>
          <w:szCs w:val="20"/>
          <w:color w:val="auto"/>
        </w:rPr>
      </w:pPr>
      <w:r>
        <w:rPr>
          <w:rFonts w:ascii="Arial" w:cs="Arial" w:eastAsia="Arial" w:hAnsi="Arial"/>
          <w:sz w:val="21"/>
          <w:szCs w:val="21"/>
          <w:b w:val="1"/>
          <w:bCs w:val="1"/>
          <w:u w:val="single" w:color="auto"/>
          <w:color w:val="auto"/>
        </w:rPr>
        <w:t>19.Waiver; Amendment.</w:t>
      </w:r>
      <w:r>
        <w:rPr>
          <w:rFonts w:ascii="Arial" w:cs="Arial" w:eastAsia="Arial" w:hAnsi="Arial"/>
          <w:sz w:val="21"/>
          <w:szCs w:val="21"/>
          <w:b w:val="1"/>
          <w:bCs w:val="1"/>
          <w:color w:val="auto"/>
        </w:rPr>
        <w:t xml:space="preserve"> </w:t>
      </w:r>
      <w:r>
        <w:rPr>
          <w:rFonts w:ascii="Arial" w:cs="Arial" w:eastAsia="Arial" w:hAnsi="Arial"/>
          <w:sz w:val="21"/>
          <w:szCs w:val="21"/>
          <w:color w:val="auto"/>
        </w:rPr>
        <w:t>No waiver of any provision of this Agreement, including the Ongoing Obligations, shall be effective</w:t>
      </w:r>
      <w:r>
        <w:rPr>
          <w:rFonts w:ascii="Arial" w:cs="Arial" w:eastAsia="Arial" w:hAnsi="Arial"/>
          <w:sz w:val="21"/>
          <w:szCs w:val="21"/>
          <w:b w:val="1"/>
          <w:bCs w:val="1"/>
          <w:color w:val="auto"/>
        </w:rPr>
        <w:t xml:space="preserve"> </w:t>
      </w:r>
      <w:r>
        <w:rPr>
          <w:rFonts w:ascii="Arial" w:cs="Arial" w:eastAsia="Arial" w:hAnsi="Arial"/>
          <w:sz w:val="21"/>
          <w:szCs w:val="21"/>
          <w:color w:val="auto"/>
        </w:rPr>
        <w:t>unless made in writing and signed by the waiving party. The failure of the Company to require the performance of any term or obligation of this Agreement or the Ongoing Obligations, or the waiver by the Company of any breach of this Agreement or the Ongoing Obligations shall not prevent any subsequent enforcement of such term or obligation or be deemed a waiver of any subsequent breach. This Agreement may not be modified or amended except in a writing signed by both the Executive and a duly authorized representative of the Company.</w:t>
      </w:r>
    </w:p>
    <w:p>
      <w:pPr>
        <w:spacing w:after="0" w:line="224" w:lineRule="exact"/>
        <w:rPr>
          <w:sz w:val="20"/>
          <w:szCs w:val="20"/>
          <w:color w:val="auto"/>
        </w:rPr>
      </w:pPr>
    </w:p>
    <w:p>
      <w:pPr>
        <w:jc w:val="both"/>
        <w:ind w:left="280" w:hanging="269"/>
        <w:spacing w:after="0" w:line="262" w:lineRule="auto"/>
        <w:rPr>
          <w:sz w:val="20"/>
          <w:szCs w:val="20"/>
          <w:color w:val="auto"/>
        </w:rPr>
      </w:pPr>
      <w:r>
        <w:rPr>
          <w:rFonts w:ascii="Arial" w:cs="Arial" w:eastAsia="Arial" w:hAnsi="Arial"/>
          <w:sz w:val="22"/>
          <w:szCs w:val="22"/>
          <w:b w:val="1"/>
          <w:bCs w:val="1"/>
          <w:u w:val="single" w:color="auto"/>
          <w:color w:val="auto"/>
        </w:rPr>
        <w:t>20.Taxes.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shall undertake to make deductions, withholdings and tax reports with respect to payments and 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this Agreement to the extent that it reasonably and in good faith determines that it is required to make such deductions, withholdings and tax reports. Nothing in this Agreement shall be construed to require the Company to make any payments to compensate the Executive for any adverse tax effect associated with any payments or benefits or withholding from any payment or benefit.</w:t>
      </w:r>
    </w:p>
    <w:p>
      <w:pPr>
        <w:spacing w:after="0" w:line="239" w:lineRule="exact"/>
        <w:rPr>
          <w:sz w:val="20"/>
          <w:szCs w:val="20"/>
          <w:color w:val="auto"/>
        </w:rPr>
      </w:pPr>
    </w:p>
    <w:p>
      <w:pPr>
        <w:jc w:val="both"/>
        <w:ind w:left="280" w:hanging="269"/>
        <w:spacing w:after="0" w:line="297" w:lineRule="auto"/>
        <w:rPr>
          <w:sz w:val="20"/>
          <w:szCs w:val="20"/>
          <w:color w:val="auto"/>
        </w:rPr>
      </w:pPr>
      <w:r>
        <w:rPr>
          <w:rFonts w:ascii="Arial" w:cs="Arial" w:eastAsia="Arial" w:hAnsi="Arial"/>
          <w:sz w:val="19"/>
          <w:szCs w:val="19"/>
          <w:b w:val="1"/>
          <w:bCs w:val="1"/>
          <w:u w:val="single" w:color="auto"/>
          <w:color w:val="auto"/>
        </w:rPr>
        <w:t>21.Section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Anything in this Agreement to the contrary notwithstanding, if at the time of the Executive’s separation from</w:t>
      </w:r>
      <w:r>
        <w:rPr>
          <w:rFonts w:ascii="Arial" w:cs="Arial" w:eastAsia="Arial" w:hAnsi="Arial"/>
          <w:sz w:val="19"/>
          <w:szCs w:val="19"/>
          <w:b w:val="1"/>
          <w:bCs w:val="1"/>
          <w:color w:val="auto"/>
        </w:rPr>
        <w:t xml:space="preserve"> </w:t>
      </w:r>
      <w:r>
        <w:rPr>
          <w:rFonts w:ascii="Arial" w:cs="Arial" w:eastAsia="Arial" w:hAnsi="Arial"/>
          <w:sz w:val="19"/>
          <w:szCs w:val="19"/>
          <w:color w:val="auto"/>
        </w:rPr>
        <w:t>service within the meaning of Section 409A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 To the extent that any payment or benefit described in this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52" w:name="page53"/>
    <w:bookmarkEnd w:id="52"/>
    <w:p>
      <w:pPr>
        <w:jc w:val="both"/>
        <w:spacing w:after="0" w:line="301" w:lineRule="auto"/>
        <w:rPr>
          <w:sz w:val="20"/>
          <w:szCs w:val="20"/>
          <w:color w:val="auto"/>
        </w:rPr>
      </w:pPr>
      <w:r>
        <w:rPr>
          <w:rFonts w:ascii="Arial" w:cs="Arial" w:eastAsia="Arial" w:hAnsi="Arial"/>
          <w:sz w:val="19"/>
          <w:szCs w:val="19"/>
          <w:color w:val="auto"/>
        </w:rPr>
        <w:t>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1.409A-l(h). 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 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212" w:lineRule="exact"/>
        <w:rPr>
          <w:sz w:val="20"/>
          <w:szCs w:val="20"/>
          <w:color w:val="auto"/>
        </w:rPr>
      </w:pPr>
    </w:p>
    <w:p>
      <w:pPr>
        <w:jc w:val="both"/>
        <w:ind w:left="280" w:hanging="269"/>
        <w:spacing w:after="0" w:line="319" w:lineRule="auto"/>
        <w:rPr>
          <w:sz w:val="20"/>
          <w:szCs w:val="20"/>
          <w:color w:val="auto"/>
        </w:rPr>
      </w:pPr>
      <w:r>
        <w:rPr>
          <w:rFonts w:ascii="Arial" w:cs="Arial" w:eastAsia="Arial" w:hAnsi="Arial"/>
          <w:sz w:val="19"/>
          <w:szCs w:val="19"/>
          <w:b w:val="1"/>
          <w:bCs w:val="1"/>
          <w:u w:val="single" w:color="auto"/>
          <w:color w:val="auto"/>
        </w:rPr>
        <w:t>22.Acknowledgment of Wage and Other Payments.</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 acknowledges and represents that, except as expressly</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in this Agreement, the Executive has been paid all wages, bonuses, compensation, benefits and other amounts that any of the Releasees has ever owed to the Executive. The Executive is not entitled to any other compensation or benefits from the Company related to his employment following the Date of Termination except as specifically set forth in this Agreement.</w:t>
      </w:r>
    </w:p>
    <w:p>
      <w:pPr>
        <w:spacing w:after="0" w:line="175" w:lineRule="exact"/>
        <w:rPr>
          <w:sz w:val="20"/>
          <w:szCs w:val="20"/>
          <w:color w:val="auto"/>
        </w:rPr>
      </w:pPr>
    </w:p>
    <w:p>
      <w:pPr>
        <w:jc w:val="both"/>
        <w:ind w:left="280" w:hanging="269"/>
        <w:spacing w:after="0" w:line="298" w:lineRule="auto"/>
        <w:rPr>
          <w:sz w:val="20"/>
          <w:szCs w:val="20"/>
          <w:color w:val="auto"/>
        </w:rPr>
      </w:pPr>
      <w:r>
        <w:rPr>
          <w:rFonts w:ascii="Arial" w:cs="Arial" w:eastAsia="Arial" w:hAnsi="Arial"/>
          <w:sz w:val="19"/>
          <w:szCs w:val="19"/>
          <w:b w:val="1"/>
          <w:bCs w:val="1"/>
          <w:u w:val="single" w:color="auto"/>
          <w:color w:val="auto"/>
        </w:rPr>
        <w:t>23.Choice of Law and Jurisdiction; Waiver of Jury Trial.</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will be deemed to be made and entered into in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Commonwealth of Massachusetts, and will in all respects be interpreted, enforced and governed under the laws of the Commonwealth of Massachusetts. The Executive hereby consents to personal jurisdiction of the state and federal courts situated within Massachusetts for purposes of enforcing this Agreement, and waives any objection that the Executive might have to personal jurisdiction or venue in those courts, provided, however, the Company and Executive agree that all civil actions relating to Section 7 of this Agreement shall be brought in the county of Suffolk and that the superior court or the business litigation session of the superior court shall have exclusive jurisdiction. </w:t>
      </w:r>
      <w:r>
        <w:rPr>
          <w:rFonts w:ascii="Arial" w:cs="Arial" w:eastAsia="Arial" w:hAnsi="Arial"/>
          <w:sz w:val="19"/>
          <w:szCs w:val="19"/>
          <w:b w:val="1"/>
          <w:bCs w:val="1"/>
          <w:color w:val="auto"/>
        </w:rPr>
        <w:t>ANY ACTION, DEMAND, CLAIM OR</w:t>
      </w:r>
    </w:p>
    <w:p>
      <w:pPr>
        <w:spacing w:after="0" w:line="1" w:lineRule="exact"/>
        <w:rPr>
          <w:sz w:val="20"/>
          <w:szCs w:val="20"/>
          <w:color w:val="auto"/>
        </w:rPr>
      </w:pPr>
    </w:p>
    <w:p>
      <w:pPr>
        <w:jc w:val="both"/>
        <w:ind w:left="280"/>
        <w:spacing w:after="0" w:line="277" w:lineRule="auto"/>
        <w:rPr>
          <w:sz w:val="20"/>
          <w:szCs w:val="20"/>
          <w:color w:val="auto"/>
        </w:rPr>
      </w:pPr>
      <w:r>
        <w:rPr>
          <w:rFonts w:ascii="Arial" w:cs="Arial" w:eastAsia="Arial" w:hAnsi="Arial"/>
          <w:sz w:val="21"/>
          <w:szCs w:val="21"/>
          <w:b w:val="1"/>
          <w:bCs w:val="1"/>
          <w:color w:val="auto"/>
        </w:rPr>
        <w:t>COUNTERCLAIM ARISING UNDER OR RELATING TO THIS AGREEMENT OR THE EXECUTIVE’S EMPLOYMENT WITH THE COMPANY, INCLUDING WITHOUT LIMITATION ANY CLAIMS OF DISCRIMINATION ARISING UNDER STATE OR FEDERAL LAW, WILL BE RESOLVED BY A JUDGE ALONE AND EACH OF THE COMPANY AND THE EXECUTIVE WAIVES ANY RIGHT TO A JURY TRIAL THEREOF.</w:t>
      </w:r>
    </w:p>
    <w:p>
      <w:pPr>
        <w:spacing w:after="0" w:line="225" w:lineRule="exact"/>
        <w:rPr>
          <w:sz w:val="20"/>
          <w:szCs w:val="20"/>
          <w:color w:val="auto"/>
        </w:rPr>
      </w:pPr>
    </w:p>
    <w:p>
      <w:pPr>
        <w:jc w:val="both"/>
        <w:ind w:left="280" w:hanging="269"/>
        <w:spacing w:after="0" w:line="269" w:lineRule="auto"/>
        <w:rPr>
          <w:sz w:val="20"/>
          <w:szCs w:val="20"/>
          <w:color w:val="auto"/>
        </w:rPr>
      </w:pPr>
      <w:r>
        <w:rPr>
          <w:rFonts w:ascii="Arial" w:cs="Arial" w:eastAsia="Arial" w:hAnsi="Arial"/>
          <w:sz w:val="22"/>
          <w:szCs w:val="22"/>
          <w:b w:val="1"/>
          <w:bCs w:val="1"/>
          <w:u w:val="single" w:color="auto"/>
          <w:color w:val="auto"/>
        </w:rPr>
        <w:t>24.Interpretation.</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of any dispute, this Agreement is intended by the Parties to be construed as a whole, to be</w:t>
      </w:r>
      <w:r>
        <w:rPr>
          <w:rFonts w:ascii="Arial" w:cs="Arial" w:eastAsia="Arial" w:hAnsi="Arial"/>
          <w:sz w:val="22"/>
          <w:szCs w:val="22"/>
          <w:b w:val="1"/>
          <w:bCs w:val="1"/>
          <w:color w:val="auto"/>
        </w:rPr>
        <w:t xml:space="preserve"> </w:t>
      </w:r>
      <w:r>
        <w:rPr>
          <w:rFonts w:ascii="Arial" w:cs="Arial" w:eastAsia="Arial" w:hAnsi="Arial"/>
          <w:sz w:val="22"/>
          <w:szCs w:val="22"/>
          <w:color w:val="auto"/>
        </w:rPr>
        <w:t>interpreted in accordance with its fair meaning, and not to be construed strictly for or against either Party or the “drafter” of all or any portion of this Agreement.</w:t>
      </w:r>
    </w:p>
    <w:p>
      <w:pPr>
        <w:spacing w:after="0" w:line="229" w:lineRule="exact"/>
        <w:rPr>
          <w:sz w:val="20"/>
          <w:szCs w:val="20"/>
          <w:color w:val="auto"/>
        </w:rPr>
      </w:pPr>
    </w:p>
    <w:p>
      <w:pPr>
        <w:jc w:val="both"/>
        <w:ind w:left="280" w:hanging="269"/>
        <w:spacing w:after="0" w:line="261" w:lineRule="auto"/>
        <w:rPr>
          <w:sz w:val="20"/>
          <w:szCs w:val="20"/>
          <w:color w:val="auto"/>
        </w:rPr>
      </w:pPr>
      <w:r>
        <w:rPr>
          <w:rFonts w:ascii="Arial" w:cs="Arial" w:eastAsia="Arial" w:hAnsi="Arial"/>
          <w:sz w:val="22"/>
          <w:szCs w:val="22"/>
          <w:b w:val="1"/>
          <w:bCs w:val="1"/>
          <w:u w:val="single" w:color="auto"/>
          <w:color w:val="auto"/>
        </w:rPr>
        <w:t>25.Assignment.</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the Executive nor the Company may make any assignment of this Agreement or any interest in it, by</w:t>
      </w:r>
      <w:r>
        <w:rPr>
          <w:rFonts w:ascii="Arial" w:cs="Arial" w:eastAsia="Arial" w:hAnsi="Arial"/>
          <w:sz w:val="22"/>
          <w:szCs w:val="22"/>
          <w:b w:val="1"/>
          <w:bCs w:val="1"/>
          <w:color w:val="auto"/>
        </w:rPr>
        <w:t xml:space="preserve"> </w:t>
      </w:r>
      <w:r>
        <w:rPr>
          <w:rFonts w:ascii="Arial" w:cs="Arial" w:eastAsia="Arial" w:hAnsi="Arial"/>
          <w:sz w:val="22"/>
          <w:szCs w:val="22"/>
          <w:color w:val="auto"/>
        </w:rPr>
        <w:t>operation of law or otherwise, without the prior written consent</w:t>
      </w: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53" w:name="page54"/>
    <w:bookmarkEnd w:id="53"/>
    <w:p>
      <w:pPr>
        <w:jc w:val="both"/>
        <w:spacing w:after="0" w:line="276" w:lineRule="auto"/>
        <w:rPr>
          <w:sz w:val="20"/>
          <w:szCs w:val="20"/>
          <w:color w:val="auto"/>
        </w:rPr>
      </w:pPr>
      <w:r>
        <w:rPr>
          <w:rFonts w:ascii="Arial" w:cs="Arial" w:eastAsia="Arial" w:hAnsi="Arial"/>
          <w:sz w:val="22"/>
          <w:szCs w:val="22"/>
          <w:color w:val="auto"/>
        </w:rPr>
        <w:t xml:space="preserve">of the other; </w:t>
      </w:r>
      <w:r>
        <w:rPr>
          <w:rFonts w:ascii="Arial" w:cs="Arial" w:eastAsia="Arial" w:hAnsi="Arial"/>
          <w:sz w:val="22"/>
          <w:szCs w:val="22"/>
          <w:i w:val="1"/>
          <w:iCs w:val="1"/>
          <w:color w:val="auto"/>
        </w:rPr>
        <w:t>provided, however</w:t>
      </w:r>
      <w:r>
        <w:rPr>
          <w:rFonts w:ascii="Arial" w:cs="Arial" w:eastAsia="Arial" w:hAnsi="Arial"/>
          <w:sz w:val="22"/>
          <w:szCs w:val="22"/>
          <w:color w:val="auto"/>
        </w:rPr>
        <w:t>, that the Company may assign its rights and obligations under this Agreement (including the Preserved Provisions) without the Executive’s consent to its affiliates, successors and assigns.</w:t>
      </w:r>
    </w:p>
    <w:p>
      <w:pPr>
        <w:spacing w:after="0" w:line="222" w:lineRule="exact"/>
        <w:rPr>
          <w:sz w:val="20"/>
          <w:szCs w:val="20"/>
          <w:color w:val="auto"/>
        </w:rPr>
      </w:pPr>
    </w:p>
    <w:p>
      <w:pPr>
        <w:jc w:val="both"/>
        <w:ind w:left="280" w:hanging="269"/>
        <w:spacing w:after="0" w:line="278" w:lineRule="auto"/>
        <w:rPr>
          <w:sz w:val="20"/>
          <w:szCs w:val="20"/>
          <w:color w:val="auto"/>
        </w:rPr>
      </w:pPr>
      <w:r>
        <w:rPr>
          <w:rFonts w:ascii="Arial" w:cs="Arial" w:eastAsia="Arial" w:hAnsi="Arial"/>
          <w:sz w:val="21"/>
          <w:szCs w:val="21"/>
          <w:b w:val="1"/>
          <w:bCs w:val="1"/>
          <w:u w:val="single" w:color="auto"/>
          <w:color w:val="auto"/>
        </w:rPr>
        <w:t>26.Successor to the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shall inure to the benefit of and be enforceable by the Executive’s personal</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representatives, executors, administrators, heirs, distributees, devisees and legatees. In the event of the Executive’s death after his termination of employment but prior to the completion by the Company of all payments due to him under this Agreement, the Company shall continue such payments to the Executive’s beneficiary designated in writing to the Company prior to his death (or to his estate, if the Executive fails to make such designation).</w:t>
      </w:r>
    </w:p>
    <w:p>
      <w:pPr>
        <w:spacing w:after="0" w:line="221" w:lineRule="exact"/>
        <w:rPr>
          <w:sz w:val="20"/>
          <w:szCs w:val="20"/>
          <w:color w:val="auto"/>
        </w:rPr>
      </w:pPr>
    </w:p>
    <w:p>
      <w:pPr>
        <w:jc w:val="both"/>
        <w:ind w:left="280" w:hanging="269"/>
        <w:spacing w:after="0" w:line="264" w:lineRule="auto"/>
        <w:rPr>
          <w:sz w:val="20"/>
          <w:szCs w:val="20"/>
          <w:color w:val="auto"/>
        </w:rPr>
      </w:pPr>
      <w:r>
        <w:rPr>
          <w:rFonts w:ascii="Arial" w:cs="Arial" w:eastAsia="Arial" w:hAnsi="Arial"/>
          <w:sz w:val="22"/>
          <w:szCs w:val="22"/>
          <w:b w:val="1"/>
          <w:bCs w:val="1"/>
          <w:u w:val="single" w:color="auto"/>
          <w:color w:val="auto"/>
        </w:rPr>
        <w:t>27.Successor to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shall require any successor (whether direct or indirect, by purchase, merger,</w:t>
      </w:r>
      <w:r>
        <w:rPr>
          <w:rFonts w:ascii="Arial" w:cs="Arial" w:eastAsia="Arial" w:hAnsi="Arial"/>
          <w:sz w:val="22"/>
          <w:szCs w:val="22"/>
          <w:b w:val="1"/>
          <w:bCs w:val="1"/>
          <w:color w:val="auto"/>
        </w:rPr>
        <w:t xml:space="preserve"> </w:t>
      </w:r>
      <w:r>
        <w:rPr>
          <w:rFonts w:ascii="Arial" w:cs="Arial" w:eastAsia="Arial" w:hAnsi="Arial"/>
          <w:sz w:val="22"/>
          <w:szCs w:val="22"/>
          <w:color w:val="auto"/>
        </w:rPr>
        <w:t>consolidation or otherwise) to all or substantially all of the business or assets of the Company expressly to assume and agree to perform this Agreement to the same extent that the Company would be required to perform it if no succession had taken place.</w:t>
      </w:r>
    </w:p>
    <w:p>
      <w:pPr>
        <w:spacing w:after="0" w:line="237" w:lineRule="exact"/>
        <w:rPr>
          <w:sz w:val="20"/>
          <w:szCs w:val="20"/>
          <w:color w:val="auto"/>
        </w:rPr>
      </w:pPr>
    </w:p>
    <w:p>
      <w:pPr>
        <w:jc w:val="both"/>
        <w:ind w:left="280" w:hanging="269"/>
        <w:spacing w:after="0" w:line="364" w:lineRule="auto"/>
        <w:rPr>
          <w:sz w:val="20"/>
          <w:szCs w:val="20"/>
          <w:color w:val="auto"/>
        </w:rPr>
      </w:pPr>
      <w:r>
        <w:rPr>
          <w:rFonts w:ascii="Arial" w:cs="Arial" w:eastAsia="Arial" w:hAnsi="Arial"/>
          <w:sz w:val="19"/>
          <w:szCs w:val="19"/>
          <w:b w:val="1"/>
          <w:bCs w:val="1"/>
          <w:u w:val="single" w:color="auto"/>
          <w:color w:val="auto"/>
        </w:rPr>
        <w:t>28.Counterparts.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be executed in any number of counterparts, each of which when so executed and</w:t>
      </w:r>
      <w:r>
        <w:rPr>
          <w:rFonts w:ascii="Arial" w:cs="Arial" w:eastAsia="Arial" w:hAnsi="Arial"/>
          <w:sz w:val="19"/>
          <w:szCs w:val="19"/>
          <w:b w:val="1"/>
          <w:bCs w:val="1"/>
          <w:color w:val="auto"/>
        </w:rPr>
        <w:t xml:space="preserve"> </w:t>
      </w:r>
      <w:r>
        <w:rPr>
          <w:rFonts w:ascii="Arial" w:cs="Arial" w:eastAsia="Arial" w:hAnsi="Arial"/>
          <w:sz w:val="19"/>
          <w:szCs w:val="19"/>
          <w:color w:val="auto"/>
        </w:rPr>
        <w:t>delivered shall be taken to be an original; but such counterparts shall together constitute one and the same document.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54" w:name="page55"/>
    <w:bookmarkEnd w:id="54"/>
    <w:p>
      <w:pPr>
        <w:ind w:firstLine="749"/>
        <w:spacing w:after="0" w:line="295"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intending to be legally bound, have executed this Agreement on the date(s)</w:t>
      </w:r>
      <w:r>
        <w:rPr>
          <w:rFonts w:ascii="Arial" w:cs="Arial" w:eastAsia="Arial" w:hAnsi="Arial"/>
          <w:sz w:val="22"/>
          <w:szCs w:val="22"/>
          <w:b w:val="1"/>
          <w:bCs w:val="1"/>
          <w:color w:val="auto"/>
        </w:rPr>
        <w:t xml:space="preserve"> </w:t>
      </w:r>
      <w:r>
        <w:rPr>
          <w:rFonts w:ascii="Arial" w:cs="Arial" w:eastAsia="Arial" w:hAnsi="Arial"/>
          <w:sz w:val="22"/>
          <w:szCs w:val="22"/>
          <w:color w:val="auto"/>
        </w:rPr>
        <w:t>indicated below.</w:t>
      </w:r>
    </w:p>
    <w:p>
      <w:pPr>
        <w:spacing w:after="0" w:line="200" w:lineRule="exact"/>
        <w:rPr>
          <w:sz w:val="20"/>
          <w:szCs w:val="20"/>
          <w:color w:val="auto"/>
        </w:rPr>
      </w:pPr>
    </w:p>
    <w:p>
      <w:pPr>
        <w:spacing w:after="0" w:line="272"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GEMINI THERAPEUTICS, INC.</w:t>
      </w:r>
    </w:p>
    <w:p>
      <w:pPr>
        <w:spacing w:after="0" w:line="200" w:lineRule="exact"/>
        <w:rPr>
          <w:sz w:val="20"/>
          <w:szCs w:val="20"/>
          <w:color w:val="auto"/>
        </w:rPr>
      </w:pPr>
    </w:p>
    <w:p>
      <w:pPr>
        <w:spacing w:after="0" w:line="363" w:lineRule="exact"/>
        <w:rPr>
          <w:sz w:val="20"/>
          <w:szCs w:val="20"/>
          <w:color w:val="auto"/>
        </w:rPr>
      </w:pPr>
    </w:p>
    <w:p>
      <w:pPr>
        <w:jc w:val="center"/>
        <w:ind w:left="760"/>
        <w:spacing w:after="0"/>
        <w:tabs>
          <w:tab w:leader="none" w:pos="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-17780</wp:posOffset>
            </wp:positionV>
            <wp:extent cx="13716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 w:lineRule="exact"/>
        <w:rPr>
          <w:sz w:val="20"/>
          <w:szCs w:val="20"/>
          <w:color w:val="auto"/>
        </w:rPr>
      </w:pPr>
    </w:p>
    <w:p>
      <w:pPr>
        <w:jc w:val="center"/>
        <w:ind w:left="760"/>
        <w:spacing w:after="0"/>
        <w:rPr>
          <w:sz w:val="20"/>
          <w:szCs w:val="20"/>
          <w:color w:val="auto"/>
        </w:rPr>
      </w:pPr>
      <w:r>
        <w:rPr>
          <w:rFonts w:ascii="Arial" w:cs="Arial" w:eastAsia="Arial" w:hAnsi="Arial"/>
          <w:sz w:val="22"/>
          <w:szCs w:val="22"/>
          <w:color w:val="auto"/>
        </w:rPr>
        <w:t>Jason Meyenburg</w:t>
      </w:r>
    </w:p>
    <w:p>
      <w:pPr>
        <w:spacing w:after="0" w:line="283"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Its: President and Chief Executive Officer</w:t>
      </w:r>
    </w:p>
    <w:p>
      <w:pPr>
        <w:spacing w:after="0" w:line="287"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Date:_</w:t>
      </w:r>
      <w:r>
        <w:rPr>
          <w:rFonts w:ascii="Arial" w:cs="Arial" w:eastAsia="Arial" w:hAnsi="Arial"/>
          <w:sz w:val="22"/>
          <w:szCs w:val="22"/>
          <w:u w:val="single" w:color="auto"/>
          <w:color w:val="auto"/>
        </w:rPr>
        <w:t>October 4, 2021</w:t>
      </w:r>
      <w:r>
        <w:rPr>
          <w:rFonts w:ascii="Arial" w:cs="Arial" w:eastAsia="Arial" w:hAnsi="Arial"/>
          <w:sz w:val="22"/>
          <w:szCs w:val="22"/>
          <w:color w:val="auto"/>
        </w:rPr>
        <w:t>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363"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/s/ Sam Barone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-17780</wp:posOffset>
            </wp:positionV>
            <wp:extent cx="10972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Samuel Barone, M.D.</w:t>
      </w:r>
    </w:p>
    <w:p>
      <w:pPr>
        <w:spacing w:after="0" w:line="283"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Date:_</w:t>
      </w:r>
      <w:r>
        <w:rPr>
          <w:rFonts w:ascii="Arial" w:cs="Arial" w:eastAsia="Arial" w:hAnsi="Arial"/>
          <w:sz w:val="22"/>
          <w:szCs w:val="22"/>
          <w:u w:val="single" w:color="auto"/>
          <w:color w:val="auto"/>
        </w:rPr>
        <w:t>October 4, 2021</w:t>
      </w:r>
      <w:r>
        <w:rPr>
          <w:rFonts w:ascii="Arial" w:cs="Arial" w:eastAsia="Arial" w:hAnsi="Arial"/>
          <w:sz w:val="22"/>
          <w:szCs w:val="22"/>
          <w:color w:val="auto"/>
        </w:rPr>
        <w:t>____________________</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49" w:right="559" w:bottom="1440" w:gutter="0" w:footer="0" w:header="0"/>
        </w:sectPr>
      </w:pPr>
    </w:p>
    <w:bookmarkStart w:id="55" w:name="page56"/>
    <w:bookmarkEnd w:id="55"/>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UPDATING RELEASE OF CLAIMS</w:t>
      </w:r>
    </w:p>
    <w:p>
      <w:pPr>
        <w:spacing w:after="0" w:line="293"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I, Samuel Barone, M.D., hereby acknowledge and certify that I entered into a Retention Agreement with Gemini Therapeutics, Inc. (the “</w:t>
      </w:r>
      <w:r>
        <w:rPr>
          <w:rFonts w:ascii="Arial" w:cs="Arial" w:eastAsia="Arial" w:hAnsi="Arial"/>
          <w:sz w:val="22"/>
          <w:szCs w:val="22"/>
          <w:u w:val="single" w:color="auto"/>
          <w:color w:val="auto"/>
        </w:rPr>
        <w:t>Company</w:t>
      </w:r>
      <w:r>
        <w:rPr>
          <w:rFonts w:ascii="Arial" w:cs="Arial" w:eastAsia="Arial" w:hAnsi="Arial"/>
          <w:sz w:val="22"/>
          <w:szCs w:val="22"/>
          <w:color w:val="auto"/>
        </w:rPr>
        <w:t>”), dated October 4, 2021 (the “</w:t>
      </w:r>
      <w:r>
        <w:rPr>
          <w:rFonts w:ascii="Arial" w:cs="Arial" w:eastAsia="Arial" w:hAnsi="Arial"/>
          <w:sz w:val="22"/>
          <w:szCs w:val="22"/>
          <w:u w:val="single" w:color="auto"/>
          <w:color w:val="auto"/>
        </w:rPr>
        <w:t>Agreement</w:t>
      </w:r>
      <w:r>
        <w:rPr>
          <w:rFonts w:ascii="Arial" w:cs="Arial" w:eastAsia="Arial" w:hAnsi="Arial"/>
          <w:sz w:val="22"/>
          <w:szCs w:val="22"/>
          <w:color w:val="auto"/>
        </w:rPr>
        <w:t>”). Capitalized terms used herein and not otherwise defined have the meanings ascribed to such terms in the Agreement. Pursuant to the Agreement, and provided that I have satisfied the Conditions, I am required to execute this certificate, which updates the release of claims set forth in Section 5 of the Agreement (this “</w:t>
      </w:r>
      <w:r>
        <w:rPr>
          <w:rFonts w:ascii="Arial" w:cs="Arial" w:eastAsia="Arial" w:hAnsi="Arial"/>
          <w:sz w:val="22"/>
          <w:szCs w:val="22"/>
          <w:u w:val="single" w:color="auto"/>
          <w:color w:val="auto"/>
        </w:rPr>
        <w:t>Certificate</w:t>
      </w:r>
      <w:r>
        <w:rPr>
          <w:rFonts w:ascii="Arial" w:cs="Arial" w:eastAsia="Arial" w:hAnsi="Arial"/>
          <w:sz w:val="22"/>
          <w:szCs w:val="22"/>
          <w:color w:val="auto"/>
        </w:rPr>
        <w:t xml:space="preserve">”), in order to be eligible to receive or retain the Retention Bonus, the Severance Benefits, the Accelerated Vesting, if applicable, and the Extended Exercise Period. </w:t>
      </w:r>
      <w:r>
        <w:rPr>
          <w:rFonts w:ascii="Arial" w:cs="Arial" w:eastAsia="Arial" w:hAnsi="Arial"/>
          <w:sz w:val="22"/>
          <w:szCs w:val="22"/>
          <w:b w:val="1"/>
          <w:bCs w:val="1"/>
          <w:color w:val="auto"/>
        </w:rPr>
        <w:t>I understand that I may not sign this Certificate until on or after</w:t>
      </w:r>
      <w:r>
        <w:rPr>
          <w:rFonts w:ascii="Arial" w:cs="Arial" w:eastAsia="Arial" w:hAnsi="Arial"/>
          <w:sz w:val="22"/>
          <w:szCs w:val="22"/>
          <w:color w:val="auto"/>
        </w:rPr>
        <w:t xml:space="preserve"> </w:t>
      </w:r>
      <w:r>
        <w:rPr>
          <w:rFonts w:ascii="Arial" w:cs="Arial" w:eastAsia="Arial" w:hAnsi="Arial"/>
          <w:sz w:val="22"/>
          <w:szCs w:val="22"/>
          <w:b w:val="1"/>
          <w:bCs w:val="1"/>
          <w:color w:val="auto"/>
        </w:rPr>
        <w:t>the Date of Termination and that I must return it to the Company within seven (7) days after the Date of Termination as set forth below</w:t>
      </w:r>
      <w:r>
        <w:rPr>
          <w:rFonts w:ascii="Arial" w:cs="Arial" w:eastAsia="Arial" w:hAnsi="Arial"/>
          <w:sz w:val="22"/>
          <w:szCs w:val="22"/>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I, therefore, agree as follows:</w:t>
      </w:r>
    </w:p>
    <w:p>
      <w:pPr>
        <w:spacing w:after="0" w:line="28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 xml:space="preserve">A copy of this Certificate was attached to the Agreement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1" w:lineRule="exact"/>
        <w:rPr>
          <w:rFonts w:ascii="Arial" w:cs="Arial" w:eastAsia="Arial" w:hAnsi="Arial"/>
          <w:sz w:val="22"/>
          <w:szCs w:val="22"/>
          <w:color w:val="auto"/>
        </w:rPr>
      </w:pPr>
    </w:p>
    <w:p>
      <w:pPr>
        <w:jc w:val="both"/>
        <w:ind w:left="340" w:hanging="332"/>
        <w:spacing w:after="0" w:line="296" w:lineRule="auto"/>
        <w:tabs>
          <w:tab w:leader="none" w:pos="3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In consideration of the benefits contained in the Agreement, including but not limited to the Retention Bonus set forth in Section 1(f), the Severance Benefits set forth in Section 3 of the Agreement and the Extended Exercise Period set forth in Section 4 of the Agreement, for which I become eligible only if I sign this Certificate, I hereby extend the release of claims set forth in Section 5 of the Agreement to any and all Claims that arose after the date I signed the Agreement through the date I signed this Certificate, subject to all other exclusions and terms set forth in the Agreement.</w:t>
      </w:r>
    </w:p>
    <w:p>
      <w:pPr>
        <w:spacing w:after="0" w:line="2" w:lineRule="exact"/>
        <w:rPr>
          <w:rFonts w:ascii="Arial" w:cs="Arial" w:eastAsia="Arial" w:hAnsi="Arial"/>
          <w:sz w:val="19"/>
          <w:szCs w:val="19"/>
          <w:color w:val="auto"/>
        </w:rPr>
      </w:pPr>
    </w:p>
    <w:p>
      <w:pPr>
        <w:jc w:val="both"/>
        <w:ind w:left="340" w:hanging="332"/>
        <w:spacing w:after="0" w:line="256" w:lineRule="auto"/>
        <w:tabs>
          <w:tab w:leader="none" w:pos="3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 have carefully read and fully understand all of the provisions of this Certificate, I knowingly and voluntarily agree to all of the terms set forth in this Certificate, and I acknowledge that in entering into this Certificate, I am not relying on any representation, promise or inducement made by the Company or its representatives with the exception of those promises contained in this Certificate and the Agreement.</w:t>
      </w:r>
    </w:p>
    <w:p>
      <w:pPr>
        <w:jc w:val="both"/>
        <w:ind w:left="340" w:hanging="332"/>
        <w:spacing w:after="0" w:line="296" w:lineRule="auto"/>
        <w:tabs>
          <w:tab w:leader="none" w:pos="3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To receive or retain the Retention Bonus, the Severance Benefits and the Extended Exercise Period, I must return a signed, unmodified original or PDF copy of this Certificate so that it is received by Nina Thayer (nthayer@geminitherapeutics.com) within seven (7) days after the Date of Termination. If I do not sign the Certificate, my employment will end and I will not be entitled to, or will forfeit my right to retain, the Retention Bonus, the Severance Benefits or the Extended Exercise Period set forth in the Agreement. This Certificate shall become effective on the date that the Company receives an executed copy of the Certificate within the time frame set forth above (the “</w:t>
      </w:r>
      <w:r>
        <w:rPr>
          <w:rFonts w:ascii="Arial" w:cs="Arial" w:eastAsia="Arial" w:hAnsi="Arial"/>
          <w:sz w:val="19"/>
          <w:szCs w:val="19"/>
          <w:u w:val="single" w:color="auto"/>
          <w:color w:val="auto"/>
        </w:rPr>
        <w:t>Effective Date of the Certificate</w:t>
      </w:r>
      <w:r>
        <w:rPr>
          <w:rFonts w:ascii="Arial" w:cs="Arial" w:eastAsia="Arial" w:hAnsi="Arial"/>
          <w:sz w:val="19"/>
          <w:szCs w:val="19"/>
          <w:color w:val="auto"/>
        </w:rPr>
        <w:t>”).</w:t>
      </w:r>
    </w:p>
    <w:p>
      <w:pPr>
        <w:spacing w:after="0" w:line="3" w:lineRule="exact"/>
        <w:rPr>
          <w:rFonts w:ascii="Arial" w:cs="Arial" w:eastAsia="Arial" w:hAnsi="Arial"/>
          <w:sz w:val="19"/>
          <w:szCs w:val="19"/>
          <w:color w:val="auto"/>
        </w:rPr>
      </w:pPr>
    </w:p>
    <w:p>
      <w:pPr>
        <w:ind w:left="340" w:hanging="332"/>
        <w:spacing w:after="0"/>
        <w:tabs>
          <w:tab w:leader="none" w:pos="3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 agree that this Certificate is part of the Agreement.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40" w:type="dxa"/>
            <w:vAlign w:val="bottom"/>
          </w:tcPr>
          <w:p>
            <w:pPr>
              <w:spacing w:after="0"/>
              <w:rPr>
                <w:sz w:val="20"/>
                <w:szCs w:val="20"/>
                <w:color w:val="auto"/>
              </w:rPr>
            </w:pPr>
            <w:r>
              <w:rPr>
                <w:rFonts w:ascii="Arial" w:cs="Arial" w:eastAsia="Arial" w:hAnsi="Arial"/>
                <w:sz w:val="22"/>
                <w:szCs w:val="22"/>
                <w:color w:val="auto"/>
              </w:rPr>
              <w:t>_______________________________</w:t>
            </w:r>
          </w:p>
        </w:tc>
        <w:tc>
          <w:tcPr>
            <w:tcW w:w="7400" w:type="dxa"/>
            <w:vAlign w:val="bottom"/>
          </w:tcPr>
          <w:p>
            <w:pPr>
              <w:ind w:left="480"/>
              <w:spacing w:after="0"/>
              <w:rPr>
                <w:sz w:val="20"/>
                <w:szCs w:val="20"/>
                <w:color w:val="auto"/>
              </w:rPr>
            </w:pPr>
            <w:r>
              <w:rPr>
                <w:rFonts w:ascii="Arial" w:cs="Arial" w:eastAsia="Arial" w:hAnsi="Arial"/>
                <w:sz w:val="22"/>
                <w:szCs w:val="22"/>
                <w:color w:val="auto"/>
              </w:rPr>
              <w:t>_______________________________</w:t>
            </w:r>
          </w:p>
        </w:tc>
      </w:tr>
      <w:tr>
        <w:trPr>
          <w:trHeight w:val="274"/>
        </w:trPr>
        <w:tc>
          <w:tcPr>
            <w:tcW w:w="3840" w:type="dxa"/>
            <w:vAlign w:val="bottom"/>
          </w:tcPr>
          <w:p>
            <w:pPr>
              <w:spacing w:after="0"/>
              <w:rPr>
                <w:sz w:val="20"/>
                <w:szCs w:val="20"/>
                <w:color w:val="auto"/>
              </w:rPr>
            </w:pPr>
            <w:r>
              <w:rPr>
                <w:rFonts w:ascii="Arial" w:cs="Arial" w:eastAsia="Arial" w:hAnsi="Arial"/>
                <w:sz w:val="22"/>
                <w:szCs w:val="22"/>
                <w:color w:val="auto"/>
              </w:rPr>
              <w:t>Samuel Barone, M.D.</w:t>
            </w:r>
          </w:p>
        </w:tc>
        <w:tc>
          <w:tcPr>
            <w:tcW w:w="7400" w:type="dxa"/>
            <w:vAlign w:val="bottom"/>
          </w:tcPr>
          <w:p>
            <w:pPr>
              <w:ind w:left="480"/>
              <w:spacing w:after="0"/>
              <w:rPr>
                <w:sz w:val="20"/>
                <w:szCs w:val="20"/>
                <w:color w:val="auto"/>
              </w:rPr>
            </w:pPr>
            <w:r>
              <w:rPr>
                <w:rFonts w:ascii="Arial" w:cs="Arial" w:eastAsia="Arial" w:hAnsi="Arial"/>
                <w:sz w:val="22"/>
                <w:szCs w:val="22"/>
                <w:color w:val="auto"/>
              </w:rPr>
              <w:t>Date</w:t>
            </w:r>
          </w:p>
        </w:tc>
      </w:tr>
      <w:tr>
        <w:trPr>
          <w:trHeight w:val="250"/>
        </w:trPr>
        <w:tc>
          <w:tcPr>
            <w:tcW w:w="3840" w:type="dxa"/>
            <w:vAlign w:val="bottom"/>
          </w:tcPr>
          <w:p>
            <w:pPr>
              <w:spacing w:after="0"/>
              <w:rPr>
                <w:sz w:val="21"/>
                <w:szCs w:val="21"/>
                <w:color w:val="auto"/>
              </w:rPr>
            </w:pPr>
          </w:p>
        </w:tc>
        <w:tc>
          <w:tcPr>
            <w:tcW w:w="7400" w:type="dxa"/>
            <w:vAlign w:val="bottom"/>
          </w:tcPr>
          <w:p>
            <w:pPr>
              <w:jc w:val="right"/>
              <w:ind w:right="5415"/>
              <w:spacing w:after="0"/>
              <w:rPr>
                <w:sz w:val="20"/>
                <w:szCs w:val="20"/>
                <w:color w:val="auto"/>
              </w:rPr>
            </w:pPr>
            <w:r>
              <w:rPr>
                <w:rFonts w:ascii="Arial" w:cs="Arial" w:eastAsia="Arial" w:hAnsi="Arial"/>
                <w:sz w:val="20"/>
                <w:szCs w:val="20"/>
                <w:color w:val="auto"/>
              </w:rPr>
              <w:t>13</w:t>
            </w:r>
          </w:p>
        </w:tc>
      </w:tr>
      <w:tr>
        <w:trPr>
          <w:trHeight w:val="381"/>
        </w:trPr>
        <w:tc>
          <w:tcPr>
            <w:tcW w:w="384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t>Exhibit 10.2</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39" w:lineRule="exact"/>
        <w:rPr>
          <w:sz w:val="20"/>
          <w:szCs w:val="20"/>
          <w:color w:val="auto"/>
        </w:rPr>
      </w:pPr>
    </w:p>
    <w:p>
      <w:pPr>
        <w:ind w:firstLine="749"/>
        <w:spacing w:after="0" w:line="301" w:lineRule="auto"/>
        <w:rPr>
          <w:sz w:val="20"/>
          <w:szCs w:val="20"/>
          <w:color w:val="auto"/>
        </w:rPr>
      </w:pPr>
      <w:r>
        <w:rPr>
          <w:rFonts w:ascii="Arial" w:cs="Arial" w:eastAsia="Arial" w:hAnsi="Arial"/>
          <w:sz w:val="21"/>
          <w:szCs w:val="21"/>
          <w:color w:val="auto"/>
        </w:rPr>
        <w:t>This Employment Agreement (“</w:t>
      </w:r>
      <w:r>
        <w:rPr>
          <w:rFonts w:ascii="Arial" w:cs="Arial" w:eastAsia="Arial" w:hAnsi="Arial"/>
          <w:sz w:val="21"/>
          <w:szCs w:val="21"/>
          <w:u w:val="single" w:color="auto"/>
          <w:color w:val="auto"/>
        </w:rPr>
        <w:t>Agreement</w:t>
      </w:r>
      <w:r>
        <w:rPr>
          <w:rFonts w:ascii="Arial" w:cs="Arial" w:eastAsia="Arial" w:hAnsi="Arial"/>
          <w:sz w:val="21"/>
          <w:szCs w:val="21"/>
          <w:color w:val="auto"/>
        </w:rPr>
        <w:t>”) is made as of November 15, 2021 (the “</w:t>
      </w:r>
      <w:r>
        <w:rPr>
          <w:rFonts w:ascii="Arial" w:cs="Arial" w:eastAsia="Arial" w:hAnsi="Arial"/>
          <w:sz w:val="21"/>
          <w:szCs w:val="21"/>
          <w:u w:val="single" w:color="auto"/>
          <w:color w:val="auto"/>
        </w:rPr>
        <w:t>Effective Date</w:t>
      </w:r>
      <w:r>
        <w:rPr>
          <w:rFonts w:ascii="Arial" w:cs="Arial" w:eastAsia="Arial" w:hAnsi="Arial"/>
          <w:sz w:val="21"/>
          <w:szCs w:val="21"/>
          <w:color w:val="auto"/>
        </w:rPr>
        <w:t>”) between Gemini Therapeutics,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Dr. Georges Gemayel (the “</w:t>
      </w:r>
      <w:r>
        <w:rPr>
          <w:rFonts w:ascii="Arial" w:cs="Arial" w:eastAsia="Arial" w:hAnsi="Arial"/>
          <w:sz w:val="21"/>
          <w:szCs w:val="21"/>
          <w:u w:val="single" w:color="auto"/>
          <w:color w:val="auto"/>
        </w:rPr>
        <w:t>Executive</w:t>
      </w:r>
      <w:r>
        <w:rPr>
          <w:rFonts w:ascii="Arial" w:cs="Arial" w:eastAsia="Arial" w:hAnsi="Arial"/>
          <w:sz w:val="21"/>
          <w:szCs w:val="21"/>
          <w:color w:val="auto"/>
        </w:rPr>
        <w:t>”).</w:t>
      </w:r>
    </w:p>
    <w:p>
      <w:pPr>
        <w:spacing w:after="0" w:line="150" w:lineRule="exact"/>
        <w:rPr>
          <w:sz w:val="20"/>
          <w:szCs w:val="20"/>
          <w:color w:val="auto"/>
        </w:rPr>
      </w:pPr>
    </w:p>
    <w:p>
      <w:pPr>
        <w:ind w:firstLine="749"/>
        <w:spacing w:after="0" w:line="301" w:lineRule="auto"/>
        <w:rPr>
          <w:sz w:val="20"/>
          <w:szCs w:val="20"/>
          <w:color w:val="auto"/>
        </w:rPr>
      </w:pPr>
      <w:r>
        <w:rPr>
          <w:rFonts w:ascii="Arial" w:cs="Arial" w:eastAsia="Arial" w:hAnsi="Arial"/>
          <w:sz w:val="21"/>
          <w:szCs w:val="21"/>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50" w:lineRule="exact"/>
        <w:rPr>
          <w:sz w:val="20"/>
          <w:szCs w:val="20"/>
          <w:color w:val="auto"/>
        </w:rPr>
      </w:pPr>
    </w:p>
    <w:p>
      <w:pPr>
        <w:ind w:left="1400" w:hanging="600"/>
        <w:spacing w:after="0"/>
        <w:tabs>
          <w:tab w:leader="none" w:pos="140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678"/>
        <w:spacing w:after="0" w:line="261" w:lineRule="auto"/>
        <w:tabs>
          <w:tab w:leader="none" w:pos="2793"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Company shall employ the Executive and the Executive shall be employed by the Company on a part-time basis and in the capacity set forth in this Agreement commencing as of the Effective Date and continuing until such employment is terminated in accordance with the provisions hereof (the “</w:t>
      </w:r>
      <w:r>
        <w:rPr>
          <w:rFonts w:ascii="Arial" w:cs="Arial" w:eastAsia="Arial" w:hAnsi="Arial"/>
          <w:sz w:val="22"/>
          <w:szCs w:val="22"/>
          <w:u w:val="single" w:color="auto"/>
          <w:color w:val="auto"/>
        </w:rPr>
        <w:t>Term</w:t>
      </w:r>
      <w:r>
        <w:rPr>
          <w:rFonts w:ascii="Arial" w:cs="Arial" w:eastAsia="Arial" w:hAnsi="Arial"/>
          <w:sz w:val="22"/>
          <w:szCs w:val="22"/>
          <w:color w:val="auto"/>
        </w:rPr>
        <w:t>”). The Executive’s employment with the Company shall be “at will,” meaning that the Executive’s employment may be terminated by the Company or the Executive at any time and for any reason subject to the terms of this Agreement.</w:t>
      </w:r>
    </w:p>
    <w:p>
      <w:pPr>
        <w:spacing w:after="0" w:line="190" w:lineRule="exact"/>
        <w:rPr>
          <w:rFonts w:ascii="Arial" w:cs="Arial" w:eastAsia="Arial" w:hAnsi="Arial"/>
          <w:sz w:val="22"/>
          <w:szCs w:val="22"/>
          <w:color w:val="auto"/>
        </w:rPr>
      </w:pPr>
    </w:p>
    <w:p>
      <w:pPr>
        <w:jc w:val="both"/>
        <w:ind w:firstLine="1678"/>
        <w:spacing w:after="0" w:line="306" w:lineRule="auto"/>
        <w:tabs>
          <w:tab w:leader="none" w:pos="2793" w:val="left"/>
        </w:tabs>
        <w:numPr>
          <w:ilvl w:val="1"/>
          <w:numId w:val="17"/>
        </w:numPr>
        <w:rPr>
          <w:rFonts w:ascii="Arial" w:cs="Arial" w:eastAsia="Arial" w:hAnsi="Arial"/>
          <w:sz w:val="19"/>
          <w:szCs w:val="19"/>
          <w:color w:val="auto"/>
        </w:rPr>
      </w:pPr>
      <w:r>
        <w:rPr>
          <w:rFonts w:ascii="Arial" w:cs="Arial" w:eastAsia="Arial" w:hAnsi="Arial"/>
          <w:sz w:val="19"/>
          <w:szCs w:val="19"/>
          <w:u w:val="single" w:color="auto"/>
          <w:color w:val="auto"/>
        </w:rPr>
        <w:t>Position and Duties</w:t>
      </w:r>
      <w:r>
        <w:rPr>
          <w:rFonts w:ascii="Arial" w:cs="Arial" w:eastAsia="Arial" w:hAnsi="Arial"/>
          <w:sz w:val="19"/>
          <w:szCs w:val="19"/>
          <w:color w:val="auto"/>
        </w:rPr>
        <w:t>. During the Term, the Executive shall serve as the Executive Chair of the Board of Directors of the Company and shall have such powers and duties as may from time to time be prescribed by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The Executive shall be a part-time employee of the Company and it is anticipated that the Executive shall devote on average two and one-half (2.5) days per week of working time and efforts to the business and affairs of the Company. Notwithstanding the foregoing, the Executive may serve on other boards of directors, with the approval of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or a committee of the Board, as long as such services and activities are disclosed to the Board and do not interfere with the Executive’s performance of his duties to the Company.</w:t>
      </w:r>
    </w:p>
    <w:p>
      <w:pPr>
        <w:spacing w:after="0" w:line="156" w:lineRule="exact"/>
        <w:rPr>
          <w:rFonts w:ascii="Arial" w:cs="Arial" w:eastAsia="Arial" w:hAnsi="Arial"/>
          <w:sz w:val="19"/>
          <w:szCs w:val="19"/>
          <w:color w:val="auto"/>
        </w:rPr>
      </w:pPr>
    </w:p>
    <w:p>
      <w:pPr>
        <w:ind w:left="1400" w:hanging="600"/>
        <w:spacing w:after="0"/>
        <w:tabs>
          <w:tab w:leader="none" w:pos="140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Compensation and Related Matters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678"/>
        <w:spacing w:after="0" w:line="262" w:lineRule="auto"/>
        <w:tabs>
          <w:tab w:leader="none" w:pos="2793"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During the Term, Executive shall no longer receive cash compensation in the form of director’s fees. Instead, the Company will pay the Executive a base salary at the rate of $300,000 per year, less applicable deductions and withholdings (the “</w:t>
      </w:r>
      <w:r>
        <w:rPr>
          <w:rFonts w:ascii="Arial" w:cs="Arial" w:eastAsia="Arial" w:hAnsi="Arial"/>
          <w:sz w:val="22"/>
          <w:szCs w:val="22"/>
          <w:u w:val="single" w:color="auto"/>
          <w:color w:val="auto"/>
        </w:rPr>
        <w:t>Base Salary</w:t>
      </w:r>
      <w:r>
        <w:rPr>
          <w:rFonts w:ascii="Arial" w:cs="Arial" w:eastAsia="Arial" w:hAnsi="Arial"/>
          <w:sz w:val="22"/>
          <w:szCs w:val="22"/>
          <w:color w:val="auto"/>
        </w:rPr>
        <w:t>”). The Base Salary shall be payable in a manner that is consistent with the Company’s usual payroll practices for senior executives.</w:t>
      </w:r>
    </w:p>
    <w:p>
      <w:pPr>
        <w:spacing w:after="0" w:line="191" w:lineRule="exact"/>
        <w:rPr>
          <w:rFonts w:ascii="Arial" w:cs="Arial" w:eastAsia="Arial" w:hAnsi="Arial"/>
          <w:sz w:val="22"/>
          <w:szCs w:val="22"/>
          <w:color w:val="auto"/>
        </w:rPr>
      </w:pPr>
    </w:p>
    <w:p>
      <w:pPr>
        <w:jc w:val="both"/>
        <w:ind w:firstLine="1678"/>
        <w:spacing w:after="0" w:line="266" w:lineRule="auto"/>
        <w:tabs>
          <w:tab w:leader="none" w:pos="2793"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Cash Incentive Compensation</w:t>
      </w:r>
      <w:r>
        <w:rPr>
          <w:rFonts w:ascii="Arial" w:cs="Arial" w:eastAsia="Arial" w:hAnsi="Arial"/>
          <w:sz w:val="22"/>
          <w:szCs w:val="22"/>
          <w:color w:val="auto"/>
        </w:rPr>
        <w:t>. During the Term, the Executive shall be eligible to receive cash incentive compensation as determined by the Board from time to time. To earn incentive compensation, the Executive must be employed by the Company on the day such incentive compensation is paid.</w:t>
      </w:r>
    </w:p>
    <w:p>
      <w:pPr>
        <w:spacing w:after="0" w:line="184" w:lineRule="exact"/>
        <w:rPr>
          <w:rFonts w:ascii="Arial" w:cs="Arial" w:eastAsia="Arial" w:hAnsi="Arial"/>
          <w:sz w:val="22"/>
          <w:szCs w:val="22"/>
          <w:color w:val="auto"/>
        </w:rPr>
      </w:pPr>
    </w:p>
    <w:p>
      <w:pPr>
        <w:ind w:firstLine="1678"/>
        <w:spacing w:after="0" w:line="276" w:lineRule="auto"/>
        <w:tabs>
          <w:tab w:leader="none" w:pos="2793"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Equity Compensation</w:t>
      </w:r>
      <w:r>
        <w:rPr>
          <w:rFonts w:ascii="Arial" w:cs="Arial" w:eastAsia="Arial" w:hAnsi="Arial"/>
          <w:sz w:val="22"/>
          <w:szCs w:val="22"/>
          <w:color w:val="auto"/>
        </w:rPr>
        <w:t>. Subject to final approval by the Board, the Company will grant to the Executive following the Effective Date, the following equity awards:</w:t>
      </w:r>
    </w:p>
    <w:p>
      <w:pPr>
        <w:spacing w:after="0" w:line="174" w:lineRule="exact"/>
        <w:rPr>
          <w:sz w:val="20"/>
          <w:szCs w:val="20"/>
          <w:color w:val="auto"/>
        </w:rPr>
      </w:pPr>
    </w:p>
    <w:p>
      <w:pPr>
        <w:ind w:left="3580"/>
        <w:spacing w:after="0"/>
        <w:tabs>
          <w:tab w:leader="none" w:pos="5020" w:val="left"/>
        </w:tabs>
        <w:rPr>
          <w:sz w:val="20"/>
          <w:szCs w:val="20"/>
          <w:color w:val="auto"/>
        </w:rPr>
      </w:pPr>
      <w:r>
        <w:rPr>
          <w:rFonts w:ascii="Arial" w:cs="Arial" w:eastAsia="Arial" w:hAnsi="Arial"/>
          <w:sz w:val="21"/>
          <w:szCs w:val="21"/>
          <w:color w:val="auto"/>
        </w:rPr>
        <w:t>(i)</w:t>
      </w:r>
      <w:r>
        <w:rPr>
          <w:sz w:val="20"/>
          <w:szCs w:val="20"/>
          <w:color w:val="auto"/>
        </w:rPr>
        <w:tab/>
      </w:r>
      <w:r>
        <w:rPr>
          <w:rFonts w:ascii="Arial" w:cs="Arial" w:eastAsia="Arial" w:hAnsi="Arial"/>
          <w:sz w:val="21"/>
          <w:szCs w:val="21"/>
          <w:u w:val="single" w:color="auto"/>
          <w:color w:val="auto"/>
        </w:rPr>
        <w:t>One-time 2021 Supplemental Equity Award</w:t>
      </w:r>
      <w:r>
        <w:rPr>
          <w:rFonts w:ascii="Arial" w:cs="Arial" w:eastAsia="Arial" w:hAnsi="Arial"/>
          <w:sz w:val="21"/>
          <w:szCs w:val="21"/>
          <w:color w:val="auto"/>
        </w:rPr>
        <w:t>: An option to purchase</w:t>
      </w:r>
    </w:p>
    <w:p>
      <w:pPr>
        <w:spacing w:after="0" w:line="33" w:lineRule="exact"/>
        <w:rPr>
          <w:sz w:val="20"/>
          <w:szCs w:val="20"/>
          <w:color w:val="auto"/>
        </w:rPr>
      </w:pPr>
    </w:p>
    <w:p>
      <w:pPr>
        <w:ind w:left="2260"/>
        <w:spacing w:after="0" w:line="272" w:lineRule="auto"/>
        <w:rPr>
          <w:sz w:val="20"/>
          <w:szCs w:val="20"/>
          <w:color w:val="auto"/>
        </w:rPr>
      </w:pPr>
      <w:r>
        <w:rPr>
          <w:rFonts w:ascii="Arial" w:cs="Arial" w:eastAsia="Arial" w:hAnsi="Arial"/>
          <w:sz w:val="22"/>
          <w:szCs w:val="22"/>
          <w:color w:val="auto"/>
        </w:rPr>
        <w:t>23,514 shares of the Company’s Common Stock, par value $0.0001 per share (the “</w:t>
      </w:r>
      <w:r>
        <w:rPr>
          <w:rFonts w:ascii="Arial" w:cs="Arial" w:eastAsia="Arial" w:hAnsi="Arial"/>
          <w:sz w:val="22"/>
          <w:szCs w:val="22"/>
          <w:u w:val="single" w:color="auto"/>
          <w:color w:val="auto"/>
        </w:rPr>
        <w:t>Common Stock</w:t>
      </w:r>
      <w:r>
        <w:rPr>
          <w:rFonts w:ascii="Arial" w:cs="Arial" w:eastAsia="Arial" w:hAnsi="Arial"/>
          <w:sz w:val="22"/>
          <w:szCs w:val="22"/>
          <w:color w:val="auto"/>
        </w:rPr>
        <w:t>”), which shall be subject to vesting as follows: 100% of such grant shall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ind w:left="2260"/>
        <w:spacing w:after="0" w:line="276" w:lineRule="auto"/>
        <w:rPr>
          <w:sz w:val="20"/>
          <w:szCs w:val="20"/>
          <w:color w:val="auto"/>
        </w:rPr>
      </w:pPr>
      <w:r>
        <w:rPr>
          <w:rFonts w:ascii="Arial" w:cs="Arial" w:eastAsia="Arial" w:hAnsi="Arial"/>
          <w:sz w:val="22"/>
          <w:szCs w:val="22"/>
          <w:color w:val="auto"/>
        </w:rPr>
        <w:t>vest on August 5, 2022 so long as the Executive continues to have a service relationship with the Company on such vesting date.</w:t>
      </w:r>
    </w:p>
    <w:p>
      <w:pPr>
        <w:spacing w:after="0" w:line="174" w:lineRule="exact"/>
        <w:rPr>
          <w:sz w:val="20"/>
          <w:szCs w:val="20"/>
          <w:color w:val="auto"/>
        </w:rPr>
      </w:pPr>
    </w:p>
    <w:p>
      <w:pPr>
        <w:jc w:val="both"/>
        <w:ind w:left="2260" w:firstLine="1272"/>
        <w:spacing w:after="0" w:line="317" w:lineRule="auto"/>
        <w:tabs>
          <w:tab w:leader="none" w:pos="5054"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2021 Annual Award</w:t>
      </w:r>
      <w:r>
        <w:rPr>
          <w:rFonts w:ascii="Arial" w:cs="Arial" w:eastAsia="Arial" w:hAnsi="Arial"/>
          <w:sz w:val="19"/>
          <w:szCs w:val="19"/>
          <w:color w:val="auto"/>
        </w:rPr>
        <w:t>: An option to purchase 17,245 shares of the Company’s Common Stock, which shall be subject to vesting as follows: 100% shall vest on the earlier of the one-year anniversary of the grant date and the Company’s next annual meeting of stockholders, subject to the Executive’s continued service relationship with the Company through such vesting date.</w:t>
      </w:r>
    </w:p>
    <w:p>
      <w:pPr>
        <w:spacing w:after="0" w:line="142" w:lineRule="exact"/>
        <w:rPr>
          <w:sz w:val="20"/>
          <w:szCs w:val="20"/>
          <w:color w:val="auto"/>
        </w:rPr>
      </w:pPr>
    </w:p>
    <w:p>
      <w:pPr>
        <w:jc w:val="both"/>
        <w:ind w:left="2260" w:firstLine="1222"/>
        <w:spacing w:after="0" w:line="273" w:lineRule="auto"/>
        <w:tabs>
          <w:tab w:leader="none" w:pos="5054"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One-Time 2022 Equity Award</w:t>
      </w:r>
      <w:r>
        <w:rPr>
          <w:rFonts w:ascii="Arial" w:cs="Arial" w:eastAsia="Arial" w:hAnsi="Arial"/>
          <w:sz w:val="21"/>
          <w:szCs w:val="21"/>
          <w:color w:val="auto"/>
        </w:rPr>
        <w:t>: On January 3, 2022, the Company shall grant the Executive an option to purchase 793,274 shares of Common Stock, which shall be subject to vesting as follows: 50% of such grant shall vest on August 5, 2022 and the remaining 50% shall vest on August 5, 2023; provided, however, that in the event of a Sale Event (as defined in the Company’s 2021 Stock Option and Incentive Plan, the “</w:t>
      </w:r>
      <w:r>
        <w:rPr>
          <w:rFonts w:ascii="Arial" w:cs="Arial" w:eastAsia="Arial" w:hAnsi="Arial"/>
          <w:sz w:val="21"/>
          <w:szCs w:val="21"/>
          <w:u w:val="single" w:color="auto"/>
          <w:color w:val="auto"/>
        </w:rPr>
        <w:t>Plan</w:t>
      </w:r>
      <w:r>
        <w:rPr>
          <w:rFonts w:ascii="Arial" w:cs="Arial" w:eastAsia="Arial" w:hAnsi="Arial"/>
          <w:sz w:val="21"/>
          <w:szCs w:val="21"/>
          <w:color w:val="auto"/>
        </w:rPr>
        <w:t>”), then all unvested shares underlying such grant shall vest in full upon the consummation of such Sale Event, in each case, provided that the Executive continues to have a service relationship with the Company on each such vesting date or the consummation of such Sale Event, as applicable.</w:t>
      </w:r>
    </w:p>
    <w:p>
      <w:pPr>
        <w:spacing w:after="0" w:line="178" w:lineRule="exact"/>
        <w:rPr>
          <w:rFonts w:ascii="Arial" w:cs="Arial" w:eastAsia="Arial" w:hAnsi="Arial"/>
          <w:sz w:val="21"/>
          <w:szCs w:val="21"/>
          <w:color w:val="auto"/>
        </w:rPr>
      </w:pPr>
    </w:p>
    <w:p>
      <w:pPr>
        <w:jc w:val="both"/>
        <w:ind w:left="2260" w:firstLine="1232"/>
        <w:spacing w:after="0" w:line="260" w:lineRule="auto"/>
        <w:tabs>
          <w:tab w:leader="none" w:pos="5054"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Annual Equity Award</w:t>
      </w:r>
      <w:r>
        <w:rPr>
          <w:rFonts w:ascii="Arial" w:cs="Arial" w:eastAsia="Arial" w:hAnsi="Arial"/>
          <w:sz w:val="22"/>
          <w:szCs w:val="22"/>
          <w:color w:val="auto"/>
        </w:rPr>
        <w:t>: Beginning in 2022, the Company shall grant the Executive an annual option to purchase such number of shares of Common Stock equal to 0.16% of the then issued and outstanding shares of the Company, which shall be subject to vesting as follows: 100% shall vest on the earlier of the one-year anniversary of the grant date and the Company’s next annual meeting of stockholders, subject to the Executive’s continued service relationship with the Company through such vesting date.</w:t>
      </w:r>
    </w:p>
    <w:p>
      <w:pPr>
        <w:spacing w:after="0" w:line="192" w:lineRule="exact"/>
        <w:rPr>
          <w:sz w:val="20"/>
          <w:szCs w:val="20"/>
          <w:color w:val="auto"/>
        </w:rPr>
      </w:pPr>
    </w:p>
    <w:p>
      <w:pPr>
        <w:jc w:val="both"/>
        <w:ind w:left="2260" w:firstLine="1282"/>
        <w:spacing w:after="0" w:line="266" w:lineRule="auto"/>
        <w:tabs>
          <w:tab w:leader="none" w:pos="5054" w:val="left"/>
        </w:tabs>
        <w:numPr>
          <w:ilvl w:val="1"/>
          <w:numId w:val="20"/>
        </w:numPr>
        <w:rPr>
          <w:rFonts w:ascii="Arial" w:cs="Arial" w:eastAsia="Arial" w:hAnsi="Arial"/>
          <w:sz w:val="22"/>
          <w:szCs w:val="22"/>
          <w:color w:val="auto"/>
        </w:rPr>
      </w:pPr>
      <w:r>
        <w:rPr>
          <w:rFonts w:ascii="Arial" w:cs="Arial" w:eastAsia="Arial" w:hAnsi="Arial"/>
          <w:sz w:val="22"/>
          <w:szCs w:val="22"/>
          <w:color w:val="auto"/>
        </w:rPr>
        <w:t>All such equity awards as described in this Section 2(c) shall be subject to the terms and conditions of the Plan and the equity award agreements between the Executive and the Company (the “</w:t>
      </w:r>
      <w:r>
        <w:rPr>
          <w:rFonts w:ascii="Arial" w:cs="Arial" w:eastAsia="Arial" w:hAnsi="Arial"/>
          <w:sz w:val="22"/>
          <w:szCs w:val="22"/>
          <w:u w:val="single" w:color="auto"/>
          <w:color w:val="auto"/>
        </w:rPr>
        <w:t>Equity Documents</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left="2800" w:hanging="1122"/>
        <w:spacing w:after="0"/>
        <w:tabs>
          <w:tab w:leader="none" w:pos="2800"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Sign-On Bonus</w:t>
      </w:r>
      <w:r>
        <w:rPr>
          <w:rFonts w:ascii="Arial" w:cs="Arial" w:eastAsia="Arial" w:hAnsi="Arial"/>
          <w:sz w:val="19"/>
          <w:szCs w:val="19"/>
          <w:color w:val="auto"/>
        </w:rPr>
        <w:t>.  The Executive shall be paid a signing bonus equal to $63,300, less applicable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deductions and withholdings.</w:t>
      </w:r>
    </w:p>
    <w:p>
      <w:pPr>
        <w:spacing w:after="0" w:line="228" w:lineRule="exact"/>
        <w:rPr>
          <w:rFonts w:ascii="Arial" w:cs="Arial" w:eastAsia="Arial" w:hAnsi="Arial"/>
          <w:sz w:val="19"/>
          <w:szCs w:val="19"/>
          <w:color w:val="auto"/>
        </w:rPr>
      </w:pPr>
    </w:p>
    <w:p>
      <w:pPr>
        <w:jc w:val="both"/>
        <w:ind w:firstLine="1678"/>
        <w:spacing w:after="0" w:line="266" w:lineRule="auto"/>
        <w:tabs>
          <w:tab w:leader="none" w:pos="2793"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The Executive shall be entitled to receive prompt reimbursement for all reasonable expenses incurred by the Executive during the Term in performing services hereunder, in accordance with the policies and procedures then in effect and established by the Company for its senior executives.</w:t>
      </w:r>
    </w:p>
    <w:p>
      <w:pPr>
        <w:spacing w:after="0" w:line="184" w:lineRule="exact"/>
        <w:rPr>
          <w:rFonts w:ascii="Arial" w:cs="Arial" w:eastAsia="Arial" w:hAnsi="Arial"/>
          <w:sz w:val="22"/>
          <w:szCs w:val="22"/>
          <w:color w:val="auto"/>
        </w:rPr>
      </w:pPr>
    </w:p>
    <w:p>
      <w:pPr>
        <w:jc w:val="both"/>
        <w:ind w:firstLine="1678"/>
        <w:spacing w:after="0" w:line="327" w:lineRule="auto"/>
        <w:tabs>
          <w:tab w:leader="none" w:pos="2793"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Employee Benefits</w:t>
      </w:r>
      <w:r>
        <w:rPr>
          <w:rFonts w:ascii="Arial" w:cs="Arial" w:eastAsia="Arial" w:hAnsi="Arial"/>
          <w:sz w:val="19"/>
          <w:szCs w:val="19"/>
          <w:color w:val="auto"/>
        </w:rPr>
        <w:t>. During the Term, the Executive shall be eligible to participate in or receive benefits under the Company’s policies and employee benefit plans in effect from time to time, subject to the terms of such policies and plans and to the Company’s ability to amend, modify, replace or terminate such policies and plans.</w:t>
      </w:r>
    </w:p>
    <w:p>
      <w:pPr>
        <w:spacing w:after="0" w:line="132" w:lineRule="exact"/>
        <w:rPr>
          <w:rFonts w:ascii="Arial" w:cs="Arial" w:eastAsia="Arial" w:hAnsi="Arial"/>
          <w:sz w:val="19"/>
          <w:szCs w:val="19"/>
          <w:color w:val="auto"/>
        </w:rPr>
      </w:pPr>
    </w:p>
    <w:p>
      <w:pPr>
        <w:jc w:val="both"/>
        <w:ind w:firstLine="1678"/>
        <w:spacing w:after="0" w:line="262" w:lineRule="auto"/>
        <w:tabs>
          <w:tab w:leader="none" w:pos="2793"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Withholding; Tax Effect</w:t>
      </w:r>
      <w:r>
        <w:rPr>
          <w:rFonts w:ascii="Arial" w:cs="Arial" w:eastAsia="Arial" w:hAnsi="Arial"/>
          <w:sz w:val="22"/>
          <w:szCs w:val="22"/>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58" w:name="page59"/>
    <w:bookmarkEnd w:id="58"/>
    <w:p>
      <w:pPr>
        <w:spacing w:after="0"/>
        <w:rPr>
          <w:sz w:val="20"/>
          <w:szCs w:val="20"/>
          <w:color w:val="auto"/>
        </w:rPr>
      </w:pPr>
      <w:r>
        <w:rPr>
          <w:rFonts w:ascii="Arial" w:cs="Arial" w:eastAsia="Arial" w:hAnsi="Arial"/>
          <w:sz w:val="22"/>
          <w:szCs w:val="22"/>
          <w:color w:val="auto"/>
        </w:rPr>
        <w:t>associated with any payments or benefits or for any deduction or withholding from any payment or benefit.</w:t>
      </w:r>
    </w:p>
    <w:p>
      <w:pPr>
        <w:spacing w:after="0" w:line="233" w:lineRule="exact"/>
        <w:rPr>
          <w:sz w:val="20"/>
          <w:szCs w:val="20"/>
          <w:color w:val="auto"/>
        </w:rPr>
      </w:pPr>
    </w:p>
    <w:p>
      <w:pPr>
        <w:jc w:val="both"/>
        <w:ind w:firstLine="800"/>
        <w:spacing w:after="0" w:line="271" w:lineRule="auto"/>
        <w:tabs>
          <w:tab w:leader="none" w:pos="1397"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At-will Employment</w:t>
      </w:r>
      <w:r>
        <w:rPr>
          <w:rFonts w:ascii="Arial" w:cs="Arial" w:eastAsia="Arial" w:hAnsi="Arial"/>
          <w:sz w:val="21"/>
          <w:szCs w:val="21"/>
          <w:color w:val="auto"/>
        </w:rPr>
        <w:t>. At all times the Executive’s employment is “at will,” meaning that the Company or the Executive may terminate it at any time for any or no reason, with or without reason or advance notice. The Executive’s last day of employment is referred to herein as the “</w:t>
      </w:r>
      <w:r>
        <w:rPr>
          <w:rFonts w:ascii="Arial" w:cs="Arial" w:eastAsia="Arial" w:hAnsi="Arial"/>
          <w:sz w:val="21"/>
          <w:szCs w:val="21"/>
          <w:u w:val="single" w:color="auto"/>
          <w:color w:val="auto"/>
        </w:rPr>
        <w:t>Date of Termination</w:t>
      </w:r>
      <w:r>
        <w:rPr>
          <w:rFonts w:ascii="Arial" w:cs="Arial" w:eastAsia="Arial" w:hAnsi="Arial"/>
          <w:sz w:val="21"/>
          <w:szCs w:val="21"/>
          <w:color w:val="auto"/>
        </w:rPr>
        <w:t>.” In the event of the ending of the Executive’s employment for any reason, the Company shall pay the Executive (i) any Base Salary earned through the Date of Termination and unpaid expense reimbursements (subject to, and in accordance with, Section 2(e) of this Agreement) on or before the time required by law but in no event more than 30 days after the Date of Termination, and (ii) any vested benefits the Executive may have under any employee benefit plan of the Company through the Date of Termination, which vested benefits shall be paid and/or provided in accordance with the terms of such employee benefit plans (the “</w:t>
      </w:r>
      <w:r>
        <w:rPr>
          <w:rFonts w:ascii="Arial" w:cs="Arial" w:eastAsia="Arial" w:hAnsi="Arial"/>
          <w:sz w:val="21"/>
          <w:szCs w:val="21"/>
          <w:u w:val="single" w:color="auto"/>
          <w:color w:val="auto"/>
        </w:rPr>
        <w:t>Accrued Obligations</w:t>
      </w:r>
      <w:r>
        <w:rPr>
          <w:rFonts w:ascii="Arial" w:cs="Arial" w:eastAsia="Arial" w:hAnsi="Arial"/>
          <w:sz w:val="21"/>
          <w:szCs w:val="21"/>
          <w:color w:val="auto"/>
        </w:rPr>
        <w:t>”). Other than the Accrued Obligations, the Executive will not be entitled to any compensation from the Company in connection with the ending of the Executive’s employment.</w:t>
      </w:r>
    </w:p>
    <w:p>
      <w:pPr>
        <w:spacing w:after="0" w:line="189" w:lineRule="exact"/>
        <w:rPr>
          <w:rFonts w:ascii="Arial" w:cs="Arial" w:eastAsia="Arial" w:hAnsi="Arial"/>
          <w:sz w:val="21"/>
          <w:szCs w:val="21"/>
          <w:color w:val="auto"/>
        </w:rPr>
      </w:pPr>
    </w:p>
    <w:p>
      <w:pPr>
        <w:jc w:val="both"/>
        <w:ind w:firstLine="800"/>
        <w:spacing w:after="0" w:line="279" w:lineRule="auto"/>
        <w:tabs>
          <w:tab w:leader="none" w:pos="1397"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Proprietary Information and Restricted Activities</w:t>
      </w:r>
      <w:r>
        <w:rPr>
          <w:rFonts w:ascii="Arial" w:cs="Arial" w:eastAsia="Arial" w:hAnsi="Arial"/>
          <w:sz w:val="21"/>
          <w:szCs w:val="21"/>
          <w:color w:val="auto"/>
        </w:rPr>
        <w:t>. The Executive will be required to sign, as a condition of the Executive’s employment, the Employee Confidentiality, Assignment and Nonsolicitation Agreement that is enclosed with this Agreement (the “</w:t>
      </w:r>
      <w:r>
        <w:rPr>
          <w:rFonts w:ascii="Arial" w:cs="Arial" w:eastAsia="Arial" w:hAnsi="Arial"/>
          <w:sz w:val="21"/>
          <w:szCs w:val="21"/>
          <w:u w:val="single" w:color="auto"/>
          <w:color w:val="auto"/>
        </w:rPr>
        <w:t>Restrictive Covenant Agreement</w:t>
      </w:r>
      <w:r>
        <w:rPr>
          <w:rFonts w:ascii="Arial" w:cs="Arial" w:eastAsia="Arial" w:hAnsi="Arial"/>
          <w:sz w:val="21"/>
          <w:szCs w:val="21"/>
          <w:color w:val="auto"/>
        </w:rPr>
        <w:t>”). The Executive represents that he has not used and will not use or disclose any trade secret or other proprietary right of any previous employer or any other party.</w:t>
      </w:r>
    </w:p>
    <w:p>
      <w:pPr>
        <w:spacing w:after="0" w:line="173" w:lineRule="exact"/>
        <w:rPr>
          <w:rFonts w:ascii="Arial" w:cs="Arial" w:eastAsia="Arial" w:hAnsi="Arial"/>
          <w:sz w:val="21"/>
          <w:szCs w:val="21"/>
          <w:color w:val="auto"/>
        </w:rPr>
      </w:pPr>
    </w:p>
    <w:p>
      <w:pPr>
        <w:jc w:val="both"/>
        <w:ind w:firstLine="800"/>
        <w:spacing w:after="0" w:line="271" w:lineRule="auto"/>
        <w:tabs>
          <w:tab w:leader="none" w:pos="1397"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Litigation and Regulatory Cooperation</w:t>
      </w:r>
      <w:r>
        <w:rPr>
          <w:rFonts w:ascii="Arial" w:cs="Arial" w:eastAsia="Arial" w:hAnsi="Arial"/>
          <w:sz w:val="21"/>
          <w:szCs w:val="21"/>
          <w:color w:val="auto"/>
        </w:rPr>
        <w:t>. During and after the Executive’s employment, the Executive shall cooperate fully with the Company in the defense or prosecution of any claims or actions now in existence or which may be brought in the future against or on behalf of the Company which relate to events or occurrences that transpired while the Executive was employed by the Company. The Executive’s full cooperation in connection with such claims or actions shall include, but not be limited to, being available to meet with counsel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5.</w:t>
      </w:r>
    </w:p>
    <w:p>
      <w:pPr>
        <w:spacing w:after="0" w:line="189" w:lineRule="exact"/>
        <w:rPr>
          <w:rFonts w:ascii="Arial" w:cs="Arial" w:eastAsia="Arial" w:hAnsi="Arial"/>
          <w:sz w:val="21"/>
          <w:szCs w:val="21"/>
          <w:color w:val="auto"/>
        </w:rPr>
      </w:pPr>
    </w:p>
    <w:p>
      <w:pPr>
        <w:jc w:val="both"/>
        <w:ind w:firstLine="800"/>
        <w:spacing w:after="0" w:line="262" w:lineRule="auto"/>
        <w:tabs>
          <w:tab w:leader="none" w:pos="1397"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waiver of any of Executive’s obligations under this Agreement shall be effective unless made in writing by the Company. The failure of the Company to require Executive’s performance of any term or obligation of this Agreement, or the waiver of any breach of this Agreement, shall not prevent the Company’s subsequent enforcement of such term or obligation or be deemed a waiver of any subsequent breach.</w:t>
      </w:r>
    </w:p>
    <w:p>
      <w:pPr>
        <w:spacing w:after="0" w:line="191" w:lineRule="exact"/>
        <w:rPr>
          <w:rFonts w:ascii="Arial" w:cs="Arial" w:eastAsia="Arial" w:hAnsi="Arial"/>
          <w:sz w:val="22"/>
          <w:szCs w:val="22"/>
          <w:color w:val="auto"/>
        </w:rPr>
      </w:pPr>
    </w:p>
    <w:p>
      <w:pPr>
        <w:jc w:val="both"/>
        <w:ind w:firstLine="800"/>
        <w:spacing w:after="0" w:line="262" w:lineRule="auto"/>
        <w:tabs>
          <w:tab w:leader="none" w:pos="1397"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In case any provisions (or portions thereof) contained in this Agreement shall, for any reason, be held invalid, illegal or unenforceable in any respect, such invalidity, illegality or unenforceability shall not affect the other provisions of this Agreement, and this Agreement shall be construed as if such invalid, illegal or unenforceable provision had never been contained herein.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59" w:name="page60"/>
    <w:bookmarkEnd w:id="59"/>
    <w:p>
      <w:pPr>
        <w:jc w:val="both"/>
        <w:ind w:firstLine="800"/>
        <w:spacing w:after="0" w:line="261" w:lineRule="auto"/>
        <w:tabs>
          <w:tab w:leader="none" w:pos="1397"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Choice of Law and Jurisdiction</w:t>
      </w:r>
      <w:r>
        <w:rPr>
          <w:rFonts w:ascii="Arial" w:cs="Arial" w:eastAsia="Arial" w:hAnsi="Arial"/>
          <w:sz w:val="22"/>
          <w:szCs w:val="22"/>
          <w:color w:val="auto"/>
        </w:rPr>
        <w:t>. This Agreement will be deemed to be made and entered into in the Commonwealth of Massachusetts, and will in all respects be interpreted, enforced and governed under the laws of the Commonwealth of Massachusetts. Executive hereby consents to personal jurisdiction of the state and federal courts situated within Massachusetts for purposes of enforcing this Agreement, and waive any objection that Executive might have to personal jurisdiction or venue in those courts.</w:t>
      </w:r>
    </w:p>
    <w:p>
      <w:pPr>
        <w:spacing w:after="0" w:line="190" w:lineRule="exact"/>
        <w:rPr>
          <w:rFonts w:ascii="Arial" w:cs="Arial" w:eastAsia="Arial" w:hAnsi="Arial"/>
          <w:sz w:val="22"/>
          <w:szCs w:val="22"/>
          <w:color w:val="auto"/>
        </w:rPr>
      </w:pPr>
    </w:p>
    <w:p>
      <w:pPr>
        <w:jc w:val="both"/>
        <w:ind w:firstLine="800"/>
        <w:spacing w:after="0" w:line="279" w:lineRule="auto"/>
        <w:tabs>
          <w:tab w:leader="none" w:pos="1397"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73" w:lineRule="exact"/>
        <w:rPr>
          <w:rFonts w:ascii="Arial" w:cs="Arial" w:eastAsia="Arial" w:hAnsi="Arial"/>
          <w:sz w:val="21"/>
          <w:szCs w:val="21"/>
          <w:color w:val="auto"/>
        </w:rPr>
      </w:pPr>
    </w:p>
    <w:p>
      <w:pPr>
        <w:ind w:firstLine="800"/>
        <w:spacing w:after="0" w:line="358" w:lineRule="auto"/>
        <w:tabs>
          <w:tab w:leader="none" w:pos="1397"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any number of counterparts, each of which when so executed and delivered shall be taken to be an original; but such counterparts shall together constitute one and the same document.</w:t>
      </w:r>
    </w:p>
    <w:p>
      <w:pPr>
        <w:spacing w:after="0" w:line="104" w:lineRule="exact"/>
        <w:rPr>
          <w:rFonts w:ascii="Arial" w:cs="Arial" w:eastAsia="Arial" w:hAnsi="Arial"/>
          <w:sz w:val="19"/>
          <w:szCs w:val="19"/>
          <w:color w:val="auto"/>
        </w:rPr>
      </w:pPr>
    </w:p>
    <w:p>
      <w:pPr>
        <w:jc w:val="both"/>
        <w:ind w:firstLine="800"/>
        <w:spacing w:after="0" w:line="306" w:lineRule="auto"/>
        <w:tabs>
          <w:tab w:leader="none" w:pos="1397"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Entire Agreement; Amendment</w:t>
      </w:r>
      <w:r>
        <w:rPr>
          <w:rFonts w:ascii="Arial" w:cs="Arial" w:eastAsia="Arial" w:hAnsi="Arial"/>
          <w:sz w:val="19"/>
          <w:szCs w:val="19"/>
          <w:color w:val="auto"/>
        </w:rPr>
        <w:t>. This Agreement, together with the Restrictive Covenant Agreement and the Equity Documents, constitutes the entire agreement between the Company and Executive with respect to the subject matter hereof, and supersedes all prior agreements or understandings, both written and oral, between the Company and Executive with respect to the subject matter hereof, but does not in any way merge with or supersede any other confidentiality, assignment of inventions or other restrictive covenant agreement or obligation entered into by the Company and Executive, which agreements and obligations shall supplement, and shall not limit or be limited by, this Agreement. This Agreement may be amended only in a written agreement executed by a duly authorized officer of the Company and Executive.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60" w:name="page61"/>
    <w:bookmarkEnd w:id="60"/>
    <w:p>
      <w:pPr>
        <w:spacing w:after="0"/>
        <w:rPr>
          <w:sz w:val="20"/>
          <w:szCs w:val="20"/>
          <w:color w:val="auto"/>
        </w:rPr>
      </w:pPr>
      <w:r>
        <w:rPr>
          <w:rFonts w:ascii="Arial" w:cs="Arial" w:eastAsia="Arial" w:hAnsi="Arial"/>
          <w:sz w:val="19"/>
          <w:szCs w:val="19"/>
          <w:color w:val="auto"/>
        </w:rPr>
        <w:t>IN WITNESS WHEREOF, the parties have executed this Agreement effective on the date and year first above written.</w:t>
      </w:r>
    </w:p>
    <w:p>
      <w:pPr>
        <w:sectPr>
          <w:pgSz w:w="11900" w:h="16838" w:orient="portrait"/>
          <w:cols w:equalWidth="0" w:num="1">
            <w:col w:w="10260"/>
          </w:cols>
          <w:pgMar w:left="1080" w:top="402" w:right="559" w:bottom="1440" w:gutter="0" w:footer="0" w:header="0"/>
        </w:sectPr>
      </w:pPr>
    </w:p>
    <w:p>
      <w:pPr>
        <w:spacing w:after="0" w:line="262"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GEMINI THERAPEUTICS, INC.</w:t>
      </w:r>
    </w:p>
    <w:p>
      <w:pPr>
        <w:spacing w:after="0" w:line="200" w:lineRule="exact"/>
        <w:rPr>
          <w:sz w:val="20"/>
          <w:szCs w:val="20"/>
          <w:color w:val="auto"/>
        </w:rPr>
      </w:pPr>
    </w:p>
    <w:p>
      <w:pPr>
        <w:spacing w:after="0" w:line="363" w:lineRule="exact"/>
        <w:rPr>
          <w:sz w:val="20"/>
          <w:szCs w:val="20"/>
          <w:color w:val="auto"/>
        </w:rPr>
      </w:pPr>
    </w:p>
    <w:p>
      <w:pPr>
        <w:ind w:left="3740"/>
        <w:spacing w:after="0"/>
        <w:tabs>
          <w:tab w:leader="none" w:pos="4260" w:val="left"/>
        </w:tabs>
        <w:rPr>
          <w:sz w:val="20"/>
          <w:szCs w:val="20"/>
          <w:color w:val="auto"/>
        </w:rPr>
      </w:pPr>
      <w:r>
        <w:rPr>
          <w:rFonts w:ascii="Arial" w:cs="Arial" w:eastAsia="Arial" w:hAnsi="Arial"/>
          <w:sz w:val="22"/>
          <w:szCs w:val="22"/>
          <w:color w:val="auto"/>
        </w:rPr>
        <w:t>By:</w:t>
        <w:tab/>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-17780</wp:posOffset>
            </wp:positionV>
            <wp:extent cx="133731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 Jason Meyenburg</w:t>
      </w:r>
    </w:p>
    <w:p>
      <w:pPr>
        <w:spacing w:after="0" w:line="17" w:lineRule="exact"/>
        <w:rPr>
          <w:sz w:val="20"/>
          <w:szCs w:val="20"/>
          <w:color w:val="auto"/>
        </w:rPr>
      </w:pPr>
    </w:p>
    <w:p>
      <w:pPr>
        <w:ind w:left="4180"/>
        <w:spacing w:after="0"/>
        <w:rPr>
          <w:sz w:val="20"/>
          <w:szCs w:val="20"/>
          <w:color w:val="auto"/>
        </w:rPr>
      </w:pPr>
      <w:r>
        <w:rPr>
          <w:rFonts w:ascii="Arial" w:cs="Arial" w:eastAsia="Arial" w:hAnsi="Arial"/>
          <w:sz w:val="19"/>
          <w:szCs w:val="19"/>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/s/ Georges Gemayel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-17780</wp:posOffset>
            </wp:positionV>
            <wp:extent cx="13716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Dr. Georges Gemayel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243205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080" w:top="402" w:right="559" w:bottom="1440" w:gutter="0" w:footer="0" w:header="0"/>
          <w:type w:val="continuous"/>
        </w:sectPr>
      </w:pPr>
    </w:p>
    <w:bookmarkStart w:id="61" w:name="page62"/>
    <w:bookmarkEnd w:id="61"/>
    <w:p>
      <w:pPr>
        <w:ind w:left="10320"/>
        <w:spacing w:after="0"/>
        <w:rPr>
          <w:sz w:val="20"/>
          <w:szCs w:val="20"/>
          <w:color w:val="auto"/>
        </w:rPr>
      </w:pPr>
      <w:r>
        <w:rPr>
          <w:rFonts w:ascii="Arial" w:cs="Arial" w:eastAsia="Arial" w:hAnsi="Arial"/>
          <w:sz w:val="16"/>
          <w:szCs w:val="16"/>
          <w:b w:val="1"/>
          <w:bCs w:val="1"/>
          <w:color w:val="auto"/>
        </w:rPr>
        <w:t>Exhibit 31.1</w:t>
      </w:r>
    </w:p>
    <w:p>
      <w:pPr>
        <w:spacing w:after="0" w:line="262" w:lineRule="exact"/>
        <w:rPr>
          <w:sz w:val="20"/>
          <w:szCs w:val="20"/>
          <w:color w:val="auto"/>
        </w:rPr>
      </w:pPr>
    </w:p>
    <w:p>
      <w:pPr>
        <w:jc w:val="center"/>
        <w:ind w:right="40"/>
        <w:spacing w:after="0" w:line="297" w:lineRule="auto"/>
        <w:rPr>
          <w:sz w:val="20"/>
          <w:szCs w:val="20"/>
          <w:color w:val="auto"/>
        </w:rPr>
      </w:pPr>
      <w:r>
        <w:rPr>
          <w:rFonts w:ascii="Arial" w:cs="Arial" w:eastAsia="Arial" w:hAnsi="Arial"/>
          <w:sz w:val="18"/>
          <w:szCs w:val="18"/>
          <w:b w:val="1"/>
          <w:bCs w:val="1"/>
          <w:color w:val="auto"/>
        </w:rPr>
        <w:t>CERTIFICATION OF PRINCIPAL EXECUTIVE OFFICER PURSUANT TO RULE 13a-14(a) / RULE 15d-14(a) OF THE SECURITIES EXCHANGE ACT OF 1934, AS AMENDED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Jason Meyenburg, certify that:</w:t>
      </w:r>
    </w:p>
    <w:p>
      <w:pPr>
        <w:spacing w:after="0" w:line="239"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Gemini Therapeutics, Inc.;</w:t>
      </w:r>
    </w:p>
    <w:p>
      <w:pPr>
        <w:spacing w:after="0" w:line="144" w:lineRule="exact"/>
        <w:rPr>
          <w:rFonts w:ascii="Arial" w:cs="Arial" w:eastAsia="Arial" w:hAnsi="Arial"/>
          <w:sz w:val="18"/>
          <w:szCs w:val="18"/>
          <w:color w:val="auto"/>
        </w:rPr>
      </w:pPr>
    </w:p>
    <w:p>
      <w:pPr>
        <w:jc w:val="both"/>
        <w:ind w:left="500" w:right="280" w:hanging="492"/>
        <w:spacing w:after="0" w:line="310"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40" w:hanging="492"/>
        <w:spacing w:after="0" w:line="357"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500" w:right="280" w:hanging="492"/>
        <w:spacing w:after="0" w:line="310"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440" w:right="220" w:hanging="496"/>
        <w:spacing w:after="0" w:line="336" w:lineRule="auto"/>
        <w:tabs>
          <w:tab w:leader="none" w:pos="14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1440" w:right="280" w:hanging="496"/>
        <w:spacing w:after="0" w:line="310" w:lineRule="auto"/>
        <w:tabs>
          <w:tab w:leader="none" w:pos="14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40" w:right="80" w:hanging="496"/>
        <w:spacing w:after="0" w:line="395" w:lineRule="auto"/>
        <w:tabs>
          <w:tab w:leader="none" w:pos="14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440" w:right="80" w:hanging="496"/>
        <w:spacing w:after="0" w:line="310" w:lineRule="auto"/>
        <w:tabs>
          <w:tab w:leader="none" w:pos="14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40" w:hanging="492"/>
        <w:spacing w:after="0" w:line="395"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440" w:right="320" w:hanging="496"/>
        <w:spacing w:after="0" w:line="395" w:lineRule="auto"/>
        <w:tabs>
          <w:tab w:leader="none" w:pos="14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40" w:hanging="496"/>
        <w:spacing w:after="0" w:line="324" w:lineRule="auto"/>
        <w:tabs>
          <w:tab w:leader="none" w:pos="14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Date: November 15, 2021</w:t>
      </w:r>
    </w:p>
    <w:p>
      <w:pPr>
        <w:spacing w:after="0" w:line="27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289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93"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Jason Meyenburg</w:t>
      </w:r>
    </w:p>
    <w:p>
      <w:pPr>
        <w:spacing w:after="0" w:line="50"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Chief Executive Officer</w:t>
      </w:r>
    </w:p>
    <w:p>
      <w:pPr>
        <w:spacing w:after="0" w:line="50"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2" w:name="page63"/>
    <w:bookmarkEnd w:id="62"/>
    <w:p>
      <w:pPr>
        <w:ind w:left="10320"/>
        <w:spacing w:after="0"/>
        <w:rPr>
          <w:sz w:val="20"/>
          <w:szCs w:val="20"/>
          <w:color w:val="auto"/>
        </w:rPr>
      </w:pPr>
      <w:r>
        <w:rPr>
          <w:rFonts w:ascii="Arial" w:cs="Arial" w:eastAsia="Arial" w:hAnsi="Arial"/>
          <w:sz w:val="16"/>
          <w:szCs w:val="16"/>
          <w:b w:val="1"/>
          <w:bCs w:val="1"/>
          <w:color w:val="auto"/>
        </w:rPr>
        <w:t>Exhibit 31.2</w:t>
      </w:r>
    </w:p>
    <w:p>
      <w:pPr>
        <w:spacing w:after="0" w:line="262" w:lineRule="exact"/>
        <w:rPr>
          <w:sz w:val="20"/>
          <w:szCs w:val="20"/>
          <w:color w:val="auto"/>
        </w:rPr>
      </w:pPr>
    </w:p>
    <w:p>
      <w:pPr>
        <w:jc w:val="center"/>
        <w:ind w:right="40"/>
        <w:spacing w:after="0" w:line="297" w:lineRule="auto"/>
        <w:rPr>
          <w:sz w:val="20"/>
          <w:szCs w:val="20"/>
          <w:color w:val="auto"/>
        </w:rPr>
      </w:pPr>
      <w:r>
        <w:rPr>
          <w:rFonts w:ascii="Arial" w:cs="Arial" w:eastAsia="Arial" w:hAnsi="Arial"/>
          <w:sz w:val="18"/>
          <w:szCs w:val="18"/>
          <w:b w:val="1"/>
          <w:bCs w:val="1"/>
          <w:color w:val="auto"/>
        </w:rPr>
        <w:t>CERTIFICATION OF PRINCIPAL FINANCIAL OFFICER PURSUANT TO RULE 13a-14(a) / RULE 15d-14(a) OF THE SECURITIES EXCHANGE ACT OF 1934, AS AMENDED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Brian Piekos, certify that:</w:t>
      </w:r>
    </w:p>
    <w:p>
      <w:pPr>
        <w:spacing w:after="0" w:line="239"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Gemini Therapeutics, Inc.;</w:t>
      </w:r>
    </w:p>
    <w:p>
      <w:pPr>
        <w:spacing w:after="0" w:line="144" w:lineRule="exact"/>
        <w:rPr>
          <w:rFonts w:ascii="Arial" w:cs="Arial" w:eastAsia="Arial" w:hAnsi="Arial"/>
          <w:sz w:val="18"/>
          <w:szCs w:val="18"/>
          <w:color w:val="auto"/>
        </w:rPr>
      </w:pPr>
    </w:p>
    <w:p>
      <w:pPr>
        <w:jc w:val="both"/>
        <w:ind w:left="500" w:right="280" w:hanging="492"/>
        <w:spacing w:after="0" w:line="310"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40" w:hanging="492"/>
        <w:spacing w:after="0" w:line="357"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500" w:right="280" w:hanging="492"/>
        <w:spacing w:after="0" w:line="310"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440" w:right="220" w:hanging="496"/>
        <w:spacing w:after="0" w:line="336" w:lineRule="auto"/>
        <w:tabs>
          <w:tab w:leader="none" w:pos="14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1440" w:right="280" w:hanging="496"/>
        <w:spacing w:after="0" w:line="310" w:lineRule="auto"/>
        <w:tabs>
          <w:tab w:leader="none" w:pos="14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40" w:right="80" w:hanging="496"/>
        <w:spacing w:after="0" w:line="395" w:lineRule="auto"/>
        <w:tabs>
          <w:tab w:leader="none" w:pos="14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440" w:right="80" w:hanging="496"/>
        <w:spacing w:after="0" w:line="310" w:lineRule="auto"/>
        <w:tabs>
          <w:tab w:leader="none" w:pos="14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40" w:hanging="492"/>
        <w:spacing w:after="0" w:line="395"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440" w:right="320" w:hanging="496"/>
        <w:spacing w:after="0" w:line="395" w:lineRule="auto"/>
        <w:tabs>
          <w:tab w:leader="none" w:pos="14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440" w:right="20" w:hanging="496"/>
        <w:spacing w:after="0" w:line="324" w:lineRule="auto"/>
        <w:tabs>
          <w:tab w:leader="none" w:pos="14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Date: November 15, 2021</w:t>
      </w:r>
    </w:p>
    <w:p>
      <w:pPr>
        <w:spacing w:after="0" w:line="320"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40640</wp:posOffset>
            </wp:positionV>
            <wp:extent cx="28289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1"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Brian Piekos</w:t>
      </w:r>
    </w:p>
    <w:p>
      <w:pPr>
        <w:spacing w:after="0" w:line="50"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Chief Financial Officer</w:t>
      </w:r>
    </w:p>
    <w:p>
      <w:pPr>
        <w:spacing w:after="0" w:line="50"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1"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In connection with the Quarterly Report of Gemini Therapeutics, Inc. (the “Company”) on Form 10-Q for the period ending September 30, 2021 as filed with the Securities and Exchange Commission on the date hereof (the “Report”), the undersigned officers of the Company hereby certify, pursuant to 18 U.S.C. Section 1350, as adopted pursuant to Section 906 of the Sarbanes-Oxley Act of 2002, to my knowledge, that:</w:t>
      </w:r>
    </w:p>
    <w:p>
      <w:pPr>
        <w:spacing w:after="0" w:line="43" w:lineRule="exact"/>
        <w:rPr>
          <w:sz w:val="20"/>
          <w:szCs w:val="20"/>
          <w:color w:val="auto"/>
        </w:rPr>
      </w:pPr>
    </w:p>
    <w:p>
      <w:pPr>
        <w:ind w:left="700" w:hanging="318"/>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700" w:hanging="318"/>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40"/>
        <w:spacing w:after="0"/>
        <w:tabs>
          <w:tab w:leader="none" w:pos="5900" w:val="left"/>
          <w:tab w:leader="none" w:pos="8120" w:val="left"/>
        </w:tabs>
        <w:rPr>
          <w:sz w:val="20"/>
          <w:szCs w:val="20"/>
          <w:color w:val="auto"/>
        </w:rPr>
      </w:pPr>
      <w:r>
        <w:rPr>
          <w:rFonts w:ascii="Arial" w:cs="Arial" w:eastAsia="Arial" w:hAnsi="Arial"/>
          <w:sz w:val="35"/>
          <w:szCs w:val="35"/>
          <w:color w:val="auto"/>
          <w:vertAlign w:val="superscript"/>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-26035</wp:posOffset>
            </wp:positionV>
            <wp:extent cx="299148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jc w:val="center"/>
        <w:ind w:left="6500"/>
        <w:spacing w:after="0"/>
        <w:rPr>
          <w:sz w:val="20"/>
          <w:szCs w:val="20"/>
          <w:color w:val="auto"/>
        </w:rPr>
      </w:pPr>
      <w:r>
        <w:rPr>
          <w:rFonts w:ascii="Arial" w:cs="Arial" w:eastAsia="Arial" w:hAnsi="Arial"/>
          <w:sz w:val="18"/>
          <w:szCs w:val="18"/>
          <w:b w:val="1"/>
          <w:bCs w:val="1"/>
          <w:color w:val="auto"/>
        </w:rPr>
        <w:t>Jason Meyenburg</w:t>
      </w:r>
    </w:p>
    <w:p>
      <w:pPr>
        <w:spacing w:after="0" w:line="30"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Chief Executive Officer</w:t>
      </w:r>
    </w:p>
    <w:p>
      <w:pPr>
        <w:spacing w:after="0" w:line="50"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313" w:lineRule="exact"/>
        <w:rPr>
          <w:sz w:val="20"/>
          <w:szCs w:val="20"/>
          <w:color w:val="auto"/>
        </w:rPr>
      </w:pPr>
    </w:p>
    <w:p>
      <w:pPr>
        <w:ind w:left="140"/>
        <w:spacing w:after="0"/>
        <w:tabs>
          <w:tab w:leader="none" w:pos="5900" w:val="left"/>
          <w:tab w:leader="none" w:pos="830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23495</wp:posOffset>
            </wp:positionV>
            <wp:extent cx="299148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9"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Brian Piekos</w:t>
      </w:r>
    </w:p>
    <w:p>
      <w:pPr>
        <w:spacing w:after="0" w:line="50"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Chief Financial Officer</w:t>
      </w:r>
    </w:p>
    <w:p>
      <w:pPr>
        <w:spacing w:after="0" w:line="50"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(Principal financial officer)</w:t>
      </w:r>
    </w:p>
    <w:p>
      <w:pPr>
        <w:spacing w:after="0" w:line="270" w:lineRule="exact"/>
        <w:rPr>
          <w:sz w:val="20"/>
          <w:szCs w:val="20"/>
          <w:color w:val="auto"/>
        </w:rPr>
      </w:pPr>
    </w:p>
    <w:p>
      <w:pPr>
        <w:jc w:val="both"/>
        <w:ind w:left="260" w:hanging="252"/>
        <w:spacing w:after="0" w:line="310" w:lineRule="auto"/>
        <w:tabs>
          <w:tab w:leader="none" w:pos="3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4"/>
    </w:lvl>
  </w:abstractNum>
  <w:abstractNum w:abstractNumId="3">
    <w:nsid w:val="41A7C4C9"/>
    <w:multiLevelType w:val="hybridMultilevel"/>
    <w:lvl w:ilvl="0">
      <w:lvlJc w:val="left"/>
      <w:lvlText w:val="%1."/>
      <w:numFmt w:val="decimal"/>
      <w:start w:val="12"/>
    </w:lvl>
  </w:abstractNum>
  <w:abstractNum w:abstractNumId="4">
    <w:nsid w:val="6B68079A"/>
    <w:multiLevelType w:val="hybridMultilevel"/>
    <w:lvl w:ilvl="0">
      <w:lvlJc w:val="left"/>
      <w:lvlText w:val="%1."/>
      <w:numFmt w:val="decimal"/>
      <w:start w:val="14"/>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1)"/>
      <w:numFmt w:val="lowerLetter"/>
      <w:start w:val="2"/>
    </w:lvl>
  </w:abstractNum>
  <w:abstractNum w:abstractNumId="10">
    <w:nsid w:val="7C83E458"/>
    <w:multiLevelType w:val="hybridMultilevel"/>
    <w:lvl w:ilvl="0">
      <w:lvlJc w:val="left"/>
      <w:lvlText w:val="(%1)"/>
      <w:numFmt w:val="lowerRoman"/>
      <w:start w:val="1"/>
    </w:lvl>
    <w:lvl w:ilvl="1">
      <w:lvlJc w:val="left"/>
      <w:lvlText w:val="(%2)"/>
      <w:numFmt w:val="lowerLetter"/>
      <w:start w:val="6"/>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1)"/>
      <w:numFmt w:val="lowerLetter"/>
      <w:start w:val="2"/>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lowerRoman"/>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lvl w:ilvl="1">
      <w:lvlJc w:val="left"/>
      <w:lvlText w:val="(%2)"/>
      <w:numFmt w:val="lowerLetter"/>
      <w:start w:val="1"/>
    </w:lvl>
  </w:abstractNum>
  <w:abstractNum w:abstractNumId="17">
    <w:nsid w:val="2443A858"/>
    <w:multiLevelType w:val="hybridMultilevel"/>
    <w:lvl w:ilvl="0">
      <w:lvlJc w:val="left"/>
      <w:lvlText w:val="(%1)"/>
      <w:numFmt w:val="lowerRoman"/>
      <w:start w:val="2"/>
    </w:lvl>
  </w:abstractNum>
  <w:abstractNum w:abstractNumId="18">
    <w:nsid w:val="2D1D5AE9"/>
    <w:multiLevelType w:val="hybridMultilevel"/>
    <w:lvl w:ilvl="0">
      <w:lvlJc w:val="left"/>
      <w:lvlText w:val="(%1)"/>
      <w:numFmt w:val="lowerRoman"/>
      <w:start w:val="3"/>
    </w:lvl>
  </w:abstractNum>
  <w:abstractNum w:abstractNumId="19">
    <w:nsid w:val="6763845E"/>
    <w:multiLevelType w:val="hybridMultilevel"/>
    <w:lvl w:ilvl="0">
      <w:lvlJc w:val="left"/>
      <w:lvlText w:val="%1"/>
      <w:numFmt w:val="lowerLetter"/>
      <w:start w:val="1"/>
    </w:lvl>
    <w:lvl w:ilvl="1">
      <w:lvlJc w:val="left"/>
      <w:lvlText w:val="(%2)"/>
      <w:numFmt w:val="lowerLetter"/>
      <w:start w:val="22"/>
    </w:lvl>
  </w:abstractNum>
  <w:abstractNum w:abstractNumId="20">
    <w:nsid w:val="75A2A8D4"/>
    <w:multiLevelType w:val="hybridMultilevel"/>
    <w:lvl w:ilvl="0">
      <w:lvlJc w:val="left"/>
      <w:lvlText w:val="(%1)"/>
      <w:numFmt w:val="lowerLetter"/>
      <w:start w:val="4"/>
    </w:lvl>
    <w:lvl w:ilvl="1">
      <w:lvlJc w:val="left"/>
      <w:lvlText w:val="%2"/>
      <w:numFmt w:val="lowerLetter"/>
      <w:start w:val="1"/>
    </w:lvl>
  </w:abstractNum>
  <w:abstractNum w:abstractNumId="21">
    <w:nsid w:val="8EDBDAB"/>
    <w:multiLevelType w:val="hybridMultilevel"/>
    <w:lvl w:ilvl="0">
      <w:lvlJc w:val="left"/>
      <w:lvlText w:val="%1."/>
      <w:numFmt w:val="decimal"/>
      <w:start w:val="3"/>
    </w:lvl>
  </w:abstractNum>
  <w:abstractNum w:abstractNumId="22">
    <w:nsid w:val="79838CB2"/>
    <w:multiLevelType w:val="hybridMultilevel"/>
    <w:lvl w:ilvl="0">
      <w:lvlJc w:val="left"/>
      <w:lvlText w:val="%1."/>
      <w:numFmt w:val="decimal"/>
      <w:start w:val="8"/>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27" Type="http://schemas.openxmlformats.org/officeDocument/2006/relationships/hyperlink" Target="https://www.sec.gov/Archives/edgar/data/1816736/000121390021002636/fs42021a5_fsdevelopment.htm" TargetMode="External"/><Relationship Id="rId228" Type="http://schemas.openxmlformats.org/officeDocument/2006/relationships/hyperlink" Target="https://www.sec.gov/Archives/edgar/data/1816736/000121390021002636/fs42021a5ex4-1_fsdevelo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2021-11-15T07:36:23Z</dcterms:created>
  <dcterms:modified xsi:type="dcterms:W3CDTF">2021-11-15T07:36:23Z</dcterms:modified>
</cp:coreProperties>
</file>