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under the Exchange Act (17 CFR 240.13e-4</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93"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On August 11, 2023, Disc Medicine, Inc. (the “Company”) announced its financial results for the quarter ended June 30, 2023 and provided a corporate update. A copy of the press release in connection with the announcement is being furnished as Exhibit 99.1 to this Current Report on Form 8-K.</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5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20" w:type="dxa"/>
            <w:vAlign w:val="bottom"/>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0000EE"/>
              </w:rPr>
              <w:t>Press Release issued by Disc Medicine, Inc. on August 11,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20"/>
          </w:cols>
          <w:pgMar w:left="440" w:top="513"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26314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 Medicine Reports Second Quarter 2023 Financial Results and Provides Business Update</w:t>
      </w:r>
    </w:p>
    <w:p>
      <w:pPr>
        <w:spacing w:after="0" w:line="256" w:lineRule="exact"/>
        <w:rPr>
          <w:sz w:val="20"/>
          <w:szCs w:val="20"/>
          <w:color w:val="auto"/>
        </w:rPr>
      </w:pPr>
    </w:p>
    <w:p>
      <w:pPr>
        <w:ind w:left="444" w:right="30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Presented positive initial safety and efficacy data from BEACON trial at the European Hematology Association (EHA) Congress in June 2023; data from all patients in BEACON to be presented year-end 2023</w:t>
      </w:r>
    </w:p>
    <w:p>
      <w:pPr>
        <w:spacing w:after="0" w:line="75" w:lineRule="exact"/>
        <w:rPr>
          <w:rFonts w:ascii="Arial" w:cs="Arial" w:eastAsia="Arial" w:hAnsi="Arial"/>
          <w:sz w:val="18"/>
          <w:szCs w:val="18"/>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Initiated phase 1/2 study of bitopertin in patients with Diamond-Blackfan Anemia who have failed corticosteroid treatment</w:t>
      </w:r>
    </w:p>
    <w:p>
      <w:pPr>
        <w:spacing w:after="0" w:line="130" w:lineRule="exact"/>
        <w:rPr>
          <w:rFonts w:ascii="Arial" w:cs="Arial" w:eastAsia="Arial" w:hAnsi="Arial"/>
          <w:sz w:val="18"/>
          <w:szCs w:val="18"/>
          <w:color w:val="auto"/>
        </w:rPr>
      </w:pPr>
    </w:p>
    <w:p>
      <w:pPr>
        <w:ind w:left="444" w:right="80" w:hanging="444"/>
        <w:spacing w:after="0" w:line="308" w:lineRule="auto"/>
        <w:tabs>
          <w:tab w:leader="none" w:pos="444"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Enrolling patients in two separate Phase 1b/2 studies for DISC-0974, one in patients with anemia of chronic kidney disease who are not receiving dialysis (NDD-CKD) and one in patients with myelofibrosis and anemia; initial data from both trials expected by year-end 2023</w:t>
      </w:r>
    </w:p>
    <w:p>
      <w:pPr>
        <w:spacing w:after="0" w:line="51" w:lineRule="exact"/>
        <w:rPr>
          <w:rFonts w:ascii="Arial" w:cs="Arial" w:eastAsia="Arial" w:hAnsi="Arial"/>
          <w:sz w:val="17"/>
          <w:szCs w:val="17"/>
          <w:color w:val="auto"/>
        </w:rPr>
      </w:pPr>
    </w:p>
    <w:p>
      <w:pPr>
        <w:ind w:left="444" w:right="16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Strengthened financial position through $158 million upsized public offering; ended Q2 with approximately $378 million in cash that is expected to fund operations well into 2026</w:t>
      </w:r>
    </w:p>
    <w:p>
      <w:pPr>
        <w:spacing w:after="0" w:line="170" w:lineRule="exact"/>
        <w:rPr>
          <w:sz w:val="20"/>
          <w:szCs w:val="20"/>
          <w:color w:val="auto"/>
        </w:rPr>
      </w:pPr>
    </w:p>
    <w:p>
      <w:pPr>
        <w:ind w:left="4" w:right="280"/>
        <w:spacing w:after="0" w:line="286" w:lineRule="auto"/>
        <w:rPr>
          <w:sz w:val="20"/>
          <w:szCs w:val="20"/>
          <w:color w:val="auto"/>
        </w:rPr>
      </w:pPr>
      <w:r>
        <w:rPr>
          <w:rFonts w:ascii="Arial" w:cs="Arial" w:eastAsia="Arial" w:hAnsi="Arial"/>
          <w:sz w:val="17"/>
          <w:szCs w:val="17"/>
          <w:color w:val="auto"/>
        </w:rPr>
        <w:t>WATERTOWN, Mass. (August 11, 2023) – Disc Medicine, Inc. (NASDAQ:IRON), a clinical-stage biopharmaceutical company focused on the discovery, development, and commercialization of novel treatments for patients suffering from serious hematologic diseases, today reported financial results for the second quarter ending June 30, 2023, and provided an update on recent program and corporate developments.</w:t>
      </w:r>
    </w:p>
    <w:p>
      <w:pPr>
        <w:spacing w:after="0" w:line="165" w:lineRule="exact"/>
        <w:rPr>
          <w:sz w:val="20"/>
          <w:szCs w:val="20"/>
          <w:color w:val="auto"/>
        </w:rPr>
      </w:pPr>
    </w:p>
    <w:p>
      <w:pPr>
        <w:ind w:left="4" w:right="340"/>
        <w:spacing w:after="0" w:line="275" w:lineRule="auto"/>
        <w:rPr>
          <w:sz w:val="20"/>
          <w:szCs w:val="20"/>
          <w:color w:val="auto"/>
        </w:rPr>
      </w:pPr>
      <w:r>
        <w:rPr>
          <w:rFonts w:ascii="Arial" w:cs="Arial" w:eastAsia="Arial" w:hAnsi="Arial"/>
          <w:sz w:val="17"/>
          <w:szCs w:val="17"/>
          <w:color w:val="auto"/>
        </w:rPr>
        <w:t>“This was a landmark quarter for our company, as we presented positive initial data from the BEACON study at EHA, which showed the promise of bitopertin as a potential treatment for EPP. The BEACON data catalyzed the successful completion of an upsized public offering, which provides runway well beyond key read-outs across our portfolio and positions us to advance bitopertin into late-stage development,” said John Quisel, J.D., Ph.D., President and Chief Executive Officer of Disc. “We continue to make excellent progress across our portfolio and look forward to providing updated results from BEACON and our other studies at the end of the year.”</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Recent Business Highlights and Upcoming Milestones: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Bitopertin: GlyT1 Inhibitor (Heme Synthesis Modulator)</w:t>
      </w:r>
    </w:p>
    <w:p>
      <w:pPr>
        <w:spacing w:after="0" w:line="117"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w:t>
      </w:r>
    </w:p>
    <w:p>
      <w:pPr>
        <w:spacing w:after="0" w:line="92" w:lineRule="exact"/>
        <w:rPr>
          <w:sz w:val="20"/>
          <w:szCs w:val="20"/>
          <w:color w:val="auto"/>
        </w:rPr>
      </w:pPr>
    </w:p>
    <w:p>
      <w:pPr>
        <w:ind w:left="984" w:right="620" w:hanging="544"/>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positive initial data from BEACON, an open-label Phase 2 clinical study of bitopertin in patients with EPP and X-linked protoporphyria (XLP), demonstrating:</w:t>
      </w:r>
    </w:p>
    <w:p>
      <w:pPr>
        <w:spacing w:after="0" w:line="75" w:lineRule="exact"/>
        <w:rPr>
          <w:rFonts w:ascii="Arial" w:cs="Arial" w:eastAsia="Arial" w:hAnsi="Arial"/>
          <w:sz w:val="18"/>
          <w:szCs w:val="18"/>
          <w:color w:val="auto"/>
        </w:rPr>
      </w:pPr>
    </w:p>
    <w:p>
      <w:pPr>
        <w:ind w:left="2084" w:hanging="652"/>
        <w:spacing w:after="0"/>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Consistent and dose-dependent reductions of protoporphyrin IX (PPIX), the disease-causing metabolite in EPP</w:t>
      </w:r>
    </w:p>
    <w:p>
      <w:pPr>
        <w:spacing w:after="0" w:line="130" w:lineRule="exact"/>
        <w:rPr>
          <w:rFonts w:ascii="Arial" w:cs="Arial" w:eastAsia="Arial" w:hAnsi="Arial"/>
          <w:sz w:val="18"/>
          <w:szCs w:val="18"/>
          <w:color w:val="auto"/>
        </w:rPr>
      </w:pPr>
    </w:p>
    <w:p>
      <w:pPr>
        <w:ind w:left="2084" w:hanging="652"/>
        <w:spacing w:after="0"/>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Significant improvements in sunlight tolerance and quality of life</w:t>
      </w:r>
    </w:p>
    <w:p>
      <w:pPr>
        <w:spacing w:after="0" w:line="130" w:lineRule="exact"/>
        <w:rPr>
          <w:rFonts w:ascii="Arial" w:cs="Arial" w:eastAsia="Arial" w:hAnsi="Arial"/>
          <w:sz w:val="18"/>
          <w:szCs w:val="18"/>
          <w:color w:val="auto"/>
        </w:rPr>
      </w:pPr>
    </w:p>
    <w:p>
      <w:pPr>
        <w:ind w:left="2084" w:hanging="652"/>
        <w:spacing w:after="0"/>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Bitopertin was well-tolerated, with no meaningful changes in hemoglobin</w:t>
      </w:r>
    </w:p>
    <w:p>
      <w:pPr>
        <w:spacing w:after="0" w:line="130" w:lineRule="exact"/>
        <w:rPr>
          <w:rFonts w:ascii="Arial" w:cs="Arial" w:eastAsia="Arial" w:hAnsi="Arial"/>
          <w:sz w:val="18"/>
          <w:szCs w:val="18"/>
          <w:color w:val="auto"/>
        </w:rPr>
      </w:pPr>
    </w:p>
    <w:p>
      <w:pPr>
        <w:ind w:left="984" w:right="580" w:hanging="544"/>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enrollment for AURORA, a Phase 2 randomized, placebo-controlled clinical study of bitopertin in adults with EPP. Disc expects to have data by year-end 2023, to be presented in early 2024.</w:t>
      </w:r>
    </w:p>
    <w:p>
      <w:pPr>
        <w:spacing w:after="0" w:line="75" w:lineRule="exact"/>
        <w:rPr>
          <w:rFonts w:ascii="Arial" w:cs="Arial" w:eastAsia="Arial" w:hAnsi="Arial"/>
          <w:sz w:val="18"/>
          <w:szCs w:val="18"/>
          <w:color w:val="auto"/>
        </w:rPr>
      </w:pPr>
    </w:p>
    <w:p>
      <w:pPr>
        <w:ind w:left="984" w:right="240" w:hanging="544"/>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and enrolled first patient in an NIH-sponsored Phase 1/2 study of bitopertin in patients with Diamond-Blackfan Anemia in July 2023</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226314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63140" cy="411480"/>
                    </a:xfrm>
                    <a:prstGeom prst="rect">
                      <a:avLst/>
                    </a:prstGeom>
                    <a:noFill/>
                  </pic:spPr>
                </pic:pic>
              </a:graphicData>
            </a:graphic>
          </wp:anchor>
        </w:drawing>
        <w:t>DISC-0974: Anti-Hemojuvelin Antibody (Hepcidin Suppression)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DISC-0974 is an investigational anti-hemojuvelin monoclonal antibody (mAb) and is designed to suppress hepcidin production and increase serum iron levels in patients suffering from anemia of inflammation.</w:t>
      </w:r>
    </w:p>
    <w:p>
      <w:pPr>
        <w:spacing w:after="0" w:line="76" w:lineRule="exact"/>
        <w:rPr>
          <w:sz w:val="20"/>
          <w:szCs w:val="20"/>
          <w:color w:val="auto"/>
        </w:rPr>
      </w:pPr>
    </w:p>
    <w:p>
      <w:pPr>
        <w:ind w:left="980" w:right="500" w:hanging="54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ongoing for a Phase 1b/2 clinical study of patients with anemia of chronic kidney disease who are not receiving dialysis (NDD-CKD); initial data expected by year-end 2023</w:t>
      </w:r>
    </w:p>
    <w:p>
      <w:pPr>
        <w:spacing w:after="0" w:line="75" w:lineRule="exact"/>
        <w:rPr>
          <w:rFonts w:ascii="Arial" w:cs="Arial" w:eastAsia="Arial" w:hAnsi="Arial"/>
          <w:sz w:val="18"/>
          <w:szCs w:val="18"/>
          <w:color w:val="auto"/>
        </w:rPr>
      </w:pPr>
    </w:p>
    <w:p>
      <w:pPr>
        <w:ind w:left="980" w:hanging="54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enrollment in a Phase 1b/2 clinical study in MF patients with severe anemia on stable background therapy; initial data expected by year-end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MWTX-003: Anti-TMPRSS6 Antibody (Hepcidin Induction)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MWTX-003 is an investigational, anti-TMPRSS6 (Transmembrane Serine Protease 6, also known as Matriptase-2) monoclonal antibody designed to increase hepcidin production and suppress serum iron.</w:t>
      </w:r>
    </w:p>
    <w:p>
      <w:pPr>
        <w:spacing w:after="0" w:line="76" w:lineRule="exact"/>
        <w:rPr>
          <w:sz w:val="20"/>
          <w:szCs w:val="20"/>
          <w:color w:val="auto"/>
        </w:rPr>
      </w:pPr>
    </w:p>
    <w:p>
      <w:pPr>
        <w:ind w:left="98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technology transfer and study preparation activities for MWTX-003. Disc plans to initiate a Phase 1 study in healthy volunteers during the second half of 2023.</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 plans to develop MWTX-003 initially as a treatment for polycythemia vera as well as other indications.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w:t>
      </w:r>
    </w:p>
    <w:p>
      <w:pPr>
        <w:spacing w:after="0" w:line="135"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an upsized public offering of common stock and pre-funded warrants in June 2023 for $157.8 million in gross proceeds.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2023 Financial Results:</w:t>
      </w:r>
    </w:p>
    <w:p>
      <w:pPr>
        <w:spacing w:after="0" w:line="131" w:lineRule="exact"/>
        <w:rPr>
          <w:sz w:val="20"/>
          <w:szCs w:val="20"/>
          <w:color w:val="auto"/>
        </w:rPr>
      </w:pPr>
    </w:p>
    <w:p>
      <w:pPr>
        <w:ind w:left="980" w:right="20" w:hanging="544"/>
        <w:spacing w:after="0" w:line="28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and cash equivalents were $377.6 million as of June 30, 2023, which are expected to fund our operational plans well</w:t>
      </w:r>
      <w:r>
        <w:rPr>
          <w:rFonts w:ascii="Arial" w:cs="Arial" w:eastAsia="Arial" w:hAnsi="Arial"/>
          <w:sz w:val="18"/>
          <w:szCs w:val="18"/>
          <w:b w:val="1"/>
          <w:bCs w:val="1"/>
          <w:color w:val="auto"/>
        </w:rPr>
        <w:t xml:space="preserve"> </w:t>
      </w:r>
      <w:r>
        <w:rPr>
          <w:rFonts w:ascii="Arial" w:cs="Arial" w:eastAsia="Arial" w:hAnsi="Arial"/>
          <w:sz w:val="18"/>
          <w:szCs w:val="18"/>
          <w:color w:val="auto"/>
        </w:rPr>
        <w:t>into 2026.</w:t>
      </w:r>
    </w:p>
    <w:p>
      <w:pPr>
        <w:spacing w:after="0" w:line="67"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Research and Development Expenses: </w:t>
      </w:r>
      <w:r>
        <w:rPr>
          <w:rFonts w:ascii="Arial" w:cs="Arial" w:eastAsia="Arial" w:hAnsi="Arial"/>
          <w:sz w:val="17"/>
          <w:szCs w:val="17"/>
          <w:color w:val="auto"/>
        </w:rPr>
        <w:t>R&amp;D expenses were $12.1 million for the quarter ended June 30, 2023, as compared to</w:t>
      </w:r>
    </w:p>
    <w:p>
      <w:pPr>
        <w:spacing w:after="0" w:line="38" w:lineRule="exact"/>
        <w:rPr>
          <w:rFonts w:ascii="Arial" w:cs="Arial" w:eastAsia="Arial" w:hAnsi="Arial"/>
          <w:sz w:val="17"/>
          <w:szCs w:val="17"/>
          <w:color w:val="auto"/>
        </w:rPr>
      </w:pPr>
    </w:p>
    <w:p>
      <w:pPr>
        <w:ind w:left="980" w:right="260"/>
        <w:spacing w:after="0" w:line="255" w:lineRule="auto"/>
        <w:rPr>
          <w:rFonts w:ascii="Arial" w:cs="Arial" w:eastAsia="Arial" w:hAnsi="Arial"/>
          <w:sz w:val="17"/>
          <w:szCs w:val="17"/>
          <w:color w:val="auto"/>
        </w:rPr>
      </w:pPr>
      <w:r>
        <w:rPr>
          <w:rFonts w:ascii="Arial" w:cs="Arial" w:eastAsia="Arial" w:hAnsi="Arial"/>
          <w:sz w:val="18"/>
          <w:szCs w:val="18"/>
          <w:color w:val="auto"/>
        </w:rPr>
        <w:t>$7.7 million for the quarter ended June 30, 2022. The increase in R&amp;D expenses were primarily driven by the progression of Disc’s portfolio, including bitopertin’s ongoing two Phase 2 clinical studies, increased headcount, and costs related to technology transfer and study preparations for MWTX-003.</w:t>
      </w:r>
    </w:p>
    <w:p>
      <w:pPr>
        <w:spacing w:after="0" w:line="91" w:lineRule="exact"/>
        <w:rPr>
          <w:rFonts w:ascii="Arial" w:cs="Arial" w:eastAsia="Arial" w:hAnsi="Arial"/>
          <w:sz w:val="17"/>
          <w:szCs w:val="17"/>
          <w:color w:val="auto"/>
        </w:rPr>
      </w:pPr>
    </w:p>
    <w:p>
      <w:pPr>
        <w:ind w:left="980" w:right="780" w:hanging="544"/>
        <w:spacing w:after="0" w:line="34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G&amp;A expenses were $5.2 million for the quarter ended June 30, 2023,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$4.3 million for the same period in 2022. The increase in G&amp;A expenses was primarily due to increased headcount.</w:t>
      </w:r>
    </w:p>
    <w:p>
      <w:pPr>
        <w:spacing w:after="0" w:line="21" w:lineRule="exact"/>
        <w:rPr>
          <w:rFonts w:ascii="Arial" w:cs="Arial" w:eastAsia="Arial" w:hAnsi="Arial"/>
          <w:sz w:val="16"/>
          <w:szCs w:val="16"/>
          <w:color w:val="auto"/>
        </w:rPr>
      </w:pPr>
    </w:p>
    <w:p>
      <w:pPr>
        <w:ind w:left="980" w:hanging="544"/>
        <w:spacing w:after="0" w:line="34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$15.9 million for the quarter ended June 30, 2023, as compared to $9.6 million for the second quarter of 2022.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was primarily due to higher operating costs in the current period to support the continued advancement of our pipeline.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ectPr>
          <w:pgSz w:w="11900" w:h="16838" w:orient="portrait"/>
          <w:cols w:equalWidth="0" w:num="1">
            <w:col w:w="10960"/>
          </w:cols>
          <w:pgMar w:left="440" w:top="128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226314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63140" cy="411480"/>
                    </a:xfrm>
                    <a:prstGeom prst="rect">
                      <a:avLst/>
                    </a:prstGeom>
                    <a:noFill/>
                  </pic:spPr>
                </pic:pic>
              </a:graphicData>
            </a:graphic>
          </wp:anchor>
        </w:drawing>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its Phase 1b/2 study of bitopertin in Diamond-Blackfan Anemia, its Phase 1b/2 clinical study of DISC-0974 in NDD-CKD patients with anemia, its anticipated Phase 1 study of MWTX-003 and potential development of MWTX-003 as a treatment for polycythemia vera and other indications, projected timelines for the initiation and completion of its clinical trials, anticipated timing of release of data, and other clinical activities; Disc’s business plans and objectives; and Disc’s beliefs about operating expenses and that it will have capital to fund Disc well into 2026.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2022, Quarterly Reports on Form 10-Q for the quarters ended March 31, 2023 and June 30,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ectPr>
          <w:pgSz w:w="11900" w:h="16838" w:orient="portrait"/>
          <w:cols w:equalWidth="0" w:num="1">
            <w:col w:w="10980"/>
          </w:cols>
          <w:pgMar w:left="440" w:top="1282"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226314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63140" cy="411480"/>
                    </a:xfrm>
                    <a:prstGeom prst="rect">
                      <a:avLst/>
                    </a:prstGeom>
                    <a:noFill/>
                  </pic:spPr>
                </pic:pic>
              </a:graphicData>
            </a:graphic>
          </wp:anchor>
        </w:drawing>
        <w:t>DISC MEDICINE,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8"/>
          </w:tcPr>
          <w:p>
            <w:pPr>
              <w:jc w:val="right"/>
              <w:ind w:right="341"/>
              <w:spacing w:after="0"/>
              <w:rPr>
                <w:sz w:val="20"/>
                <w:szCs w:val="20"/>
                <w:color w:val="auto"/>
              </w:rPr>
            </w:pPr>
            <w:r>
              <w:rPr>
                <w:rFonts w:ascii="Arial" w:cs="Arial" w:eastAsia="Arial" w:hAnsi="Arial"/>
                <w:sz w:val="14"/>
                <w:szCs w:val="14"/>
                <w:b w:val="1"/>
                <w:bCs w:val="1"/>
                <w:color w:val="auto"/>
                <w:w w:val="95"/>
              </w:rPr>
              <w:t>Three Months Ended June 30,</w:t>
            </w:r>
          </w:p>
        </w:tc>
        <w:tc>
          <w:tcPr>
            <w:tcW w:w="2000" w:type="dxa"/>
            <w:vAlign w:val="bottom"/>
            <w:gridSpan w:val="12"/>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7,714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32,280</w:t>
            </w:r>
          </w:p>
        </w:tc>
        <w:tc>
          <w:tcPr>
            <w:tcW w:w="120" w:type="dxa"/>
            <w:vAlign w:val="bottom"/>
          </w:tcPr>
          <w:p>
            <w:pPr>
              <w:spacing w:after="0"/>
              <w:rPr>
                <w:sz w:val="18"/>
                <w:szCs w:val="18"/>
                <w:color w:val="auto"/>
              </w:rPr>
            </w:pPr>
          </w:p>
        </w:tc>
        <w:tc>
          <w:tcPr>
            <w:tcW w:w="920" w:type="dxa"/>
            <w:vAlign w:val="bottom"/>
            <w:gridSpan w:val="5"/>
          </w:tcPr>
          <w:p>
            <w:pPr>
              <w:jc w:val="right"/>
              <w:ind w:right="1"/>
              <w:spacing w:after="0"/>
              <w:rPr>
                <w:sz w:val="20"/>
                <w:szCs w:val="20"/>
                <w:color w:val="auto"/>
              </w:rPr>
            </w:pPr>
            <w:r>
              <w:rPr>
                <w:rFonts w:ascii="Arial" w:cs="Arial" w:eastAsia="Arial" w:hAnsi="Arial"/>
                <w:sz w:val="18"/>
                <w:szCs w:val="18"/>
                <w:color w:val="auto"/>
              </w:rPr>
              <w:t>$ 15,535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17,328</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42,453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(42,453)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2,542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(38,728</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 (19,433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21,484,955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944,706</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7"/>
              </w:rPr>
              <w:t>20,226,923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934,286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jc w:val="center"/>
              <w:ind w:left="4330"/>
              <w:spacing w:after="0"/>
              <w:rPr>
                <w:sz w:val="20"/>
                <w:szCs w:val="20"/>
                <w:color w:val="auto"/>
              </w:rPr>
            </w:pPr>
            <w:r>
              <w:rPr>
                <w:rFonts w:ascii="Arial" w:cs="Arial" w:eastAsia="Arial" w:hAnsi="Arial"/>
                <w:sz w:val="18"/>
                <w:szCs w:val="18"/>
                <w:b w:val="1"/>
                <w:bCs w:val="1"/>
                <w:color w:val="auto"/>
              </w:rPr>
              <w:t>DISC MEDICINE, INC.</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6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6"/>
          </w:tcPr>
          <w:p>
            <w:pPr>
              <w:jc w:val="center"/>
              <w:ind w:left="30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jc w:val="center"/>
              <w:ind w:left="433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jc w:val="center"/>
              <w:ind w:left="43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$377,602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194,611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381,733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198,491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384,174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200,205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371,219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176,600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384,174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200,205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82"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226314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411480"/>
                    </a:xfrm>
                    <a:prstGeom prst="rect">
                      <a:avLst/>
                    </a:prstGeom>
                    <a:noFill/>
                  </pic:spPr>
                </pic:pic>
              </a:graphicData>
            </a:graphic>
          </wp:anchor>
        </w:drawing>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Verge Scientific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christina.tartaglia@sternir.com</w:t>
      </w:r>
    </w:p>
    <w:sectPr>
      <w:pgSz w:w="11900" w:h="16838" w:orient="portrait"/>
      <w:cols w:equalWidth="0" w:num="1">
        <w:col w:w="10019"/>
      </w:cols>
      <w:pgMar w:left="440" w:top="12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2023-08-11T07:13:54Z</dcterms:created>
  <dcterms:modified xsi:type="dcterms:W3CDTF">2023-08-11T07:13:54Z</dcterms:modified>
</cp:coreProperties>
</file>