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jc w:val="center"/>
        <w:ind w:left="500" w:right="264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 240.13d-1(b), (c) and (d) and Amendments Thereto Filed Pursuant to § 240.13d-2</w:t>
      </w:r>
    </w:p>
    <w:p>
      <w:pPr>
        <w:spacing w:after="0" w:line="177"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Disc Medicine,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$0.0001</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par value per share</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254604101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February 15, 2023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24" w:hanging="424"/>
        <w:spacing w:after="0" w:line="308"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82" w:right="519" w:bottom="1440" w:gutter="0" w:footer="0" w:header="0"/>
        </w:sectPr>
      </w:pPr>
    </w:p>
    <w:bookmarkStart w:id="1" w:name="page2"/>
    <w:bookmarkEnd w:id="1"/>
    <w:p>
      <w:pPr>
        <w:ind w:left="4"/>
        <w:spacing w:after="0"/>
        <w:tabs>
          <w:tab w:leader="none" w:pos="5564" w:val="left"/>
          <w:tab w:leader="none" w:pos="101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2 of 6</w:t>
      </w:r>
    </w:p>
    <w:p>
      <w:pPr>
        <w:spacing w:after="0" w:line="293" w:lineRule="exact"/>
        <w:rPr>
          <w:sz w:val="20"/>
          <w:szCs w:val="20"/>
          <w:color w:val="auto"/>
        </w:rPr>
      </w:pPr>
    </w:p>
    <w:p>
      <w:pPr>
        <w:ind w:left="624" w:hanging="377"/>
        <w:spacing w:after="0"/>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Bain Capital Life Sciences Opportunities III, LP</w:t>
      </w:r>
    </w:p>
    <w:p>
      <w:pPr>
        <w:spacing w:after="0" w:line="36" w:lineRule="exact"/>
        <w:rPr>
          <w:sz w:val="20"/>
          <w:szCs w:val="20"/>
          <w:color w:val="auto"/>
        </w:rPr>
      </w:pPr>
    </w:p>
    <w:p>
      <w:pPr>
        <w:ind w:left="624" w:hanging="377"/>
        <w:spacing w:after="0"/>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204"/>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88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360" w:type="dxa"/>
            <w:vAlign w:val="bottom"/>
            <w:tcBorders>
              <w:bottom w:val="single" w:sz="8" w:color="auto"/>
            </w:tcBorders>
          </w:tcPr>
          <w:p>
            <w:pPr>
              <w:spacing w:after="0"/>
              <w:rPr>
                <w:sz w:val="21"/>
                <w:szCs w:val="21"/>
                <w:color w:val="auto"/>
              </w:rPr>
            </w:pPr>
          </w:p>
        </w:tc>
        <w:tc>
          <w:tcPr>
            <w:tcW w:w="9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 of Common Stock</w:t>
            </w:r>
          </w:p>
        </w:tc>
        <w:tc>
          <w:tcPr>
            <w:tcW w:w="0" w:type="dxa"/>
            <w:vAlign w:val="bottom"/>
          </w:tcPr>
          <w:p>
            <w:pPr>
              <w:spacing w:after="0"/>
              <w:rPr>
                <w:sz w:val="1"/>
                <w:szCs w:val="1"/>
                <w:color w:val="auto"/>
              </w:rPr>
            </w:pPr>
          </w:p>
        </w:tc>
      </w:tr>
      <w:tr>
        <w:trPr>
          <w:trHeight w:val="236"/>
        </w:trPr>
        <w:tc>
          <w:tcPr>
            <w:tcW w:w="880" w:type="dxa"/>
            <w:vAlign w:val="bottom"/>
          </w:tcPr>
          <w:p>
            <w:pPr>
              <w:jc w:val="center"/>
              <w:spacing w:after="0"/>
              <w:rPr>
                <w:sz w:val="20"/>
                <w:szCs w:val="20"/>
                <w:color w:val="auto"/>
              </w:rPr>
            </w:pPr>
            <w:r>
              <w:rPr>
                <w:rFonts w:ascii="Arial" w:cs="Arial" w:eastAsia="Arial" w:hAnsi="Arial"/>
                <w:sz w:val="18"/>
                <w:szCs w:val="18"/>
                <w:color w:val="auto"/>
                <w:w w:val="81"/>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4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460" w:type="dxa"/>
            <w:vAlign w:val="bottom"/>
            <w:vMerge w:val="restart"/>
          </w:tcPr>
          <w:p>
            <w:pPr>
              <w:ind w:left="160"/>
              <w:spacing w:after="0"/>
              <w:rPr>
                <w:sz w:val="20"/>
                <w:szCs w:val="20"/>
                <w:color w:val="auto"/>
              </w:rPr>
            </w:pPr>
            <w:r>
              <w:rPr>
                <w:rFonts w:ascii="Arial" w:cs="Arial" w:eastAsia="Arial" w:hAnsi="Arial"/>
                <w:sz w:val="18"/>
                <w:szCs w:val="18"/>
                <w:color w:val="auto"/>
              </w:rPr>
              <w:t>1,990,914 shares of Common Stock (1)</w:t>
            </w: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36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80" w:type="dxa"/>
            <w:vAlign w:val="bottom"/>
          </w:tcPr>
          <w:p>
            <w:pPr>
              <w:jc w:val="center"/>
              <w:spacing w:after="0" w:line="182" w:lineRule="exact"/>
              <w:rPr>
                <w:sz w:val="20"/>
                <w:szCs w:val="20"/>
                <w:color w:val="auto"/>
              </w:rPr>
            </w:pPr>
            <w:r>
              <w:rPr>
                <w:rFonts w:ascii="Arial" w:cs="Arial" w:eastAsia="Arial" w:hAnsi="Arial"/>
                <w:sz w:val="18"/>
                <w:szCs w:val="18"/>
                <w:color w:val="auto"/>
                <w:w w:val="81"/>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46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460" w:type="dxa"/>
            <w:vAlign w:val="bottom"/>
          </w:tcPr>
          <w:p>
            <w:pPr>
              <w:ind w:left="160"/>
              <w:spacing w:after="0"/>
              <w:rPr>
                <w:sz w:val="20"/>
                <w:szCs w:val="20"/>
                <w:color w:val="auto"/>
              </w:rPr>
            </w:pPr>
            <w:r>
              <w:rPr>
                <w:rFonts w:ascii="Arial" w:cs="Arial" w:eastAsia="Arial" w:hAnsi="Arial"/>
                <w:sz w:val="18"/>
                <w:szCs w:val="18"/>
                <w:color w:val="auto"/>
              </w:rPr>
              <w:t>0 shares of Common Stock</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04"/>
        <w:spacing w:after="0"/>
        <w:rPr>
          <w:sz w:val="20"/>
          <w:szCs w:val="20"/>
          <w:color w:val="auto"/>
        </w:rPr>
      </w:pPr>
      <w:r>
        <w:rPr>
          <w:rFonts w:ascii="Arial" w:cs="Arial" w:eastAsia="Arial" w:hAnsi="Arial"/>
          <w:sz w:val="18"/>
          <w:szCs w:val="18"/>
          <w:color w:val="auto"/>
        </w:rPr>
        <w:t>1,990,914 shares of Common Stock (1)</w:t>
      </w:r>
    </w:p>
    <w:p>
      <w:pPr>
        <w:spacing w:after="0" w:line="36" w:lineRule="exact"/>
        <w:rPr>
          <w:sz w:val="20"/>
          <w:szCs w:val="20"/>
          <w:color w:val="auto"/>
        </w:rPr>
      </w:pPr>
    </w:p>
    <w:p>
      <w:pPr>
        <w:ind w:left="604" w:hanging="357"/>
        <w:spacing w:after="0"/>
        <w:tabs>
          <w:tab w:leader="none" w:pos="604"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1,990,914 shares of Common Stock (1)</w:t>
      </w:r>
    </w:p>
    <w:p>
      <w:pPr>
        <w:spacing w:after="0" w:line="36" w:lineRule="exact"/>
        <w:rPr>
          <w:sz w:val="20"/>
          <w:szCs w:val="20"/>
          <w:color w:val="auto"/>
        </w:rPr>
      </w:pPr>
    </w:p>
    <w:p>
      <w:pPr>
        <w:ind w:left="624" w:hanging="467"/>
        <w:spacing w:after="0"/>
        <w:tabs>
          <w:tab w:leader="none" w:pos="6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hanging="467"/>
        <w:spacing w:after="0"/>
        <w:tabs>
          <w:tab w:leader="none" w:pos="6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9.99% (1)</w:t>
      </w:r>
    </w:p>
    <w:p>
      <w:pPr>
        <w:spacing w:after="0" w:line="36" w:lineRule="exact"/>
        <w:rPr>
          <w:rFonts w:ascii="Arial" w:cs="Arial" w:eastAsia="Arial" w:hAnsi="Arial"/>
          <w:sz w:val="18"/>
          <w:szCs w:val="18"/>
          <w:color w:val="auto"/>
        </w:rPr>
      </w:pPr>
    </w:p>
    <w:p>
      <w:pPr>
        <w:ind w:left="604" w:hanging="447"/>
        <w:spacing w:after="0"/>
        <w:tabs>
          <w:tab w:leader="none" w:pos="60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200" w:hanging="424"/>
        <w:spacing w:after="0" w:line="259"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the date hereof, Bain Capital Life Sciences Opportunities III, LP holds 944,687 shares of Common Stock and pre-funded warrants to purchase 1,229,224 shares of Common Stock. As a result of the Beneficial Ownership Blocker (as defined herein), beneficial ownership of Bain Capital Life Sciences Opportunities III, LP is capped at 9.99% of the outstanding shares of Common Stock, representing 1,990,914 shares of Common Stock calculated as described herein as of the date hereof.</w:t>
      </w:r>
    </w:p>
    <w:p>
      <w:pPr>
        <w:spacing w:after="0" w:line="78" w:lineRule="exact"/>
        <w:rPr>
          <w:rFonts w:ascii="Arial" w:cs="Arial" w:eastAsia="Arial" w:hAnsi="Arial"/>
          <w:sz w:val="18"/>
          <w:szCs w:val="18"/>
          <w:color w:val="auto"/>
        </w:rPr>
      </w:pPr>
    </w:p>
    <w:p>
      <w:pPr>
        <w:ind w:left="444" w:right="20"/>
        <w:spacing w:after="0" w:line="259" w:lineRule="auto"/>
        <w:rPr>
          <w:rFonts w:ascii="Arial" w:cs="Arial" w:eastAsia="Arial" w:hAnsi="Arial"/>
          <w:sz w:val="18"/>
          <w:szCs w:val="18"/>
          <w:color w:val="auto"/>
        </w:rPr>
      </w:pPr>
      <w:r>
        <w:rPr>
          <w:rFonts w:ascii="Arial" w:cs="Arial" w:eastAsia="Arial" w:hAnsi="Arial"/>
          <w:sz w:val="18"/>
          <w:szCs w:val="18"/>
          <w:color w:val="auto"/>
        </w:rPr>
        <w:t>The calculation of beneficial ownership is based on (i) 18,882,850 shares of Common Stock issued and outstanding, as reported by the Issuer in its prospectus supplement filed with the Securities and Exchange Commission on February 14, 2023 and (ii) 1,046,227 shares of Common Stock to be issued upon the exercise of pre-funded warrants held by Bain Capital Life Sciences Opportunities III, LP, which reflects the Beneficial Ownership Blocker.</w:t>
      </w:r>
    </w:p>
    <w:p>
      <w:pPr>
        <w:sectPr>
          <w:pgSz w:w="11900" w:h="16838" w:orient="portrait"/>
          <w:cols w:equalWidth="0" w:num="1">
            <w:col w:w="11024"/>
          </w:cols>
          <w:pgMar w:left="436" w:top="274" w:right="439" w:bottom="1440" w:gutter="0" w:footer="0" w:header="0"/>
        </w:sectPr>
      </w:pPr>
    </w:p>
    <w:bookmarkStart w:id="2" w:name="page3"/>
    <w:bookmarkEnd w:id="2"/>
    <w:p>
      <w:pPr>
        <w:spacing w:after="0"/>
        <w:tabs>
          <w:tab w:leader="none" w:pos="556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254604101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3 of 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issuer to which this filing on Schedule 13G relates is Disc Medicine, Inc. (the “Issuer”).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executive offices of the Issuer are located at 321 Arsenal Street, Suite 101, Watertown, Massachusetts 02472.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This Schedule 13G is being filed by Bain Capital Life Sciences Opportunities III, LP, a Delaware limited partnership (the “Reporting Person”).</w:t>
      </w:r>
    </w:p>
    <w:p>
      <w:pPr>
        <w:spacing w:after="0" w:line="23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Bain Capital Life Sciences Investors, LLC, a Delaware limited liability company (“BCLSI”), is the manager of Bain Capital Life Sciences III General Partner, LLC, a Delaware limited liability company (“BCLS Fund III GP”), which is the general partner of Bain Capital Life Sciences Fund III, L.P., a Delaware limited partnership (“BCLS Fund III”), which is the sole member of Bain Capital Life Sciences Opportunities III GP, LLC, a Delaware limited liability company (“BCLS III Opportunities GP” and, together with the Reporting Person, BCLSI, BCLS Fund III GP and BCLS Fund III, the “Bain Capital Life Sciences Entities”), which is the general partner of the Reporting Person. As a result, BCLSI may be deemed to share voting and dispositive power with respect to the securities held by the Reporting Person.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business address for each of the Bain Capital Life Sciences Entities is 200 Clarendon Street, Boston, Massachusetts 02116.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Each of the Bain Capital Life Sciences Entities are organized under the laws of the State of Delaware.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class of securities of the Issuer to which this Schedule 13G relates is Common Stock, $0.0001 par value per share (“Common Stock”).</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CUSIP number of the Common Stock is 254604101.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102" w:lineRule="exact"/>
        <w:rPr>
          <w:sz w:val="20"/>
          <w:szCs w:val="20"/>
          <w:color w:val="auto"/>
        </w:rPr>
      </w:pPr>
    </w:p>
    <w:p>
      <w:pPr>
        <w:ind w:left="880" w:hanging="317"/>
        <w:spacing w:after="0" w:line="207" w:lineRule="exact"/>
        <w:tabs>
          <w:tab w:leader="none" w:pos="88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880" w:hanging="317"/>
        <w:spacing w:after="0" w:line="207" w:lineRule="exact"/>
        <w:tabs>
          <w:tab w:leader="none" w:pos="88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880" w:hanging="317"/>
        <w:spacing w:after="0" w:line="207" w:lineRule="exact"/>
        <w:tabs>
          <w:tab w:leader="none" w:pos="88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880" w:hanging="317"/>
        <w:spacing w:after="0" w:line="207" w:lineRule="exact"/>
        <w:tabs>
          <w:tab w:leader="none" w:pos="88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880" w:hanging="317"/>
        <w:spacing w:after="0" w:line="207" w:lineRule="exact"/>
        <w:tabs>
          <w:tab w:leader="none" w:pos="88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117" w:lineRule="exact"/>
        <w:rPr>
          <w:rFonts w:ascii="Arial" w:cs="Arial" w:eastAsia="Arial" w:hAnsi="Arial"/>
          <w:sz w:val="18"/>
          <w:szCs w:val="18"/>
          <w:color w:val="auto"/>
        </w:rPr>
      </w:pPr>
    </w:p>
    <w:p>
      <w:pPr>
        <w:ind w:left="880" w:hanging="317"/>
        <w:spacing w:after="0" w:line="207" w:lineRule="exact"/>
        <w:tabs>
          <w:tab w:leader="none" w:pos="88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ectPr>
          <w:pgSz w:w="11900" w:h="16838" w:orient="portrait"/>
          <w:cols w:equalWidth="0" w:num="1">
            <w:col w:w="11020"/>
          </w:cols>
          <w:pgMar w:left="440" w:top="274" w:right="439" w:bottom="1440" w:gutter="0" w:footer="0" w:header="0"/>
        </w:sectPr>
      </w:pPr>
    </w:p>
    <w:bookmarkStart w:id="3" w:name="page4"/>
    <w:bookmarkEnd w:id="3"/>
    <w:p>
      <w:pPr>
        <w:ind w:left="4"/>
        <w:spacing w:after="0"/>
        <w:tabs>
          <w:tab w:leader="none" w:pos="5564" w:val="left"/>
          <w:tab w:leader="none" w:pos="101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4 of 6</w:t>
      </w:r>
    </w:p>
    <w:p>
      <w:pPr>
        <w:spacing w:after="0" w:line="125" w:lineRule="exact"/>
        <w:rPr>
          <w:sz w:val="20"/>
          <w:szCs w:val="20"/>
          <w:color w:val="auto"/>
        </w:rPr>
      </w:pPr>
    </w:p>
    <w:p>
      <w:pPr>
        <w:ind w:left="964" w:hanging="532"/>
        <w:spacing w:after="0" w:line="207" w:lineRule="exact"/>
        <w:tabs>
          <w:tab w:leader="none" w:pos="964"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30" w:lineRule="exact"/>
        <w:rPr>
          <w:rFonts w:ascii="Arial" w:cs="Arial" w:eastAsia="Arial" w:hAnsi="Arial"/>
          <w:sz w:val="18"/>
          <w:szCs w:val="18"/>
          <w:color w:val="auto"/>
        </w:rPr>
      </w:pPr>
    </w:p>
    <w:p>
      <w:pPr>
        <w:ind w:left="964" w:right="20" w:hanging="532"/>
        <w:spacing w:after="0" w:line="239" w:lineRule="exact"/>
        <w:tabs>
          <w:tab w:leader="none" w:pos="964"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(15 U.S.C. 80a-3);</w:t>
      </w:r>
    </w:p>
    <w:p>
      <w:pPr>
        <w:spacing w:after="0" w:line="75"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w:t>
      </w:r>
    </w:p>
    <w:p>
      <w:pPr>
        <w:spacing w:after="0" w:line="258"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Ownership</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 Amount beneficially owned:</w:t>
      </w:r>
    </w:p>
    <w:p>
      <w:pPr>
        <w:spacing w:after="0" w:line="121"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As of the date hereof, the Reporting Person holds 944,687 shares of Common Stock and pre-funded warrants to purchase 1,229,224 shares of Common Stock.</w:t>
      </w:r>
    </w:p>
    <w:p>
      <w:pPr>
        <w:spacing w:after="0" w:line="170" w:lineRule="exact"/>
        <w:rPr>
          <w:sz w:val="20"/>
          <w:szCs w:val="20"/>
          <w:color w:val="auto"/>
        </w:rPr>
      </w:pPr>
    </w:p>
    <w:p>
      <w:pPr>
        <w:ind w:left="4" w:right="80"/>
        <w:spacing w:after="0" w:line="301" w:lineRule="auto"/>
        <w:rPr>
          <w:sz w:val="20"/>
          <w:szCs w:val="20"/>
          <w:color w:val="auto"/>
        </w:rPr>
      </w:pPr>
      <w:r>
        <w:rPr>
          <w:rFonts w:ascii="Arial" w:cs="Arial" w:eastAsia="Arial" w:hAnsi="Arial"/>
          <w:sz w:val="16"/>
          <w:szCs w:val="16"/>
          <w:color w:val="auto"/>
        </w:rPr>
        <w:t>The Reporting Person is prohibited from exercising its pre-funded warrants if, as a result of such exercise, the Reporting Person would beneficially own more than 9.99% of the total number of shares of Common Stock then issued and outstanding immediately after giving effect to the exercise (the “Beneficial Ownership Blocker”). Accordingly, pursuant to Rule 13d-3 of the Act and the relationships described herein, the Reporting Person may be deemed to beneficially own 9.99% of the outstanding shares of Common Stock, representing 1,990,914 shares of Common Stock as of the date hereof.</w:t>
      </w:r>
    </w:p>
    <w:p>
      <w:pPr>
        <w:spacing w:after="0" w:line="157" w:lineRule="exact"/>
        <w:rPr>
          <w:sz w:val="20"/>
          <w:szCs w:val="20"/>
          <w:color w:val="auto"/>
        </w:rPr>
      </w:pPr>
    </w:p>
    <w:p>
      <w:pPr>
        <w:jc w:val="both"/>
        <w:ind w:left="4" w:right="420"/>
        <w:spacing w:after="0" w:line="311" w:lineRule="auto"/>
        <w:rPr>
          <w:sz w:val="20"/>
          <w:szCs w:val="20"/>
          <w:color w:val="auto"/>
        </w:rPr>
      </w:pPr>
      <w:r>
        <w:rPr>
          <w:rFonts w:ascii="Arial" w:cs="Arial" w:eastAsia="Arial" w:hAnsi="Arial"/>
          <w:sz w:val="16"/>
          <w:szCs w:val="16"/>
          <w:color w:val="auto"/>
        </w:rPr>
        <w:t>The calculation of beneficial ownership is based on (i) 18,882,850 shares of Common Stock issued and outstanding, as reported by the Issuer in its prospectus supplement filed with the Securities and Exchange Commission on February 14, 2023 and (ii) 1,046,227 shares of Common Stock to be issued upon the exercise of pre-funded warrants held by the Reporting Person, which reflects the Beneficial Ownership Blocker.</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 Percent of class: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Item 4(a) hereof.</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 Number of shares as to which the person has: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Sole power to vote or to direct the vote: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0</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(ii) Shared power to vote or direct the vote: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Item 4(a) hereof</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(iii) Sole power to dispose or to direct the disposition of:</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0</w:t>
      </w:r>
    </w:p>
    <w:p>
      <w:pPr>
        <w:spacing w:after="0" w:line="117" w:lineRule="exact"/>
        <w:rPr>
          <w:sz w:val="20"/>
          <w:szCs w:val="20"/>
          <w:color w:val="auto"/>
        </w:rPr>
      </w:pPr>
    </w:p>
    <w:p>
      <w:pPr>
        <w:ind w:left="4" w:right="6780" w:hanging="4"/>
        <w:spacing w:after="0" w:line="527" w:lineRule="auto"/>
        <w:tabs>
          <w:tab w:leader="none" w:pos="309"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4(a) hereof</w:t>
      </w:r>
    </w:p>
    <w:p>
      <w:pPr>
        <w:sectPr>
          <w:pgSz w:w="11900" w:h="16838" w:orient="portrait"/>
          <w:cols w:equalWidth="0" w:num="1">
            <w:col w:w="11024"/>
          </w:cols>
          <w:pgMar w:left="436" w:top="274" w:right="439" w:bottom="1440" w:gutter="0" w:footer="0" w:header="0"/>
        </w:sectPr>
      </w:pPr>
    </w:p>
    <w:bookmarkStart w:id="4" w:name="page5"/>
    <w:bookmarkEnd w:id="4"/>
    <w:p>
      <w:pPr>
        <w:spacing w:after="0"/>
        <w:tabs>
          <w:tab w:leader="none" w:pos="556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5 of 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right="5300"/>
        <w:spacing w:after="0" w:line="407" w:lineRule="auto"/>
        <w:rPr>
          <w:sz w:val="20"/>
          <w:szCs w:val="20"/>
          <w:color w:val="auto"/>
        </w:rPr>
      </w:pPr>
      <w:r>
        <w:rPr>
          <w:rFonts w:ascii="Arial" w:cs="Arial" w:eastAsia="Arial" w:hAnsi="Arial"/>
          <w:sz w:val="18"/>
          <w:szCs w:val="18"/>
          <w:b w:val="1"/>
          <w:bCs w:val="1"/>
          <w:color w:val="auto"/>
        </w:rPr>
        <w:t xml:space="preserve">Item 6. Ownership of More than Five Percent on Behalf of Another Person </w:t>
      </w:r>
      <w:r>
        <w:rPr>
          <w:rFonts w:ascii="Arial" w:cs="Arial" w:eastAsia="Arial" w:hAnsi="Arial"/>
          <w:sz w:val="18"/>
          <w:szCs w:val="18"/>
          <w:color w:val="auto"/>
        </w:rPr>
        <w:t>Not applicable.</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12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20"/>
          </w:cols>
          <w:pgMar w:left="440" w:top="274" w:right="439" w:bottom="1440" w:gutter="0" w:footer="0" w:header="0"/>
        </w:sectPr>
      </w:pPr>
    </w:p>
    <w:bookmarkStart w:id="5" w:name="page6"/>
    <w:bookmarkEnd w:id="5"/>
    <w:p>
      <w:pPr>
        <w:spacing w:after="0"/>
        <w:tabs>
          <w:tab w:leader="none" w:pos="556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6 of 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in this statement is true, complete and correct.</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February 24, 2023</w:t>
      </w:r>
      <w:r>
        <w:rPr>
          <w:sz w:val="20"/>
          <w:szCs w:val="20"/>
          <w:color w:val="auto"/>
        </w:rPr>
        <w:tab/>
      </w:r>
      <w:r>
        <w:rPr>
          <w:rFonts w:ascii="Arial" w:cs="Arial" w:eastAsia="Arial" w:hAnsi="Arial"/>
          <w:sz w:val="16"/>
          <w:szCs w:val="16"/>
          <w:b w:val="1"/>
          <w:bCs w:val="1"/>
          <w:color w:val="auto"/>
        </w:rPr>
        <w:t>Bain Capital Life Sciences Opportunities III,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Life Sciences Opportunities III GP,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Life Sciences Fund III, L.P.,</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Life Sciences III General Partner,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Life Sciences Investors,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Ricky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Ricky Sun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Partner</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3"/>
      <w:numFmt w:val="bullet"/>
      <w:start w:val="1"/>
    </w:lvl>
  </w:abstractNum>
  <w:abstractNum w:abstractNumId="7">
    <w:nsid w:val="1F16E9E8"/>
    <w:multiLevelType w:val="hybridMultilevel"/>
    <w:lvl w:ilvl="0">
      <w:lvlJc w:val="left"/>
      <w:lvlText w:val="4"/>
      <w:numFmt w:val="bullet"/>
      <w:start w:val="1"/>
    </w:lvl>
  </w:abstractNum>
  <w:abstractNum w:abstractNumId="8">
    <w:nsid w:val="1190CDE7"/>
    <w:multiLevelType w:val="hybridMultilevel"/>
    <w:lvl w:ilvl="0">
      <w:lvlJc w:val="left"/>
      <w:lvlText w:val="9"/>
      <w:numFmt w:val="bullet"/>
      <w:start w:val="1"/>
    </w:lvl>
  </w:abstractNum>
  <w:abstractNum w:abstractNumId="9">
    <w:nsid w:val="66EF438D"/>
    <w:multiLevelType w:val="hybridMultilevel"/>
    <w:lvl w:ilvl="0">
      <w:lvlJc w:val="left"/>
      <w:lvlText w:val="%1"/>
      <w:numFmt w:val="decimal"/>
      <w:start w:val="1"/>
    </w:lvl>
    <w:lvl w:ilvl="1">
      <w:lvlJc w:val="left"/>
      <w:lvlText w:val="%2"/>
      <w:numFmt w:val="decimal"/>
      <w:start w:val="10"/>
    </w:lvl>
  </w:abstractNum>
  <w:abstractNum w:abstractNumId="10">
    <w:nsid w:val="140E0F76"/>
    <w:multiLevelType w:val="hybridMultilevel"/>
    <w:lvl w:ilvl="0">
      <w:lvlJc w:val="left"/>
      <w:lvlText w:val="(%1)"/>
      <w:numFmt w:val="decimal"/>
      <w:start w:val="1"/>
    </w:lvl>
    <w:lvl w:ilvl="1">
      <w:lvlJc w:val="left"/>
      <w:lvlText w:val="%2"/>
      <w:numFmt w:val="decimal"/>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7"/>
    </w:lvl>
  </w:abstractNum>
  <w:abstractNum w:abstractNumId="13">
    <w:nsid w:val="DED7263"/>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2023-02-24T23:30:12Z</dcterms:created>
  <dcterms:modified xsi:type="dcterms:W3CDTF">2023-02-24T23:30:12Z</dcterms:modified>
</cp:coreProperties>
</file>