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ORBIMED ADVISORS LLC</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02/05/2021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Gemini Therapeutics,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GMTX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297"/>
        <w:spacing w:after="0" w:line="275" w:lineRule="auto"/>
        <w:rPr>
          <w:sz w:val="20"/>
          <w:szCs w:val="20"/>
          <w:color w:val="auto"/>
        </w:rPr>
      </w:pPr>
      <w:r>
        <w:rPr>
          <w:rFonts w:ascii="Times New Roman" w:cs="Times New Roman" w:eastAsia="Times New Roman" w:hAnsi="Times New Roman"/>
          <w:sz w:val="20"/>
          <w:szCs w:val="20"/>
          <w:color w:val="0000FF"/>
        </w:rPr>
        <w:t>601 LEXINGTON AVENUE, 54TH FLOOR</w:t>
      </w:r>
    </w:p>
    <w:p>
      <w:pPr>
        <w:spacing w:after="0" w:line="32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10022</w:t>
            </w:r>
          </w:p>
        </w:tc>
        <w:tc>
          <w:tcPr>
            <w:tcW w:w="0" w:type="dxa"/>
            <w:vAlign w:val="bottom"/>
          </w:tcPr>
          <w:p>
            <w:pPr>
              <w:spacing w:after="0"/>
              <w:rPr>
                <w:sz w:val="1"/>
                <w:szCs w:val="1"/>
                <w:color w:val="auto"/>
              </w:rPr>
            </w:pPr>
          </w:p>
        </w:tc>
      </w:tr>
      <w:tr>
        <w:trPr>
          <w:trHeight w:val="134"/>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8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4"/>
          <w:szCs w:val="24"/>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4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4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right"/>
              <w:ind w:right="460"/>
              <w:spacing w:after="0"/>
              <w:rPr>
                <w:sz w:val="20"/>
                <w:szCs w:val="20"/>
                <w:color w:val="auto"/>
              </w:rPr>
            </w:pPr>
            <w:r>
              <w:rPr>
                <w:rFonts w:ascii="Times New Roman" w:cs="Times New Roman" w:eastAsia="Times New Roman" w:hAnsi="Times New Roman"/>
                <w:sz w:val="20"/>
                <w:szCs w:val="20"/>
                <w:color w:val="0000FF"/>
              </w:rPr>
              <w:t>5,316,224</w:t>
            </w:r>
          </w:p>
        </w:tc>
        <w:tc>
          <w:tcPr>
            <w:tcW w:w="1360" w:type="dxa"/>
            <w:vAlign w:val="bottom"/>
            <w:tcBorders>
              <w:bottom w:val="single" w:sz="8" w:color="2C2C2C"/>
            </w:tcBorders>
            <w:gridSpan w:val="2"/>
          </w:tcPr>
          <w:p>
            <w:pPr>
              <w:ind w:left="48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(1)(2)</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right"/>
              <w:ind w:right="540"/>
              <w:spacing w:after="0"/>
              <w:rPr>
                <w:sz w:val="20"/>
                <w:szCs w:val="20"/>
                <w:color w:val="auto"/>
              </w:rPr>
            </w:pPr>
            <w:r>
              <w:rPr>
                <w:rFonts w:ascii="Times New Roman" w:cs="Times New Roman" w:eastAsia="Times New Roman" w:hAnsi="Times New Roman"/>
                <w:sz w:val="20"/>
                <w:szCs w:val="20"/>
                <w:color w:val="0000FF"/>
              </w:rPr>
              <w:t>510,000</w:t>
            </w:r>
          </w:p>
        </w:tc>
        <w:tc>
          <w:tcPr>
            <w:tcW w:w="1360" w:type="dxa"/>
            <w:vAlign w:val="bottom"/>
            <w:tcBorders>
              <w:bottom w:val="single" w:sz="8" w:color="2C2C2C"/>
            </w:tcBorders>
            <w:gridSpan w:val="2"/>
          </w:tcPr>
          <w:p>
            <w:pPr>
              <w:ind w:left="48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(1)(2)</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30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2680" w:type="dxa"/>
            <w:vAlign w:val="bottom"/>
            <w:gridSpan w:val="4"/>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59"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80" w:type="dxa"/>
            <w:vAlign w:val="bottom"/>
            <w:gridSpan w:val="4"/>
            <w:vMerge w:val="continue"/>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ORBIMED ADVISORS LLC</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601 LEXINGTON AVENUE, 54TH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10022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OrbiMed Capital GP VI LLC</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600 LEXINGTON AVENUE, 54TH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10022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-5090160</wp:posOffset>
            </wp:positionV>
            <wp:extent cx="6946900" cy="5165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946900" cy="5165090"/>
                    </a:xfrm>
                    <a:prstGeom prst="rect">
                      <a:avLst/>
                    </a:prstGeom>
                    <a:noFill/>
                  </pic:spPr>
                </pic:pic>
              </a:graphicData>
            </a:graphic>
          </wp:anchor>
        </w:drawing>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ectPr>
          <w:pgSz w:w="11900" w:h="16838" w:orient="portrait"/>
          <w:cols w:equalWidth="0" w:num="1">
            <w:col w:w="10940"/>
          </w:cols>
          <w:pgMar w:left="480" w:top="230" w:right="479" w:bottom="0" w:gutter="0" w:footer="0" w:header="0"/>
          <w:type w:val="continuous"/>
        </w:sectPr>
      </w:pPr>
    </w:p>
    <w:bookmarkStart w:id="1" w:name="page2"/>
    <w:bookmarkEnd w:id="1"/>
    <w:p>
      <w:pPr>
        <w:ind w:right="60" w:firstLine="5"/>
        <w:spacing w:after="0" w:line="236"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5,316,224 shares issued as Merger Consideration to OrbiMed Private Investments VI, LP pursuant to the Merger Agreement and 510,000 shares issued in the private placement of public securities ("PIPE") investment. OrbiMed Capital GP VI LLC, or GP VI, is the general partner of OrbiMed Private Investments VI, LP, or OPI VI. OrbiMed Advisors LLC, or OrbiMed Advisors, is the managing member of GP VI. By virtue of such relationships, OrbiMed Advisors and GP VI may be deemed to have voting and investment power with respect to the shares held by OPI VI and as a result may be deemed to have beneficial ownership of these shares. OrbiMed Advisors exercises investment and voting power through a management committee comprised of Carl Gordon, Sven H. Borho, and Jonathan T. Silverstein, each of whom disclaims beneficial ownership of the shares held by OPI VI.</w:t>
      </w:r>
    </w:p>
    <w:p>
      <w:pPr>
        <w:spacing w:after="0" w:line="32" w:lineRule="exact"/>
        <w:rPr>
          <w:rFonts w:ascii="Times New Roman" w:cs="Times New Roman" w:eastAsia="Times New Roman" w:hAnsi="Times New Roman"/>
          <w:sz w:val="15"/>
          <w:szCs w:val="15"/>
          <w:color w:val="008000"/>
        </w:rPr>
      </w:pPr>
    </w:p>
    <w:p>
      <w:pPr>
        <w:ind w:right="2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report on Form 3 is jointly filed by OrbiMed Advisors and GP VI.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Carl Gordon, a member of OrbiMed Advisors, to serve on the Issuer's board of directors. This report shall not be deemed an admission that any such entity or person is a beneficial owner of such securities for purpose of Section 16 of the Exchange Act, or for any other purpose.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Douglas Coon, Chief</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76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Compliance Officer of</w:t>
            </w:r>
          </w:p>
        </w:tc>
        <w:tc>
          <w:tcPr>
            <w:tcW w:w="420" w:type="dxa"/>
            <w:vAlign w:val="bottom"/>
            <w:gridSpan w:val="2"/>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02/09/2021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8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OrbiMed Advisors LLC</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0" Type="http://schemas.openxmlformats.org/officeDocument/2006/relationships/hyperlink" Target="http://www.sec.gov/cgi-bin/browse-edgar?action=getcompany&amp;CIK=0001055951" TargetMode="External"/><Relationship Id="rId11" Type="http://schemas.openxmlformats.org/officeDocument/2006/relationships/hyperlink" Target="http://www.sec.gov/cgi-bin/browse-edgar?action=getcompany&amp;CIK=0001816736" TargetMode="External"/><Relationship Id="rId13" Type="http://schemas.openxmlformats.org/officeDocument/2006/relationships/hyperlink" Target="http://www.sec.gov/cgi-bin/browse-edgar?action=getcompany&amp;CIK=0001682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2021-02-10T16:50:26Z</dcterms:created>
  <dcterms:modified xsi:type="dcterms:W3CDTF">2021-02-10T16:50:26Z</dcterms:modified>
</cp:coreProperties>
</file>