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52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George Jean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526"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GEMINI THERAPEUTICS, INC.</w:t>
      </w:r>
    </w:p>
    <w:p>
      <w:pPr>
        <w:spacing w:after="0" w:line="25" w:lineRule="exact"/>
        <w:rPr>
          <w:sz w:val="24"/>
          <w:szCs w:val="24"/>
          <w:color w:val="auto"/>
        </w:rPr>
      </w:pPr>
    </w:p>
    <w:p>
      <w:pPr>
        <w:ind w:left="140" w:right="1137"/>
        <w:spacing w:after="0" w:line="269" w:lineRule="auto"/>
        <w:rPr>
          <w:sz w:val="20"/>
          <w:szCs w:val="20"/>
          <w:color w:val="auto"/>
        </w:rPr>
      </w:pPr>
      <w:r>
        <w:rPr>
          <w:rFonts w:ascii="Arial" w:cs="Arial" w:eastAsia="Arial" w:hAnsi="Arial"/>
          <w:sz w:val="20"/>
          <w:szCs w:val="20"/>
          <w:color w:val="0000FF"/>
        </w:rPr>
        <w:t>300 ONE KENDALL SQUARE, 3RD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2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6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526"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515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5151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center"/>
              <w:ind w:left="1374"/>
              <w:spacing w:after="0"/>
              <w:rPr>
                <w:sz w:val="20"/>
                <w:szCs w:val="20"/>
                <w:color w:val="auto"/>
              </w:rPr>
            </w:pPr>
            <w:r>
              <w:rPr>
                <w:rFonts w:ascii="Arial" w:cs="Arial" w:eastAsia="Arial" w:hAnsi="Arial"/>
                <w:sz w:val="20"/>
                <w:szCs w:val="20"/>
                <w:color w:val="0000FF"/>
                <w:w w:val="87"/>
              </w:rPr>
              <w:t>2,796,868</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Arial" w:cs="Arial" w:eastAsia="Arial" w:hAnsi="Arial"/>
                <w:sz w:val="20"/>
                <w:szCs w:val="20"/>
                <w:color w:val="0000FF"/>
                <w:w w:val="88"/>
              </w:rPr>
              <w:t>381,040</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center"/>
              <w:ind w:left="1374"/>
              <w:spacing w:after="0"/>
              <w:rPr>
                <w:sz w:val="20"/>
                <w:szCs w:val="20"/>
                <w:color w:val="auto"/>
              </w:rPr>
            </w:pPr>
            <w:r>
              <w:rPr>
                <w:rFonts w:ascii="Arial" w:cs="Arial" w:eastAsia="Arial" w:hAnsi="Arial"/>
                <w:sz w:val="20"/>
                <w:szCs w:val="20"/>
                <w:color w:val="0000FF"/>
                <w:w w:val="87"/>
              </w:rPr>
              <w:t>1,658,198</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1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by Lightstone Ventures, L.P. ("LV LP"). LSV Associates, LLC ("LSV Associates") is the general partner of LV LP. As an individual managing director of LSV Associates, the reporting person shares voting and dispositive power with respect to the shares held of record by LV LP. The reporting person disclaims beneficial ownership of such shares except to the extent of her pecuniary interest therein.</w:t>
      </w:r>
    </w:p>
    <w:p>
      <w:pPr>
        <w:spacing w:after="0" w:line="35" w:lineRule="exact"/>
        <w:rPr>
          <w:rFonts w:ascii="Arial" w:cs="Arial" w:eastAsia="Arial" w:hAnsi="Arial"/>
          <w:sz w:val="15"/>
          <w:szCs w:val="15"/>
          <w:color w:val="008000"/>
        </w:rPr>
      </w:pPr>
    </w:p>
    <w:p>
      <w:pPr>
        <w:ind w:left="40" w:right="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by Lightstone Ventures (A), L.P. ("LV(A) LP"). LSV Associates is the general partner of LV(A) LP. As an individual managing director of LSV Associates, the reporting person shares voting and dispositive power with respect to the shares held of record by LV(A) LP. The reporting person disclaims beneficial ownership of such shares except to the extent of her pecuniary interest therein.</w:t>
      </w:r>
    </w:p>
    <w:p>
      <w:pPr>
        <w:spacing w:after="0" w:line="35" w:lineRule="exact"/>
        <w:rPr>
          <w:rFonts w:ascii="Arial" w:cs="Arial" w:eastAsia="Arial" w:hAnsi="Arial"/>
          <w:sz w:val="15"/>
          <w:szCs w:val="15"/>
          <w:color w:val="008000"/>
        </w:rPr>
      </w:pPr>
    </w:p>
    <w:p>
      <w:pPr>
        <w:ind w:left="40" w:right="22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are held by Lightstone Singapore, L.P. ("LV Singapore"), Lightstone Singapore Associates, LLC ("Lightstone Singapore Associates") is the general partner of LV Singapore. As an individual managing director of Lightstone Singapore Associates, the reporting person shares voting and dispositive power with respect to the shares held of record by LV Singapore. The reporting person disclaims beneficial ownership of such shares except to the extent of her pecuniary interest therein.</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02/09/2021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526"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9" w:lineRule="exact"/>
        <w:rPr>
          <w:sz w:val="20"/>
          <w:szCs w:val="20"/>
          <w:color w:val="auto"/>
        </w:rPr>
      </w:pPr>
    </w:p>
    <w:p>
      <w:pPr>
        <w:ind w:left="1440" w:right="220" w:hanging="720"/>
        <w:spacing w:after="0" w:line="256"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Gemini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Arial" w:cs="Arial" w:eastAsia="Arial" w:hAnsi="Arial"/>
          <w:sz w:val="20"/>
          <w:szCs w:val="20"/>
          <w:color w:val="auto"/>
        </w:rPr>
      </w:pPr>
    </w:p>
    <w:p>
      <w:pPr>
        <w:ind w:left="1440" w:right="40" w:hanging="720"/>
        <w:spacing w:after="0" w:line="306"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1440" w:right="2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ind w:right="60" w:firstLine="720"/>
        <w:spacing w:after="0" w:line="28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January,</w:t>
      </w:r>
    </w:p>
    <w:p>
      <w:pPr>
        <w:spacing w:after="0"/>
        <w:rPr>
          <w:sz w:val="20"/>
          <w:szCs w:val="20"/>
          <w:color w:val="auto"/>
        </w:rPr>
      </w:pPr>
      <w:r>
        <w:rPr>
          <w:rFonts w:ascii="Arial" w:cs="Arial" w:eastAsia="Arial" w:hAnsi="Arial"/>
          <w:sz w:val="20"/>
          <w:szCs w:val="20"/>
          <w:color w:val="auto"/>
        </w:rPr>
        <w:t>2021.</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Jean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825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Jean George</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91804"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2021-02-16T16:55:18Z</dcterms:created>
  <dcterms:modified xsi:type="dcterms:W3CDTF">2021-02-16T16:55:18Z</dcterms:modified>
</cp:coreProperties>
</file>