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59"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620" w:type="dxa"/>
            <w:vAlign w:val="bottom"/>
            <w:gridSpan w:val="2"/>
            <w:vMerge w:val="restart"/>
          </w:tcPr>
          <w:p>
            <w:pPr>
              <w:spacing w:after="0" w:line="256" w:lineRule="exact"/>
              <w:rPr>
                <w:rFonts w:ascii="Arial" w:cs="Arial" w:eastAsia="Arial" w:hAnsi="Arial"/>
                <w:sz w:val="24"/>
                <w:szCs w:val="24"/>
                <w:color w:val="0000EE"/>
                <w:w w:val="91"/>
              </w:rPr>
            </w:pPr>
            <w:hyperlink r:id="rId10">
              <w:r>
                <w:rPr>
                  <w:rFonts w:ascii="Arial" w:cs="Arial" w:eastAsia="Arial" w:hAnsi="Arial"/>
                  <w:sz w:val="24"/>
                  <w:szCs w:val="24"/>
                  <w:color w:val="0000EE"/>
                  <w:w w:val="91"/>
                </w:rPr>
                <w:t>FS Development Holdings,</w:t>
              </w:r>
            </w:hyperlink>
          </w:p>
        </w:tc>
        <w:tc>
          <w:tcPr>
            <w:tcW w:w="16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620" w:type="dxa"/>
            <w:vAlign w:val="bottom"/>
            <w:tcBorders>
              <w:bottom w:val="single" w:sz="8" w:color="0000EE"/>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3"/>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55" w:lineRule="exact"/>
        <w:rPr>
          <w:sz w:val="20"/>
          <w:szCs w:val="20"/>
          <w:color w:val="auto"/>
        </w:rPr>
      </w:pPr>
    </w:p>
    <w:p>
      <w:pPr>
        <w:sectPr>
          <w:pgSz w:w="11900" w:h="16859" w:orient="portrait"/>
          <w:cols w:equalWidth="0" w:num="2">
            <w:col w:w="4720" w:space="280"/>
            <w:col w:w="5940"/>
          </w:cols>
          <w:pgMar w:left="480" w:top="236" w:right="479" w:bottom="0" w:gutter="0" w:footer="0" w:header="0"/>
          <w:type w:val="continuous"/>
        </w:sectPr>
      </w:pPr>
    </w:p>
    <w:p>
      <w:pPr>
        <w:spacing w:after="0" w:line="28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0"/>
          <w:szCs w:val="20"/>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00FF"/>
        </w:rPr>
        <w:t>08/11/2020</w:t>
      </w:r>
    </w:p>
    <w:p>
      <w:pPr>
        <w:spacing w:after="0" w:line="200" w:lineRule="exact"/>
        <w:rPr>
          <w:sz w:val="20"/>
          <w:szCs w:val="20"/>
          <w:color w:val="auto"/>
        </w:rPr>
      </w:pPr>
    </w:p>
    <w:p>
      <w:pPr>
        <w:spacing w:after="0" w:line="328" w:lineRule="exact"/>
        <w:rPr>
          <w:sz w:val="20"/>
          <w:szCs w:val="20"/>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40" w:lineRule="exact"/>
        <w:rPr>
          <w:sz w:val="20"/>
          <w:szCs w:val="20"/>
          <w:color w:val="auto"/>
        </w:rPr>
      </w:pPr>
    </w:p>
    <w:p>
      <w:pPr>
        <w:sectPr>
          <w:pgSz w:w="11900" w:h="16859" w:orient="portrait"/>
          <w:cols w:equalWidth="0" w:num="3">
            <w:col w:w="4277" w:space="720"/>
            <w:col w:w="3003" w:space="260"/>
            <w:col w:w="2680"/>
          </w:cols>
          <w:pgMar w:left="480" w:top="236" w:right="479" w:bottom="0" w:gutter="0" w:footer="0" w:header="0"/>
          <w:type w:val="continuous"/>
        </w:sectPr>
      </w:pPr>
    </w:p>
    <w:p>
      <w:pPr>
        <w:spacing w:after="0" w:line="14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74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20" w:type="dxa"/>
            <w:vAlign w:val="bottom"/>
            <w:vMerge w:val="continue"/>
          </w:tcPr>
          <w:p>
            <w:pPr>
              <w:spacing w:after="0"/>
              <w:rPr>
                <w:sz w:val="17"/>
                <w:szCs w:val="17"/>
                <w:color w:val="auto"/>
              </w:rPr>
            </w:pPr>
          </w:p>
        </w:tc>
        <w:tc>
          <w:tcPr>
            <w:tcW w:w="174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820" w:type="dxa"/>
            <w:vAlign w:val="bottom"/>
            <w:gridSpan w:val="3"/>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140" w:type="dxa"/>
            <w:vAlign w:val="bottom"/>
            <w:vMerge w:val="restart"/>
          </w:tcPr>
          <w:p>
            <w:pPr>
              <w:jc w:val="right"/>
              <w:ind w:right="462"/>
              <w:spacing w:after="0"/>
              <w:rPr>
                <w:sz w:val="20"/>
                <w:szCs w:val="20"/>
                <w:color w:val="auto"/>
              </w:rPr>
            </w:pPr>
            <w:r>
              <w:rPr>
                <w:rFonts w:ascii="Arial" w:cs="Arial" w:eastAsia="Arial" w:hAnsi="Arial"/>
                <w:sz w:val="13"/>
                <w:szCs w:val="13"/>
                <w:color w:val="008000"/>
              </w:rPr>
              <w:t>(1)</w:t>
            </w: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008000"/>
              </w:rPr>
              <w:t>(1)</w:t>
            </w:r>
          </w:p>
        </w:tc>
        <w:tc>
          <w:tcPr>
            <w:tcW w:w="1800" w:type="dxa"/>
            <w:vAlign w:val="bottom"/>
          </w:tcPr>
          <w:p>
            <w:pPr>
              <w:jc w:val="center"/>
              <w:ind w:left="42"/>
              <w:spacing w:after="0"/>
              <w:rPr>
                <w:sz w:val="20"/>
                <w:szCs w:val="20"/>
                <w:color w:val="auto"/>
              </w:rPr>
            </w:pPr>
            <w:r>
              <w:rPr>
                <w:rFonts w:ascii="Arial" w:cs="Arial" w:eastAsia="Arial" w:hAnsi="Arial"/>
                <w:sz w:val="20"/>
                <w:szCs w:val="20"/>
                <w:color w:val="0000FF"/>
                <w:w w:val="88"/>
              </w:rPr>
              <w:t>Class A Common</w:t>
            </w:r>
          </w:p>
        </w:tc>
        <w:tc>
          <w:tcPr>
            <w:tcW w:w="1320" w:type="dxa"/>
            <w:vAlign w:val="bottom"/>
            <w:vMerge w:val="restart"/>
          </w:tcPr>
          <w:p>
            <w:pPr>
              <w:jc w:val="right"/>
              <w:ind w:right="162"/>
              <w:spacing w:after="0"/>
              <w:rPr>
                <w:sz w:val="20"/>
                <w:szCs w:val="20"/>
                <w:color w:val="auto"/>
              </w:rPr>
            </w:pPr>
            <w:r>
              <w:rPr>
                <w:rFonts w:ascii="Arial" w:cs="Arial" w:eastAsia="Arial" w:hAnsi="Arial"/>
                <w:sz w:val="20"/>
                <w:szCs w:val="20"/>
                <w:color w:val="0000FF"/>
                <w:w w:val="95"/>
              </w:rPr>
              <w:t>3,018,750</w:t>
            </w:r>
            <w:r>
              <w:rPr>
                <w:rFonts w:ascii="Arial" w:cs="Arial" w:eastAsia="Arial" w:hAnsi="Arial"/>
                <w:sz w:val="25"/>
                <w:szCs w:val="25"/>
                <w:color w:val="008000"/>
                <w:w w:val="95"/>
                <w:vertAlign w:val="superscript"/>
              </w:rPr>
              <w:t>(2)</w:t>
            </w:r>
          </w:p>
        </w:tc>
        <w:tc>
          <w:tcPr>
            <w:tcW w:w="740" w:type="dxa"/>
            <w:vAlign w:val="bottom"/>
            <w:vMerge w:val="restart"/>
          </w:tcPr>
          <w:p>
            <w:pPr>
              <w:jc w:val="right"/>
              <w:ind w:right="282"/>
              <w:spacing w:after="0"/>
              <w:rPr>
                <w:sz w:val="20"/>
                <w:szCs w:val="20"/>
                <w:color w:val="auto"/>
              </w:rPr>
            </w:pPr>
            <w:r>
              <w:rPr>
                <w:rFonts w:ascii="Arial" w:cs="Arial" w:eastAsia="Arial" w:hAnsi="Arial"/>
                <w:sz w:val="20"/>
                <w:szCs w:val="20"/>
                <w:color w:val="0000FF"/>
              </w:rPr>
              <w:t>0</w:t>
            </w:r>
          </w:p>
        </w:tc>
        <w:tc>
          <w:tcPr>
            <w:tcW w:w="2420" w:type="dxa"/>
            <w:vAlign w:val="bottom"/>
            <w:vMerge w:val="restart"/>
          </w:tcPr>
          <w:p>
            <w:pPr>
              <w:ind w:left="38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800" w:type="dxa"/>
            <w:vAlign w:val="bottom"/>
            <w:vMerge w:val="restart"/>
          </w:tcPr>
          <w:p>
            <w:pPr>
              <w:jc w:val="center"/>
              <w:ind w:left="22"/>
              <w:spacing w:after="0"/>
              <w:rPr>
                <w:sz w:val="20"/>
                <w:szCs w:val="20"/>
                <w:color w:val="auto"/>
              </w:rPr>
            </w:pPr>
            <w:r>
              <w:rPr>
                <w:rFonts w:ascii="Arial" w:cs="Arial" w:eastAsia="Arial" w:hAnsi="Arial"/>
                <w:sz w:val="20"/>
                <w:szCs w:val="20"/>
                <w:color w:val="0000FF"/>
                <w:w w:val="87"/>
              </w:rPr>
              <w:t>Stock</w:t>
            </w:r>
          </w:p>
        </w:tc>
        <w:tc>
          <w:tcPr>
            <w:tcW w:w="13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6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60" w:type="dxa"/>
            <w:vAlign w:val="bottom"/>
            <w:tcBorders>
              <w:top w:val="single" w:sz="8" w:color="2C2C2C"/>
            </w:tcBorders>
            <w:gridSpan w:val="4"/>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3"/>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FS Development Holdings, LLC</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140"/>
              <w:spacing w:after="0"/>
              <w:rPr>
                <w:sz w:val="20"/>
                <w:szCs w:val="20"/>
                <w:color w:val="auto"/>
              </w:rPr>
            </w:pPr>
            <w:r>
              <w:rPr>
                <w:rFonts w:ascii="Arial" w:cs="Arial" w:eastAsia="Arial" w:hAnsi="Arial"/>
                <w:sz w:val="15"/>
                <w:szCs w:val="15"/>
                <w:color w:val="auto"/>
              </w:rPr>
              <w:t>(First)</w:t>
            </w:r>
          </w:p>
        </w:tc>
        <w:tc>
          <w:tcPr>
            <w:tcW w:w="1140" w:type="dxa"/>
            <w:vAlign w:val="bottom"/>
          </w:tcPr>
          <w:p>
            <w:pPr>
              <w:ind w:left="6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w w:val="93"/>
              </w:rPr>
              <w:t>C/O FS DEVELOPMENT CORP</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3"/>
          </w:tcPr>
          <w:p>
            <w:pPr>
              <w:ind w:left="20"/>
              <w:spacing w:after="0"/>
              <w:rPr>
                <w:sz w:val="20"/>
                <w:szCs w:val="20"/>
                <w:color w:val="auto"/>
              </w:rPr>
            </w:pPr>
            <w:r>
              <w:rPr>
                <w:rFonts w:ascii="Arial" w:cs="Arial" w:eastAsia="Arial" w:hAnsi="Arial"/>
                <w:sz w:val="20"/>
                <w:szCs w:val="20"/>
                <w:color w:val="0000FF"/>
                <w:w w:val="97"/>
              </w:rPr>
              <w:t>600 MONTGOMERY STREET, SUITE 4500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SAN</w:t>
            </w:r>
          </w:p>
        </w:tc>
        <w:tc>
          <w:tcPr>
            <w:tcW w:w="1460" w:type="dxa"/>
            <w:vAlign w:val="bottom"/>
            <w:vMerge w:val="restart"/>
          </w:tcPr>
          <w:p>
            <w:pPr>
              <w:ind w:left="140"/>
              <w:spacing w:after="0"/>
              <w:rPr>
                <w:sz w:val="20"/>
                <w:szCs w:val="20"/>
                <w:color w:val="auto"/>
              </w:rPr>
            </w:pPr>
            <w:r>
              <w:rPr>
                <w:rFonts w:ascii="Arial" w:cs="Arial" w:eastAsia="Arial" w:hAnsi="Arial"/>
                <w:sz w:val="20"/>
                <w:szCs w:val="20"/>
                <w:color w:val="0000FF"/>
              </w:rPr>
              <w:t>CA</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0000FF"/>
              </w:rPr>
              <w:t>94111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ind w:left="20"/>
              <w:spacing w:after="0"/>
              <w:rPr>
                <w:sz w:val="20"/>
                <w:szCs w:val="20"/>
                <w:color w:val="auto"/>
              </w:rPr>
            </w:pPr>
            <w:r>
              <w:rPr>
                <w:rFonts w:ascii="Arial" w:cs="Arial" w:eastAsia="Arial" w:hAnsi="Arial"/>
                <w:sz w:val="20"/>
                <w:szCs w:val="20"/>
                <w:color w:val="0000FF"/>
              </w:rPr>
              <w:t>FRANCISCO</w:t>
            </w:r>
          </w:p>
        </w:tc>
        <w:tc>
          <w:tcPr>
            <w:tcW w:w="14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-1760855</wp:posOffset>
            </wp:positionV>
            <wp:extent cx="2773045" cy="395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3954780"/>
                    </a:xfrm>
                    <a:prstGeom prst="rect">
                      <a:avLst/>
                    </a:prstGeom>
                    <a:noFill/>
                  </pic:spPr>
                </pic:pic>
              </a:graphicData>
            </a:graphic>
          </wp:anchor>
        </w:drawing>
      </w:r>
    </w:p>
    <w:p>
      <w:pPr>
        <w:spacing w:after="0" w:line="34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1781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53995" cy="1781810"/>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Foresite Capital Fund V,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600 MONTGOMERY STREET,</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4500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59" w:orient="portrait"/>
          <w:cols w:equalWidth="0" w:num="1">
            <w:col w:w="10940"/>
          </w:cols>
          <w:pgMar w:left="480" w:top="236" w:right="479" w:bottom="0" w:gutter="0" w:footer="0" w:header="0"/>
          <w:type w:val="continuous"/>
        </w:sectPr>
      </w:pPr>
    </w:p>
    <w:p>
      <w:pPr>
        <w:ind w:left="140"/>
        <w:spacing w:after="0" w:line="229"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5"/>
          <w:szCs w:val="15"/>
          <w:color w:val="0000FF"/>
        </w:rPr>
        <w:t>94111</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FRANCISCO</w:t>
      </w:r>
    </w:p>
    <w:p>
      <w:pPr>
        <w:sectPr>
          <w:pgSz w:w="11900" w:h="16859"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477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73045" cy="247777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Foresite Capital Management V, LLC</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600 MONTGOMERY STREET,</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4500</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29" w:lineRule="auto"/>
        <w:tabs>
          <w:tab w:leader="none" w:pos="1460" w:val="left"/>
          <w:tab w:leader="none" w:pos="284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5"/>
          <w:szCs w:val="15"/>
          <w:color w:val="0000FF"/>
        </w:rPr>
        <w:t>94111</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35" w:lineRule="exact"/>
        <w:rPr>
          <w:rFonts w:ascii="Arial" w:cs="Arial" w:eastAsia="Arial" w:hAnsi="Arial"/>
          <w:sz w:val="15"/>
          <w:szCs w:val="15"/>
          <w:color w:val="008000"/>
        </w:rPr>
      </w:pPr>
    </w:p>
    <w:p>
      <w:pPr>
        <w:ind w:right="8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shares of Class B common stock owned by the Reporting Person includes up to 393,750 shares that are subject to forfeiture in the event the underwriters of the initial public offering of the issuer's securities do not exercise in full their over-allotment option as described in the issuer's registration statement.</w:t>
      </w:r>
    </w:p>
    <w:p>
      <w:pPr>
        <w:spacing w:after="0" w:line="26" w:lineRule="exact"/>
        <w:rPr>
          <w:rFonts w:ascii="Arial" w:cs="Arial" w:eastAsia="Arial" w:hAnsi="Arial"/>
          <w:sz w:val="15"/>
          <w:szCs w:val="15"/>
          <w:color w:val="008000"/>
        </w:rPr>
      </w:pPr>
    </w:p>
    <w:p>
      <w:pPr>
        <w:ind w:right="160" w:firstLine="5"/>
        <w:spacing w:after="0" w:line="260"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FS Development Holdings, LLC is the record holder of the shares reported herein. Foresite Capital Management V, LLC ("FCM V"), as the general partner of Foresite Capital Fund V, L.P., the sole member of FS Development Holdings, LLC, has voting and investment discretion with respect to the common stock held of record by FS Development Holdings, LLC. Dr. Tananbaum, in his capacity as managing member of FCM V, may be deemed to have sole voting and investment discretion over these shares. Each of FCM V, its members and Dr. Tananbaum disclaim beneficial ownership of these shares except to the extent of any pecuniary interest therein.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008000"/>
        </w:rPr>
        <w:t>This Amended Form 3 is being filed to add Foresite Capital Management V, LLC and Foresite Capital Fund V, L.P., which were inadvertently omitted from the original Form 3, as reporting persons.</w:t>
      </w:r>
    </w:p>
    <w:p>
      <w:pPr>
        <w:sectPr>
          <w:pgSz w:w="11900" w:h="16838" w:orient="portrait"/>
          <w:cols w:equalWidth="0" w:num="1">
            <w:col w:w="10860"/>
          </w:cols>
          <w:pgMar w:left="520" w:top="334" w:right="519" w:bottom="144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Dennis Ryan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14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 FS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499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499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Dennis Ryan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143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 Foresite Capital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30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4302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Dennis Ryan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143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 Foresite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71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4711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0000FF"/>
        </w:rPr>
        <w:t>08/19/2020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08/19/2020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08/19/2020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40" w:space="80"/>
            <w:col w:w="2140"/>
          </w:cols>
          <w:pgMar w:left="520" w:top="334"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20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33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0" Type="http://schemas.openxmlformats.org/officeDocument/2006/relationships/hyperlink" Target="http://www.sec.gov/cgi-bin/browse-edgar?action=getcompany&amp;CIK=0001820810" TargetMode="External"/><Relationship Id="rId11" Type="http://schemas.openxmlformats.org/officeDocument/2006/relationships/hyperlink" Target="http://www.sec.gov/cgi-bin/browse-edgar?action=getcompany&amp;CIK=0001816736" TargetMode="External"/><Relationship Id="rId18" Type="http://schemas.openxmlformats.org/officeDocument/2006/relationships/hyperlink" Target="http://www.sec.gov/cgi-bin/browse-edgar?action=getcompany&amp;CIK=0001792204" TargetMode="External"/><Relationship Id="rId20" Type="http://schemas.openxmlformats.org/officeDocument/2006/relationships/hyperlink" Target="http://www.sec.gov/cgi-bin/browse-edgar?action=getcompany&amp;CIK=0001792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2020-08-19T20:16:15Z</dcterms:created>
  <dcterms:modified xsi:type="dcterms:W3CDTF">2020-08-19T20:16:15Z</dcterms:modified>
</cp:coreProperties>
</file>