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GEMAYEL GEORGES</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Gemini Therapeutics, Inc. /DE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GMTX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04/29/2021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GEMINI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300 ONE KENDALL SQUARE, 3RD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6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6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11.92</w:t>
            </w: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04/29/2021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45,466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04/28/2031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45,466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45,466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660" w:firstLine="2"/>
        <w:spacing w:after="0" w:line="269"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shall vest and become exercisable over a period of three years from the Vesting Start Date, April 29, 2021, with 25% vesting on the one year anniversary of the Vesting Start Date, and the remainder vesting in eight quarterly installments thereafter, provided that as of each such date the Grantee remains in a business relationship with the Company.</w:t>
      </w:r>
    </w:p>
    <w:p>
      <w:pPr>
        <w:ind w:left="6600"/>
        <w:spacing w:after="0"/>
        <w:tabs>
          <w:tab w:leader="none" w:pos="8780" w:val="left"/>
        </w:tabs>
        <w:rPr>
          <w:sz w:val="20"/>
          <w:szCs w:val="20"/>
          <w:color w:val="auto"/>
        </w:rPr>
      </w:pPr>
      <w:r>
        <w:rPr>
          <w:rFonts w:ascii="Arial" w:cs="Arial" w:eastAsia="Arial" w:hAnsi="Arial"/>
          <w:sz w:val="17"/>
          <w:szCs w:val="17"/>
          <w:color w:val="0000FF"/>
        </w:rPr>
        <w:t>/s/ Jason Meyenburg, attorney-</w:t>
      </w:r>
      <w:r>
        <w:rPr>
          <w:sz w:val="20"/>
          <w:szCs w:val="20"/>
          <w:color w:val="auto"/>
        </w:rPr>
        <w:tab/>
      </w:r>
      <w:r>
        <w:rPr>
          <w:rFonts w:ascii="Arial" w:cs="Arial" w:eastAsia="Arial" w:hAnsi="Arial"/>
          <w:sz w:val="22"/>
          <w:szCs w:val="22"/>
          <w:color w:val="0000FF"/>
          <w:vertAlign w:val="subscript"/>
        </w:rPr>
        <w:t>05/03/2021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6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6088"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2021-05-03T15:05:01Z</dcterms:created>
  <dcterms:modified xsi:type="dcterms:W3CDTF">2021-05-03T15:05:01Z</dcterms:modified>
</cp:coreProperties>
</file>