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under the Exchange Act (17 CFR 240.13e-4©)</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20, 2023, the Company delivered written notice to Leerink Partners LLC (f/k/a SVB Securities LLC) (“Leerink”) that it was terminating the Sales Agreement dated January 25, 2023 (the “Sales Agreement”), by and between the Company and Leerink, in accordance with its terms, which termination became effective on September 28, 2023.</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previously disclosed on June 12, 2023 (the “Suspension Date”), the Company previously suspended the offering of any shares of its common stock pursuant to the prospectus supplement related to the Sales Agreement. Following the Suspension Date, the Company did not make any further sales of its common stock pursuant to the Sales Agreement. The Company is not subject to any termination penalties related to the termination of the Sales Agreement. A copy of the Sales Agreement was filed as Exhibit 1.1 to the Company’s Current Report on Form 8-K filed with the SEC on January 25, 2023.</w:t>
      </w:r>
    </w:p>
    <w:p>
      <w:pPr>
        <w:sectPr>
          <w:pgSz w:w="11900" w:h="16838" w:orient="portrait"/>
          <w:cols w:equalWidth="0" w:num="1">
            <w:col w:w="10900"/>
          </w:cols>
          <w:pgMar w:left="440" w:top="297" w:right="5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September 29,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2023-09-29T15:28:16Z</dcterms:created>
  <dcterms:modified xsi:type="dcterms:W3CDTF">2023-09-29T15:28:16Z</dcterms:modified>
</cp:coreProperties>
</file>