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9"/>
                <w:szCs w:val="9"/>
                <w:color w:val="auto"/>
              </w:rPr>
            </w:pPr>
          </w:p>
        </w:tc>
        <w:tc>
          <w:tcPr>
            <w:tcW w:w="286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9"/>
                <w:szCs w:val="9"/>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4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42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03/19/2025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4"/>
            <w:vMerge w:val="continue"/>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4"/>
          </w:tcPr>
          <w:p>
            <w:pPr>
              <w:jc w:val="right"/>
              <w:ind w:righ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6"/>
          </w:tcPr>
          <w:p>
            <w:pPr>
              <w:ind w:left="1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8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8"/>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18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jc w:val="center"/>
              <w:ind w:right="46"/>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03/19/2025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13,517</w:t>
            </w:r>
          </w:p>
        </w:tc>
        <w:tc>
          <w:tcPr>
            <w:tcW w:w="60" w:type="dxa"/>
            <w:vAlign w:val="bottom"/>
          </w:tcPr>
          <w:p>
            <w:pPr>
              <w:spacing w:after="0"/>
              <w:rPr>
                <w:sz w:val="21"/>
                <w:szCs w:val="21"/>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54.02</w:t>
            </w:r>
          </w:p>
        </w:tc>
        <w:tc>
          <w:tcPr>
            <w:tcW w:w="15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488,617</w:t>
            </w:r>
          </w:p>
        </w:tc>
        <w:tc>
          <w:tcPr>
            <w:tcW w:w="4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03/19/2025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20,911</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54.02</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755,933</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03/19/2025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5,228</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54.02</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188,981</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03/20/2025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941</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487,676</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03/20/2025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1,457</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754,476</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03/20/2025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364</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54.01</w:t>
            </w: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188,617</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03/21/2025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3,412</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440" w:type="dxa"/>
            <w:vAlign w:val="bottom"/>
            <w:tcBorders>
              <w:top w:val="single" w:sz="8" w:color="2C2C2C"/>
            </w:tcBorders>
            <w:vMerge w:val="restart"/>
          </w:tcPr>
          <w:p>
            <w:pPr>
              <w:jc w:val="center"/>
              <w:ind w:left="8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484,264</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03/21/2025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5,279</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440" w:type="dxa"/>
            <w:vAlign w:val="bottom"/>
            <w:tcBorders>
              <w:top w:val="single" w:sz="8" w:color="2C2C2C"/>
            </w:tcBorders>
            <w:vMerge w:val="restart"/>
          </w:tcPr>
          <w:p>
            <w:pPr>
              <w:jc w:val="center"/>
              <w:ind w:left="8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749,197</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03/21/2025</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1,320</w:t>
            </w: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jc w:val="center"/>
              <w:ind w:right="66"/>
              <w:spacing w:after="0"/>
              <w:rPr>
                <w:sz w:val="20"/>
                <w:szCs w:val="20"/>
                <w:color w:val="auto"/>
              </w:rPr>
            </w:pPr>
            <w:r>
              <w:rPr>
                <w:rFonts w:ascii="Times New Roman" w:cs="Times New Roman" w:eastAsia="Times New Roman" w:hAnsi="Times New Roman"/>
                <w:sz w:val="17"/>
                <w:szCs w:val="17"/>
                <w:color w:val="0000FF"/>
                <w:w w:val="97"/>
              </w:rPr>
              <w:t>D</w:t>
            </w:r>
          </w:p>
        </w:tc>
        <w:tc>
          <w:tcPr>
            <w:tcW w:w="440" w:type="dxa"/>
            <w:vAlign w:val="bottom"/>
            <w:tcBorders>
              <w:top w:val="single" w:sz="8" w:color="2C2C2C"/>
            </w:tcBorders>
            <w:vMerge w:val="restart"/>
          </w:tcPr>
          <w:p>
            <w:pPr>
              <w:jc w:val="center"/>
              <w:ind w:left="8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w:t>
            </w: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187,297</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80" w:type="dxa"/>
            <w:vAlign w:val="bottom"/>
            <w:gridSpan w:val="23"/>
          </w:tcPr>
          <w:p>
            <w:pPr>
              <w:jc w:val="right"/>
              <w:ind w:righ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60" w:type="dxa"/>
            <w:vAlign w:val="bottom"/>
            <w:gridSpan w:val="2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1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ORBIMED ADVISORS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60" w:type="dxa"/>
            <w:vAlign w:val="bottom"/>
          </w:tcPr>
          <w:p>
            <w:pPr>
              <w:spacing w:after="0"/>
              <w:rPr>
                <w:sz w:val="24"/>
                <w:szCs w:val="24"/>
                <w:color w:val="auto"/>
              </w:rPr>
            </w:pP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LEXINGTON AVENUE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54TH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037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603758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OrbiMed Capital GP VI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OrbiMed Capital GP VIII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10022-4629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5"/>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OrbiMed Genesis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601 LEXINGTON AVENUE, 54TH FLOOR</w:t>
            </w: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4"/>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 LP ("OPI VI"). OrbiMed Capital GP VI LLC ("GP VI") is the general partner of OPI VI, and OrbiMed Advisors LLC ("OrbiMed Advisors") is the managing member of GP VI. By virtue of such relationships, GP VI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jc w:val="both"/>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OrbiMed Genesis GP LLC ("Genesis GP") is the general partner of Genesis, and OrbiMed Advisors is the managing member of Genesis GP. By virtue of such relationships, Genesis GP and OrbiMed Advisors may be deemed to have voting power and investment power over the securities held by Genesis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Genesis.</w:t>
      </w:r>
    </w:p>
    <w:p>
      <w:pPr>
        <w:spacing w:after="0" w:line="24" w:lineRule="exact"/>
        <w:rPr>
          <w:rFonts w:ascii="Times New Roman" w:cs="Times New Roman" w:eastAsia="Times New Roman" w:hAnsi="Times New Roman"/>
          <w:sz w:val="13"/>
          <w:szCs w:val="13"/>
          <w:color w:val="008000"/>
        </w:rPr>
      </w:pPr>
    </w:p>
    <w:p>
      <w:pPr>
        <w:ind w:left="20" w:right="8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GP VI, and Genesis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Mona Ashiya, an employee of OrbiMed Advisors, to serve on the Issuer's board of directors. This report shall not be deemed an admission that any such entity or person is a beneficial owner of such securities for purposes of Section 16 of the Exchange Act, or for any other purpose.</w:t>
      </w:r>
    </w:p>
    <w:p>
      <w:pPr>
        <w:sectPr>
          <w:pgSz w:w="11900" w:h="16838" w:orient="portrait"/>
          <w:cols w:equalWidth="0" w:num="1">
            <w:col w:w="10820"/>
          </w:cols>
          <w:pgMar w:left="480" w:top="125" w:right="59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Capital GP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OrbiMed Advisors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2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0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2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060"/>
          </w:cols>
          <w:pgMar w:left="480" w:top="125" w:right="599" w:bottom="0" w:gutter="0" w:footer="0" w:header="0"/>
          <w:type w:val="continuous"/>
        </w:sectPr>
      </w:pPr>
    </w:p>
    <w:p>
      <w:pPr>
        <w:jc w:val="right"/>
        <w:ind w:right="178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0820"/>
          </w:cols>
          <w:pgMar w:left="480" w:top="125" w:right="5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13" Type="http://schemas.openxmlformats.org/officeDocument/2006/relationships/hyperlink" Target="http://www.sec.gov/cgi-bin/browse-edgar?action=getcompany&amp;CIK=0001055951" TargetMode="External"/><Relationship Id="rId14" Type="http://schemas.openxmlformats.org/officeDocument/2006/relationships/hyperlink" Target="http://www.sec.gov/cgi-bin/browse-edgar?action=getcompany&amp;CIK=0001816736" TargetMode="External"/><Relationship Id="rId17" Type="http://schemas.openxmlformats.org/officeDocument/2006/relationships/hyperlink" Target="http://www.sec.gov/cgi-bin/browse-edgar?action=getcompany&amp;CIK=0001682115" TargetMode="External"/><Relationship Id="rId18" Type="http://schemas.openxmlformats.org/officeDocument/2006/relationships/hyperlink" Target="http://www.sec.gov/cgi-bin/browse-edgar?action=getcompany&amp;CIK=0001845804" TargetMode="External"/><Relationship Id="rId19"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2025-03-21T19:10:30Z</dcterms:created>
  <dcterms:modified xsi:type="dcterms:W3CDTF">2025-03-21T19:10:30Z</dcterms:modified>
</cp:coreProperties>
</file>