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Date of Report (Date of earliest event reported): May 13,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26"/>
        </w:trPr>
        <w:tc>
          <w:tcPr>
            <w:tcW w:w="3620" w:type="dxa"/>
            <w:vAlign w:val="bottom"/>
          </w:tcPr>
          <w:p>
            <w:pPr>
              <w:jc w:val="center"/>
              <w:ind w:right="59"/>
              <w:spacing w:after="0"/>
              <w:rPr>
                <w:sz w:val="20"/>
                <w:szCs w:val="20"/>
                <w:color w:val="auto"/>
              </w:rPr>
            </w:pPr>
            <w:r>
              <w:rPr>
                <w:rFonts w:ascii="Arial" w:cs="Arial" w:eastAsia="Arial" w:hAnsi="Arial"/>
                <w:sz w:val="18"/>
                <w:szCs w:val="18"/>
                <w:b w:val="1"/>
                <w:bCs w:val="1"/>
                <w:color w:val="auto"/>
                <w:w w:val="92"/>
              </w:rPr>
              <w:t>300 One Kendall Square, 3</w:t>
            </w:r>
            <w:r>
              <w:rPr>
                <w:rFonts w:ascii="Arial" w:cs="Arial" w:eastAsia="Arial" w:hAnsi="Arial"/>
                <w:sz w:val="15"/>
                <w:szCs w:val="15"/>
                <w:b w:val="1"/>
                <w:bCs w:val="1"/>
                <w:color w:val="auto"/>
                <w:w w:val="92"/>
              </w:rPr>
              <w:t>rd</w:t>
            </w:r>
            <w:r>
              <w:rPr>
                <w:rFonts w:ascii="Arial" w:cs="Arial" w:eastAsia="Arial" w:hAnsi="Arial"/>
                <w:sz w:val="18"/>
                <w:szCs w:val="18"/>
                <w:b w:val="1"/>
                <w:bCs w:val="1"/>
                <w:color w:val="auto"/>
                <w:w w:val="92"/>
              </w:rPr>
              <w:t xml:space="preserve">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4" w:hanging="532"/>
        <w:spacing w:after="0"/>
        <w:tabs>
          <w:tab w:leader="none" w:pos="96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210" w:lineRule="exact"/>
        <w:rPr>
          <w:sz w:val="24"/>
          <w:szCs w:val="24"/>
          <w:color w:val="auto"/>
        </w:rPr>
      </w:pPr>
    </w:p>
    <w:p>
      <w:pPr>
        <w:ind w:left="424" w:right="180" w:hanging="424"/>
        <w:spacing w:after="0" w:line="277" w:lineRule="auto"/>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6" w:lineRule="exact"/>
        <w:rPr>
          <w:sz w:val="24"/>
          <w:szCs w:val="24"/>
          <w:color w:val="auto"/>
        </w:rPr>
      </w:pPr>
    </w:p>
    <w:p>
      <w:pPr>
        <w:ind w:left="424" w:right="180" w:hanging="424"/>
        <w:spacing w:after="0" w:line="277" w:lineRule="auto"/>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13, 2021, Gemini Therapeutics, Inc. (the “Company”) announced its financial results for the quarter ended March 31, 2021. The full text of the press release issued in connection with the announcement is attached as Exhibit 99.1 to this Current Report on Form 8-K.</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information in this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by Gemini Therapeutics, Inc., dated May 13, 2021</w:t>
        </w:r>
      </w:hyperlink>
    </w:p>
    <w:p>
      <w:pPr>
        <w:sectPr>
          <w:pgSz w:w="11900" w:h="16838" w:orient="portrait"/>
          <w:cols w:equalWidth="0" w:num="1">
            <w:col w:w="10920"/>
          </w:cols>
          <w:pgMar w:left="440" w:top="270" w:right="5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May 13, 2021</w:t>
      </w:r>
    </w:p>
    <w:p>
      <w:pPr>
        <w:sectPr>
          <w:pgSz w:w="11900" w:h="16838" w:orient="portrait"/>
          <w:cols w:equalWidth="0" w:num="1">
            <w:col w:w="10700"/>
          </w:cols>
          <w:pgMar w:left="440" w:top="270"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2834640</wp:posOffset>
            </wp:positionH>
            <wp:positionV relativeFrom="paragraph">
              <wp:posOffset>171450</wp:posOffset>
            </wp:positionV>
            <wp:extent cx="1320165" cy="908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016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Gemini Therapeutics Reports First Quarter 2021 Financial Results and Provides Business Update</w:t>
      </w:r>
    </w:p>
    <w:p>
      <w:pPr>
        <w:spacing w:after="0" w:line="256" w:lineRule="exact"/>
        <w:rPr>
          <w:sz w:val="20"/>
          <w:szCs w:val="20"/>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Fast Track Designation for GEM103 in dry AMD granted January 2021</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GEM103 Phase 2a study in geographic atrophy data on track for June 2021</w:t>
      </w:r>
    </w:p>
    <w:p>
      <w:pPr>
        <w:spacing w:after="0" w:line="130" w:lineRule="exact"/>
        <w:rPr>
          <w:rFonts w:ascii="Arial" w:cs="Arial" w:eastAsia="Arial" w:hAnsi="Arial"/>
          <w:sz w:val="18"/>
          <w:szCs w:val="18"/>
          <w:color w:val="auto"/>
        </w:rPr>
      </w:pPr>
    </w:p>
    <w:p>
      <w:pPr>
        <w:ind w:left="960" w:right="600" w:hanging="424"/>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GEM103 Phase 2a as a possible add-on therapy for patients with wet AMD at risk for macular atrophy completed enrollment, with six-month data to be shared by year-end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GEM103 preclinical data presentation demonstrating potential for differentiated safety profile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Corporate leadership strengthened with key appointments to Board and leadership team</w:t>
      </w:r>
    </w:p>
    <w:p>
      <w:pPr>
        <w:spacing w:after="0" w:line="221"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CAMBRIDGE, Mass. – May 13, 2021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genetically-defined age-related macular degeneration (AMD), today reported its financial results for the first quarter ended March 31, 2021 and provided a business update.</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first quarter, we continued to make significant progress in the clinical development of GEM103 and look forward to releasing initial data from the ongoing Phase 2a ReGAtta study later this quarter,” said Jason Meyenburg, Chief Executive Officer of Gemini Therapeutics, Inc. “With Gemini’s transition to a public company complete, we have the financial resources and leadership team in place to rapidly advance GEM103 into its first pivotal trial and continuing to advance our pipeline. Today’s announcement that we completed enrollment in the Phase 2a study of GEM103 in wet AMD demonstrates our commitment to fully explore and harness the use of CFH’s role as primary endogenous complement regulator, which may represent a best-in-class approach in complement therapeutics.”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and Clinical Highlights</w:t>
      </w:r>
    </w:p>
    <w:p>
      <w:pPr>
        <w:spacing w:after="0" w:line="131" w:lineRule="exact"/>
        <w:rPr>
          <w:sz w:val="20"/>
          <w:szCs w:val="20"/>
          <w:color w:val="auto"/>
        </w:rPr>
      </w:pPr>
    </w:p>
    <w:p>
      <w:pPr>
        <w:ind w:left="960" w:right="120" w:hanging="424"/>
        <w:spacing w:after="0" w:line="26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Received Fast Track Designation from the U.S. Food and Drug Administration (FDA) for GEM103 for the treatment of dry AMD in patients with complement factor H </w:t>
      </w:r>
      <w:r>
        <w:rPr>
          <w:rFonts w:ascii="Arial" w:cs="Arial" w:eastAsia="Arial" w:hAnsi="Arial"/>
          <w:sz w:val="18"/>
          <w:szCs w:val="18"/>
          <w:color w:val="auto"/>
        </w:rPr>
        <w:t>(</w:t>
      </w:r>
      <w:r>
        <w:rPr>
          <w:rFonts w:ascii="Arial" w:cs="Arial" w:eastAsia="Arial" w:hAnsi="Arial"/>
          <w:sz w:val="18"/>
          <w:szCs w:val="18"/>
          <w:b w:val="1"/>
          <w:bCs w:val="1"/>
          <w:color w:val="auto"/>
        </w:rPr>
        <w:t xml:space="preserve">CFH) loss of function gene variants. </w:t>
      </w:r>
      <w:r>
        <w:rPr>
          <w:rFonts w:ascii="Arial" w:cs="Arial" w:eastAsia="Arial" w:hAnsi="Arial"/>
          <w:sz w:val="18"/>
          <w:szCs w:val="18"/>
          <w:color w:val="auto"/>
        </w:rPr>
        <w:t>In January 2021, the Company announced that GEM103</w:t>
      </w:r>
      <w:r>
        <w:rPr>
          <w:rFonts w:ascii="Arial" w:cs="Arial" w:eastAsia="Arial" w:hAnsi="Arial"/>
          <w:sz w:val="18"/>
          <w:szCs w:val="18"/>
          <w:b w:val="1"/>
          <w:bCs w:val="1"/>
          <w:color w:val="auto"/>
        </w:rPr>
        <w:t xml:space="preserve"> </w:t>
      </w:r>
      <w:r>
        <w:rPr>
          <w:rFonts w:ascii="Arial" w:cs="Arial" w:eastAsia="Arial" w:hAnsi="Arial"/>
          <w:sz w:val="18"/>
          <w:szCs w:val="18"/>
          <w:color w:val="auto"/>
        </w:rPr>
        <w:t>had been granted Fast Track Designation by the FDA, a designation intended to facilitate development and expedite review of investigational therapies to address unmet medical needs.</w:t>
      </w:r>
    </w:p>
    <w:p>
      <w:pPr>
        <w:spacing w:after="0" w:line="85" w:lineRule="exact"/>
        <w:rPr>
          <w:rFonts w:ascii="Arial" w:cs="Arial" w:eastAsia="Arial" w:hAnsi="Arial"/>
          <w:sz w:val="18"/>
          <w:szCs w:val="18"/>
          <w:color w:val="auto"/>
        </w:rPr>
      </w:pPr>
    </w:p>
    <w:p>
      <w:pPr>
        <w:ind w:left="960" w:right="100" w:hanging="424"/>
        <w:spacing w:after="0" w:line="274"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Completed enrollment in Phase 2a trial of GEM103 in dry AMD in patients with high-risk genetic variants. </w:t>
      </w:r>
      <w:r>
        <w:rPr>
          <w:rFonts w:ascii="Arial" w:cs="Arial" w:eastAsia="Arial" w:hAnsi="Arial"/>
          <w:sz w:val="17"/>
          <w:szCs w:val="17"/>
          <w:color w:val="auto"/>
        </w:rPr>
        <w:t>In February 2021,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announced the completion of enrollment of approximately 60 patients in its Phase 2a “ReGAtta” study, a dose escalation trial of GEM103, a recombinant human CFH, in dry AMD patients with loss of function CFH variants. The Company expects to share initial data from the trial, designed to evaluate safety and tolerability, as well as measures of intraocular pharmacokinetics and exploratory, disease-relevant biomarkers, in the second quarter of 2021. The Company believes the learnings from the Phase 2a trial will inform the design of the Phase 2b/3 sham-controlled study which will be powered for efficacy.</w:t>
      </w:r>
    </w:p>
    <w:p>
      <w:pPr>
        <w:spacing w:after="0" w:line="78" w:lineRule="exact"/>
        <w:rPr>
          <w:rFonts w:ascii="Arial" w:cs="Arial" w:eastAsia="Arial" w:hAnsi="Arial"/>
          <w:sz w:val="17"/>
          <w:szCs w:val="17"/>
          <w:color w:val="auto"/>
        </w:rPr>
      </w:pPr>
    </w:p>
    <w:p>
      <w:pPr>
        <w:ind w:left="960" w:right="20" w:hanging="424"/>
        <w:spacing w:after="0" w:line="256"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Commenced and completed enrollment of a Phase 2a study of GEM103 as a potential add-on to anti-vascular endothelial growth factor (anti-VEGF) therapy for patients suffering from wet AMD. </w:t>
      </w:r>
      <w:r>
        <w:rPr>
          <w:rFonts w:ascii="Arial" w:cs="Arial" w:eastAsia="Arial" w:hAnsi="Arial"/>
          <w:sz w:val="18"/>
          <w:szCs w:val="18"/>
          <w:color w:val="auto"/>
        </w:rPr>
        <w:t>In February 2021, The Company initiated a Phase 2a study</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investigating GEM103 as a potential add-on therapy for patients suffering from wet AMD who have, or may be at risk for, macular atrophy (MA) but require ongoing anti-VEGF treatment. Enrollment of this trial completed in May 2021 and the Company expects to release six-month dosing data related to safety, tolerability, effect on intraocular CFH levels and disease-related biomarkers in the fourth quarter of 2021.</w:t>
      </w:r>
    </w:p>
    <w:p>
      <w:pPr>
        <w:sectPr>
          <w:pgSz w:w="11900" w:h="16838" w:orient="portrait"/>
          <w:cols w:equalWidth="0" w:num="1">
            <w:col w:w="11020"/>
          </w:cols>
          <w:pgMar w:left="440" w:top="121" w:right="439" w:bottom="1440" w:gutter="0" w:footer="0" w:header="0"/>
        </w:sectPr>
      </w:pPr>
    </w:p>
    <w:bookmarkStart w:id="4" w:name="page5"/>
    <w:bookmarkEnd w:id="4"/>
    <w:p>
      <w:pPr>
        <w:ind w:left="960" w:hanging="424"/>
        <w:spacing w:after="0" w:line="26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Presented preclinical data on GEM103 at the 2021 Association for Research in Vision and Ophthalmology (ARVO) Annual Meeting</w:t>
      </w:r>
      <w:r>
        <w:rPr>
          <w:rFonts w:ascii="Arial" w:cs="Arial" w:eastAsia="Arial" w:hAnsi="Arial"/>
          <w:sz w:val="18"/>
          <w:szCs w:val="18"/>
          <w:color w:val="auto"/>
        </w:rPr>
        <w:t>. In May 2021, the Company presented a poster at ARVO that demonstrated GEM103 does not pose an increased risk of choroidal</w:t>
      </w:r>
      <w:r>
        <w:rPr>
          <w:rFonts w:ascii="Arial" w:cs="Arial" w:eastAsia="Arial" w:hAnsi="Arial"/>
          <w:sz w:val="18"/>
          <w:szCs w:val="18"/>
          <w:b w:val="1"/>
          <w:bCs w:val="1"/>
          <w:color w:val="auto"/>
        </w:rPr>
        <w:t xml:space="preserve"> </w:t>
      </w:r>
      <w:r>
        <w:rPr>
          <w:rFonts w:ascii="Arial" w:cs="Arial" w:eastAsia="Arial" w:hAnsi="Arial"/>
          <w:sz w:val="18"/>
          <w:szCs w:val="18"/>
          <w:color w:val="auto"/>
        </w:rPr>
        <w:t>neovascularization (CNV) following intravitreal administration in a laser induced mouse model of disease. In addition, GEM103 demonstrated an anti-angiogenic effect in this model.</w:t>
      </w:r>
    </w:p>
    <w:p>
      <w:pPr>
        <w:spacing w:after="0" w:line="85" w:lineRule="exact"/>
        <w:rPr>
          <w:rFonts w:ascii="Arial" w:cs="Arial" w:eastAsia="Arial" w:hAnsi="Arial"/>
          <w:sz w:val="18"/>
          <w:szCs w:val="18"/>
          <w:color w:val="auto"/>
        </w:rPr>
      </w:pPr>
    </w:p>
    <w:p>
      <w:pPr>
        <w:ind w:left="960" w:right="160" w:hanging="424"/>
        <w:spacing w:after="0" w:line="266"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Closed business combination with FS Development Corp (FSDC) transitioning to a public company with funding into 2023. </w:t>
      </w:r>
      <w:r>
        <w:rPr>
          <w:rFonts w:ascii="Arial" w:cs="Arial" w:eastAsia="Arial" w:hAnsi="Arial"/>
          <w:sz w:val="18"/>
          <w:szCs w:val="18"/>
          <w:color w:val="auto"/>
        </w:rPr>
        <w:t>Business combination with FSDC, a special purpose acquisition company (SPAC) sponsored by Foresite Capital, and the PIPE financing closed in February 2021, resulting in net proceeds to Gemini of $195.9 million.</w:t>
      </w:r>
    </w:p>
    <w:p>
      <w:pPr>
        <w:spacing w:after="0" w:line="81" w:lineRule="exact"/>
        <w:rPr>
          <w:rFonts w:ascii="Arial" w:cs="Arial" w:eastAsia="Arial" w:hAnsi="Arial"/>
          <w:sz w:val="18"/>
          <w:szCs w:val="18"/>
          <w:color w:val="auto"/>
        </w:rPr>
      </w:pPr>
    </w:p>
    <w:p>
      <w:pPr>
        <w:ind w:left="960" w:right="120" w:hanging="424"/>
        <w:spacing w:after="0" w:line="303" w:lineRule="auto"/>
        <w:tabs>
          <w:tab w:leader="none" w:pos="9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Continued expansion of leadership team</w:t>
      </w:r>
      <w:r>
        <w:rPr>
          <w:rFonts w:ascii="Arial" w:cs="Arial" w:eastAsia="Arial" w:hAnsi="Arial"/>
          <w:sz w:val="16"/>
          <w:szCs w:val="16"/>
          <w:color w:val="auto"/>
        </w:rPr>
        <w:t>. In May 2021, Gemini appointed Samuel Barone, M.D., as Chief Medical Officer. Dr. Barone</w:t>
      </w:r>
      <w:r>
        <w:rPr>
          <w:rFonts w:ascii="Arial" w:cs="Arial" w:eastAsia="Arial" w:hAnsi="Arial"/>
          <w:sz w:val="16"/>
          <w:szCs w:val="16"/>
          <w:b w:val="1"/>
          <w:bCs w:val="1"/>
          <w:color w:val="auto"/>
        </w:rPr>
        <w:t xml:space="preserve"> </w:t>
      </w:r>
      <w:r>
        <w:rPr>
          <w:rFonts w:ascii="Arial" w:cs="Arial" w:eastAsia="Arial" w:hAnsi="Arial"/>
          <w:sz w:val="16"/>
          <w:szCs w:val="16"/>
          <w:color w:val="auto"/>
        </w:rPr>
        <w:t>brings to Gemini extensive expertise as a board-certified ophthalmologist specializing in the treatment of retinal and macular diseases. Additionally, the Company appointed Georges Gemayel, Ph.D., as the Chair of the Company’s Board of Directors. Dr. Gemayel brings to Gemini 30 years of experience in the pharmaceutical industry developing and commercializing drugs.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Research and development expenses totaled $11.8 million for the three months ended March 31, 2021, compared to $8.2 million for the same period in 2020. The increase was primarily due to increased expenses related to clinical studies, salaries and benefits and stock-based compensation.</w:t>
      </w:r>
    </w:p>
    <w:p>
      <w:pPr>
        <w:spacing w:after="0" w:line="12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General and administrative expenses were $4.7 million for the three months ended March 31, 2021, compared to $1.4 million for the same period in 2020. The increase was primarily due to increased expenses related to professional fees related to being a public company, salaries and benefits and stock-based compensation.</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three months ended March 31, 2021, Gemini reported a net loss of $19.0 million, or $0.59 per share, compared to a net loss of $9.7 million, or $0.67 per share, in the corresponding period in 2020. The increase in net loss and net loss per share for the three months ended March 31, 2021 was primarily due to an increase in operating expenses and interest expense related to the beneficial conversion feature of the convertible notes extinguished during the business combination.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2021, Gemini held $185.0 million in cash, $9.2 million of principal outstanding debt and 43.0 million shares outstanding.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2a ReGAtta Study</w:t>
      </w:r>
    </w:p>
    <w:p>
      <w:pPr>
        <w:spacing w:after="0" w:line="12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The ongoing Phase 2a, multi-center, open-label, multiple ascending dose study of GEM103 in genetically defined patients with GA secondary to dry AMD is designed to investigate safety and tolerability, PK, exploratory ocular biomarkers, and measures of retinal anatomy and function. In the study, GEM103 is delivered monthly by an intravitreal injection and PK and biomarkers of complement regulation are determined from aqueous humor sampling. The study was designed to enroll approximately 60 patients. The study population was enriched for patients with genetic variants in CFH that have been linked to the progression of dry AMD from early to late-stage.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Phase 2a Study of Repeat Intravitreal Injections of GEM103 in Neovascular Age-related Macular Degeneration</w:t>
      </w:r>
    </w:p>
    <w:p>
      <w:pPr>
        <w:spacing w:after="0" w:line="12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ongoing Phase 2a, multicenter, multiple-dose study in subjects with Neovascular Age-related Macular Degeneration (nAMD) with or at risk for macular atrophy, is designed to investigate the safety and tolerability of GEM103 as an adjunct to standard of care aflibercept therapy. The study is designed to enroll approximately 45 patients randomized 2:1 between GEM103 plus aflibercept and sham plus aflibercept arms, with treatment administered via intravitreal injection every other month for twelve months. CFH levels and disease relevant biomarkers of complement regulation are determined from aqueous humor sampling throughout the study with visual acuity and macular atrophy size measured at defined dosing dates.</w:t>
      </w:r>
    </w:p>
    <w:p>
      <w:pPr>
        <w:sectPr>
          <w:pgSz w:w="11900" w:h="16838" w:orient="portrait"/>
          <w:cols w:equalWidth="0" w:num="1">
            <w:col w:w="10980"/>
          </w:cols>
          <w:pgMar w:left="440" w:top="27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GEM103</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Gemini’s lead program, GEM103, a full-length recombinant complement factor H (rCFH) protein, is believed to be the first ever recombinant native complement regulator. GEM103 delivered by intravitreal injection is designed to address both complement hyperactivity and restore retinal health in patients with AMD. In a genetically-defined subset of AMD patients GEM103 may circumvent dysfunctional CFH loss-of-function variants and slow the progression of their retinal disease. In patients undergoing anti-VEGF treatment GEM103 may help regulate the hyperactive amplification of the alternative pathway believed to lead to cell loss and macular atrophy. The U.S. Food and Drug Administration (FDA) granted Fast Track Designation for GEM103 for the treatment of dry AMD in patients with CFH loss of function gene variants.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Dry Age-Related Macular Degeneration (AMD)</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Age-related macular degeneration (AMD) is a progressive retinal disease affecting millions of older adults, and the leading cause of irreversible blindness in the western world. Symptoms, which include blurry vision, loss of night vision and loss of central vision, make activities of daily living such as reading, driving and even recognizing faces progressively more difficult. Third-party reports indicate there are approximately 16 million patients with AMD in the United States alone. Dry AMD, which results from an interaction of environmental and genetic risk factors, represents about 90% of that population (or about 15 million) in the US compared to about 1.4 million with wet AMD. Genetic risk of developing dry AMD is significant, with approximately 70% attributable risk of advanced disease to heritability, while aging and smoking confer the strongest non-genetic risk. CFH risk variants occur in approximately 40% of patients with dry AMD and these patients have a significantly increased risk of developing the disease as well as progression from intermediate AMD to GA. The complement system, of which CFH is a modulator, is dysregulated in patients with these risk variants, and results in amplification of aberrant inflammatory responses in the eye. Over time, this dysregulation leads to damage to the macular region of the retina.</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is currently in a Phase 2a trial in dry AMD patients with a CFH risk variant and a Phase 1/2a study in patients with neovascular age-related macular degeneration with or at risk for macular atrophy. The company has generated a rich pipeline including recombinant proteins, gene therapies, and monoclonal antibodies and is advancing a potentiating antibody for CFH, GEM307, into clinical development for treatment of systemic diseases.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w:t>
      </w:r>
      <w:r>
        <w:rPr>
          <w:rFonts w:ascii="Arial" w:cs="Arial" w:eastAsia="Arial" w:hAnsi="Arial"/>
          <w:sz w:val="18"/>
          <w:szCs w:val="18"/>
          <w:u w:val="single" w:color="auto"/>
          <w:color w:val="auto"/>
        </w:rPr>
        <w:t>www.geminitherapeutics.com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success, cost and timing of our product development activities and clinical trials, including our estimates regarding when data will be reported from ongoing clinical trials and the timing to commence future clinical trials, the potential attributes and benefits of our product candidates, including our lead product candidate GEM103,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w:t>
      </w:r>
    </w:p>
    <w:p>
      <w:pPr>
        <w:sectPr>
          <w:pgSz w:w="11900" w:h="16838" w:orient="portrait"/>
          <w:cols w:equalWidth="0" w:num="1">
            <w:col w:w="11000"/>
          </w:cols>
          <w:pgMar w:left="440" w:top="270" w:right="45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final proxy/prospectus for our recently completed business combination, and those that are included in any of our future filings with the SEC, including our periodic reports under the Exchange Act.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 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Mansbach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p>
      <w:pPr>
        <w:sectPr>
          <w:pgSz w:w="11900" w:h="16838" w:orient="portrait"/>
          <w:cols w:equalWidth="0" w:num="1">
            <w:col w:w="10940"/>
          </w:cols>
          <w:pgMar w:left="440" w:top="274" w:right="51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Gemini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7"/>
              </w:rPr>
              <w:t>Three Months Ended March 31,</w:t>
            </w:r>
          </w:p>
        </w:tc>
        <w:tc>
          <w:tcPr>
            <w:tcW w:w="0" w:type="dxa"/>
            <w:vAlign w:val="bottom"/>
          </w:tcPr>
          <w:p>
            <w:pPr>
              <w:spacing w:after="0"/>
              <w:rPr>
                <w:sz w:val="1"/>
                <w:szCs w:val="1"/>
                <w:color w:val="auto"/>
              </w:rPr>
            </w:pPr>
          </w:p>
        </w:tc>
      </w:tr>
      <w:tr>
        <w:trPr>
          <w:trHeight w:val="142"/>
        </w:trPr>
        <w:tc>
          <w:tcPr>
            <w:tcW w:w="8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11,786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8,217</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4,704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16,490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(16,490)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(9,631)</w:t>
            </w:r>
          </w:p>
        </w:tc>
        <w:tc>
          <w:tcPr>
            <w:tcW w:w="0" w:type="dxa"/>
            <w:vAlign w:val="bottom"/>
          </w:tcPr>
          <w:p>
            <w:pPr>
              <w:spacing w:after="0"/>
              <w:rPr>
                <w:sz w:val="1"/>
                <w:szCs w:val="1"/>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conversion of convertible notes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80" w:type="dxa"/>
            <w:vAlign w:val="bottom"/>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(9,746)</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8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(19,048)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(9,746)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30"/>
        </w:trPr>
        <w:tc>
          <w:tcPr>
            <w:tcW w:w="858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0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32,027,161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14,495,972</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Gemini 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4"/>
          </w:tcPr>
          <w:p>
            <w:pPr>
              <w:ind w:left="20"/>
              <w:spacing w:after="0"/>
              <w:rPr>
                <w:sz w:val="20"/>
                <w:szCs w:val="20"/>
                <w:color w:val="auto"/>
              </w:rPr>
            </w:pPr>
            <w:r>
              <w:rPr>
                <w:rFonts w:ascii="Arial" w:cs="Arial" w:eastAsia="Arial" w:hAnsi="Arial"/>
                <w:sz w:val="14"/>
                <w:szCs w:val="14"/>
                <w:b w:val="1"/>
                <w:bCs w:val="1"/>
                <w:color w:val="auto"/>
              </w:rPr>
              <w:t>March 31,</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96"/>
        </w:trPr>
        <w:tc>
          <w:tcPr>
            <w:tcW w:w="91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184,986</w:t>
            </w:r>
          </w:p>
        </w:tc>
        <w:tc>
          <w:tcPr>
            <w:tcW w:w="2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4,503</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w:t>
            </w:r>
          </w:p>
        </w:tc>
      </w:tr>
      <w:tr>
        <w:trPr>
          <w:trHeight w:val="223"/>
        </w:trPr>
        <w:tc>
          <w:tcPr>
            <w:tcW w:w="91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188,605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20" w:type="dxa"/>
            <w:vAlign w:val="bottom"/>
          </w:tcPr>
          <w:p>
            <w:pPr>
              <w:spacing w:after="0"/>
              <w:rPr>
                <w:sz w:val="19"/>
                <w:szCs w:val="19"/>
                <w:color w:val="auto"/>
              </w:rPr>
            </w:pP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777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3,254</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189,382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10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13,776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24,876</w:t>
            </w:r>
          </w:p>
        </w:tc>
      </w:tr>
      <w:tr>
        <w:trPr>
          <w:trHeight w:val="216"/>
        </w:trPr>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5,304</w:t>
            </w:r>
          </w:p>
        </w:tc>
      </w:tr>
      <w:tr>
        <w:trPr>
          <w:trHeight w:val="230"/>
        </w:trPr>
        <w:tc>
          <w:tcPr>
            <w:tcW w:w="91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18,221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30,180</w:t>
            </w:r>
          </w:p>
        </w:tc>
        <w:tc>
          <w:tcPr>
            <w:tcW w:w="120" w:type="dxa"/>
            <w:vAlign w:val="bottom"/>
          </w:tcPr>
          <w:p>
            <w:pPr>
              <w:spacing w:after="0"/>
              <w:rPr>
                <w:sz w:val="20"/>
                <w:szCs w:val="20"/>
                <w:color w:val="auto"/>
              </w:rPr>
            </w:pPr>
          </w:p>
        </w:tc>
      </w:tr>
      <w:tr>
        <w:trPr>
          <w:trHeight w:val="216"/>
        </w:trPr>
        <w:tc>
          <w:tcPr>
            <w:tcW w:w="9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171,161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(21,861)</w:t>
            </w:r>
          </w:p>
        </w:tc>
      </w:tr>
      <w:tr>
        <w:trPr>
          <w:trHeight w:val="223"/>
        </w:trPr>
        <w:tc>
          <w:tcPr>
            <w:tcW w:w="9100" w:type="dxa"/>
            <w:vAlign w:val="bottom"/>
          </w:tcPr>
          <w:p>
            <w:pPr>
              <w:spacing w:after="0"/>
              <w:rPr>
                <w:sz w:val="20"/>
                <w:szCs w:val="20"/>
                <w:color w:val="auto"/>
              </w:rPr>
            </w:pPr>
            <w:r>
              <w:rPr>
                <w:rFonts w:ascii="Arial" w:cs="Arial" w:eastAsia="Arial" w:hAnsi="Arial"/>
                <w:sz w:val="18"/>
                <w:szCs w:val="18"/>
                <w:color w:val="auto"/>
              </w:rPr>
              <w:t>Total liabilities and stockholders’ equity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189,382</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8,319</w:t>
            </w:r>
          </w:p>
        </w:tc>
        <w:tc>
          <w:tcPr>
            <w:tcW w:w="120" w:type="dxa"/>
            <w:vAlign w:val="bottom"/>
          </w:tcPr>
          <w:p>
            <w:pPr>
              <w:spacing w:after="0"/>
              <w:rPr>
                <w:sz w:val="19"/>
                <w:szCs w:val="19"/>
                <w:color w:val="auto"/>
              </w:rPr>
            </w:pPr>
          </w:p>
        </w:tc>
      </w:tr>
      <w:tr>
        <w:trPr>
          <w:trHeight w:val="20"/>
        </w:trPr>
        <w:tc>
          <w:tcPr>
            <w:tcW w:w="9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2021-05-13T06:32:58Z</dcterms:created>
  <dcterms:modified xsi:type="dcterms:W3CDTF">2021-05-13T06:32:58Z</dcterms:modified>
</cp:coreProperties>
</file>