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74930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107315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 the quarterly period ended September 30, 2025</w:t>
      </w:r>
    </w:p>
    <w:p>
      <w:pPr>
        <w:spacing w:after="0" w:line="1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119"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90"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7"/>
          <w:szCs w:val="17"/>
          <w:b w:val="1"/>
          <w:bCs w:val="1"/>
          <w:color w:val="auto"/>
        </w:rPr>
        <w:t>For the transition period from __________________ to __________________</w:t>
      </w:r>
    </w:p>
    <w:p>
      <w:pPr>
        <w:spacing w:after="0" w:line="1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Commission File Number: 001-39438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97790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2"/>
          <w:szCs w:val="42"/>
          <w:b w:val="1"/>
          <w:bCs w:val="1"/>
          <w:color w:val="auto"/>
        </w:rPr>
        <w:t>Disc Medicine, Inc.</w:t>
      </w:r>
    </w:p>
    <w:p>
      <w:pPr>
        <w:sectPr>
          <w:pgSz w:w="11900" w:h="16838" w:orient="portrait"/>
          <w:cols w:equalWidth="0" w:num="1">
            <w:col w:w="11240"/>
          </w:cols>
          <w:pgMar w:left="320" w:top="1288" w:right="339" w:bottom="1440" w:gutter="0" w:footer="0" w:header="0"/>
        </w:sectPr>
      </w:pPr>
    </w:p>
    <w:p>
      <w:pPr>
        <w:spacing w:after="0" w:line="54"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83820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2" w:lineRule="exact"/>
        <w:rPr>
          <w:sz w:val="24"/>
          <w:szCs w:val="24"/>
          <w:color w:val="auto"/>
        </w:rPr>
      </w:pPr>
    </w:p>
    <w:p>
      <w:pPr>
        <w:jc w:val="center"/>
        <w:ind w:right="19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14"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8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1" w:lineRule="exact"/>
        <w:rPr>
          <w:sz w:val="24"/>
          <w:szCs w:val="24"/>
          <w:color w:val="auto"/>
        </w:rPr>
      </w:pPr>
    </w:p>
    <w:p>
      <w:pPr>
        <w:jc w:val="center"/>
        <w:ind w:right="2260"/>
        <w:spacing w:after="0"/>
        <w:rPr>
          <w:sz w:val="20"/>
          <w:szCs w:val="20"/>
          <w:color w:val="auto"/>
        </w:rPr>
      </w:pPr>
      <w:r>
        <w:rPr>
          <w:rFonts w:ascii="Times New Roman" w:cs="Times New Roman" w:eastAsia="Times New Roman" w:hAnsi="Times New Roman"/>
          <w:sz w:val="17"/>
          <w:szCs w:val="17"/>
          <w:b w:val="1"/>
          <w:bCs w:val="1"/>
          <w:color w:val="auto"/>
        </w:rPr>
        <w:t>85-1612845</w:t>
      </w:r>
    </w:p>
    <w:p>
      <w:pPr>
        <w:spacing w:after="0" w:line="2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2" w:lineRule="exact"/>
        <w:rPr>
          <w:sz w:val="24"/>
          <w:szCs w:val="24"/>
          <w:color w:val="auto"/>
        </w:rPr>
      </w:pPr>
    </w:p>
    <w:p>
      <w:pPr>
        <w:sectPr>
          <w:pgSz w:w="11900" w:h="16838" w:orient="portrait"/>
          <w:cols w:equalWidth="0" w:num="2">
            <w:col w:w="7520" w:space="340"/>
            <w:col w:w="3380"/>
          </w:cols>
          <w:pgMar w:left="320" w:top="1288" w:right="339" w:bottom="1440" w:gutter="0" w:footer="0" w:header="0"/>
          <w:type w:val="continuous"/>
        </w:sectPr>
      </w:pPr>
    </w:p>
    <w:tbl>
      <w:tblPr>
        <w:tblLayout w:type="fixed"/>
        <w:tblInd w:w="0" w:type="dxa"/>
        <w:tblCellMar>
          <w:top w:w="0" w:type="dxa"/>
          <w:left w:w="0" w:type="dxa"/>
          <w:bottom w:w="0" w:type="dxa"/>
          <w:right w:w="0" w:type="dxa"/>
        </w:tblCellMar>
      </w:tblPr>
      <w:tr>
        <w:trPr>
          <w:trHeight w:val="203"/>
        </w:trPr>
        <w:tc>
          <w:tcPr>
            <w:tcW w:w="3960" w:type="dxa"/>
            <w:vAlign w:val="bottom"/>
          </w:tcPr>
          <w:p>
            <w:pPr>
              <w:jc w:val="center"/>
              <w:ind w:left="1579"/>
              <w:spacing w:after="0"/>
              <w:rPr>
                <w:sz w:val="20"/>
                <w:szCs w:val="20"/>
                <w:color w:val="auto"/>
              </w:rPr>
            </w:pPr>
            <w:r>
              <w:rPr>
                <w:rFonts w:ascii="Times New Roman" w:cs="Times New Roman" w:eastAsia="Times New Roman" w:hAnsi="Times New Roman"/>
                <w:sz w:val="17"/>
                <w:szCs w:val="17"/>
                <w:b w:val="1"/>
                <w:bCs w:val="1"/>
                <w:color w:val="auto"/>
              </w:rPr>
              <w:t>321 Arsenal Street, Suite 101</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960" w:type="dxa"/>
            <w:vAlign w:val="bottom"/>
          </w:tcPr>
          <w:p>
            <w:pPr>
              <w:jc w:val="center"/>
              <w:ind w:left="1579"/>
              <w:spacing w:after="0"/>
              <w:rPr>
                <w:sz w:val="20"/>
                <w:szCs w:val="20"/>
                <w:color w:val="auto"/>
              </w:rPr>
            </w:pPr>
            <w:r>
              <w:rPr>
                <w:rFonts w:ascii="Times New Roman" w:cs="Times New Roman" w:eastAsia="Times New Roman" w:hAnsi="Times New Roman"/>
                <w:sz w:val="17"/>
                <w:szCs w:val="17"/>
                <w:b w:val="1"/>
                <w:bCs w:val="1"/>
                <w:color w:val="auto"/>
              </w:rPr>
              <w:t>Watertown, Massachusetts</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920" w:type="dxa"/>
            <w:vAlign w:val="bottom"/>
          </w:tcPr>
          <w:p>
            <w:pPr>
              <w:jc w:val="right"/>
              <w:ind w:right="2521"/>
              <w:spacing w:after="0"/>
              <w:rPr>
                <w:sz w:val="20"/>
                <w:szCs w:val="20"/>
                <w:color w:val="auto"/>
              </w:rPr>
            </w:pPr>
            <w:r>
              <w:rPr>
                <w:rFonts w:ascii="Times New Roman" w:cs="Times New Roman" w:eastAsia="Times New Roman" w:hAnsi="Times New Roman"/>
                <w:sz w:val="17"/>
                <w:szCs w:val="17"/>
                <w:b w:val="1"/>
                <w:bCs w:val="1"/>
                <w:color w:val="auto"/>
              </w:rPr>
              <w:t>02472</w:t>
            </w:r>
          </w:p>
        </w:tc>
        <w:tc>
          <w:tcPr>
            <w:tcW w:w="0" w:type="dxa"/>
            <w:vAlign w:val="bottom"/>
          </w:tcPr>
          <w:p>
            <w:pPr>
              <w:spacing w:after="0"/>
              <w:rPr>
                <w:sz w:val="1"/>
                <w:szCs w:val="1"/>
                <w:color w:val="auto"/>
              </w:rPr>
            </w:pPr>
          </w:p>
        </w:tc>
      </w:tr>
      <w:tr>
        <w:trPr>
          <w:trHeight w:val="190"/>
        </w:trPr>
        <w:tc>
          <w:tcPr>
            <w:tcW w:w="7320" w:type="dxa"/>
            <w:vAlign w:val="bottom"/>
            <w:gridSpan w:val="8"/>
          </w:tcPr>
          <w:p>
            <w:pPr>
              <w:jc w:val="center"/>
              <w:ind w:right="17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920" w:type="dxa"/>
            <w:vAlign w:val="bottom"/>
          </w:tcPr>
          <w:p>
            <w:pPr>
              <w:jc w:val="center"/>
              <w:ind w:right="1621"/>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51"/>
        </w:trPr>
        <w:tc>
          <w:tcPr>
            <w:tcW w:w="3960" w:type="dxa"/>
            <w:vAlign w:val="bottom"/>
          </w:tcPr>
          <w:p>
            <w:pPr>
              <w:spacing w:after="0"/>
              <w:rPr>
                <w:sz w:val="21"/>
                <w:szCs w:val="21"/>
                <w:color w:val="auto"/>
              </w:rPr>
            </w:pPr>
          </w:p>
        </w:tc>
        <w:tc>
          <w:tcPr>
            <w:tcW w:w="2240" w:type="dxa"/>
            <w:vAlign w:val="bottom"/>
            <w:gridSpan w:val="5"/>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(617) 674-9274</w:t>
            </w:r>
          </w:p>
        </w:tc>
        <w:tc>
          <w:tcPr>
            <w:tcW w:w="5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3960" w:type="dxa"/>
            <w:vAlign w:val="bottom"/>
          </w:tcPr>
          <w:p>
            <w:pPr>
              <w:spacing w:after="0"/>
              <w:rPr>
                <w:sz w:val="20"/>
                <w:szCs w:val="20"/>
                <w:color w:val="auto"/>
              </w:rPr>
            </w:pPr>
          </w:p>
        </w:tc>
        <w:tc>
          <w:tcPr>
            <w:tcW w:w="3360" w:type="dxa"/>
            <w:vAlign w:val="bottom"/>
            <w:gridSpan w:val="7"/>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5"/>
        </w:trPr>
        <w:tc>
          <w:tcPr>
            <w:tcW w:w="39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3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8"/>
        </w:trPr>
        <w:tc>
          <w:tcPr>
            <w:tcW w:w="396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3960" w:type="dxa"/>
            <w:vAlign w:val="bottom"/>
            <w:vMerge w:val="restart"/>
          </w:tcPr>
          <w:p>
            <w:pPr>
              <w:jc w:val="center"/>
              <w:ind w:left="239"/>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20" w:type="dxa"/>
            <w:vAlign w:val="bottom"/>
            <w:gridSpan w:val="4"/>
          </w:tcPr>
          <w:p>
            <w:pPr>
              <w:jc w:val="center"/>
              <w:ind w:right="13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920" w:type="dxa"/>
            <w:vAlign w:val="bottom"/>
            <w:vMerge w:val="restart"/>
          </w:tcPr>
          <w:p>
            <w:pPr>
              <w:jc w:val="center"/>
              <w:ind w:right="1041"/>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39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20" w:type="dxa"/>
            <w:vAlign w:val="bottom"/>
            <w:gridSpan w:val="4"/>
          </w:tcPr>
          <w:p>
            <w:pPr>
              <w:jc w:val="center"/>
              <w:ind w:right="13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3960" w:type="dxa"/>
            <w:vAlign w:val="bottom"/>
            <w:tcBorders>
              <w:top w:val="single" w:sz="8" w:color="auto"/>
            </w:tcBorders>
          </w:tcPr>
          <w:p>
            <w:pPr>
              <w:jc w:val="center"/>
              <w:ind w:left="259"/>
              <w:spacing w:after="0"/>
              <w:rPr>
                <w:sz w:val="20"/>
                <w:szCs w:val="20"/>
                <w:color w:val="auto"/>
              </w:rPr>
            </w:pPr>
            <w:r>
              <w:rPr>
                <w:rFonts w:ascii="Times New Roman" w:cs="Times New Roman" w:eastAsia="Times New Roman" w:hAnsi="Times New Roman"/>
                <w:sz w:val="17"/>
                <w:szCs w:val="17"/>
                <w:b w:val="1"/>
                <w:bCs w:val="1"/>
                <w:color w:val="auto"/>
              </w:rPr>
              <w:t>Common Stock, $0.0001 Par Value</w:t>
            </w:r>
          </w:p>
        </w:tc>
        <w:tc>
          <w:tcPr>
            <w:tcW w:w="3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jc w:val="center"/>
              <w:ind w:right="24"/>
              <w:spacing w:after="0"/>
              <w:rPr>
                <w:sz w:val="20"/>
                <w:szCs w:val="20"/>
                <w:color w:val="auto"/>
              </w:rPr>
            </w:pPr>
            <w:r>
              <w:rPr>
                <w:rFonts w:ascii="Times New Roman" w:cs="Times New Roman" w:eastAsia="Times New Roman" w:hAnsi="Times New Roman"/>
                <w:sz w:val="17"/>
                <w:szCs w:val="17"/>
                <w:b w:val="1"/>
                <w:bCs w:val="1"/>
                <w:color w:val="auto"/>
                <w:w w:val="99"/>
              </w:rPr>
              <w:t>IRON</w:t>
            </w:r>
          </w:p>
        </w:tc>
        <w:tc>
          <w:tcPr>
            <w:tcW w:w="120" w:type="dxa"/>
            <w:vAlign w:val="bottom"/>
          </w:tcPr>
          <w:p>
            <w:pPr>
              <w:spacing w:after="0"/>
              <w:rPr>
                <w:sz w:val="19"/>
                <w:szCs w:val="19"/>
                <w:color w:val="auto"/>
              </w:rPr>
            </w:pPr>
          </w:p>
        </w:tc>
        <w:tc>
          <w:tcPr>
            <w:tcW w:w="1120" w:type="dxa"/>
            <w:vAlign w:val="bottom"/>
            <w:tcBorders>
              <w:top w:val="single" w:sz="8" w:color="auto"/>
            </w:tcBorders>
            <w:gridSpan w:val="2"/>
          </w:tcPr>
          <w:p>
            <w:pPr>
              <w:spacing w:after="0"/>
              <w:rPr>
                <w:sz w:val="19"/>
                <w:szCs w:val="19"/>
                <w:color w:val="auto"/>
              </w:rPr>
            </w:pPr>
          </w:p>
        </w:tc>
        <w:tc>
          <w:tcPr>
            <w:tcW w:w="3920" w:type="dxa"/>
            <w:vAlign w:val="bottom"/>
            <w:tcBorders>
              <w:top w:val="single" w:sz="8" w:color="auto"/>
            </w:tcBorders>
          </w:tcPr>
          <w:p>
            <w:pPr>
              <w:jc w:val="center"/>
              <w:ind w:right="1041"/>
              <w:spacing w:after="0"/>
              <w:rPr>
                <w:sz w:val="20"/>
                <w:szCs w:val="20"/>
                <w:color w:val="auto"/>
              </w:rPr>
            </w:pPr>
            <w:r>
              <w:rPr>
                <w:rFonts w:ascii="Times New Roman" w:cs="Times New Roman" w:eastAsia="Times New Roman" w:hAnsi="Times New Roman"/>
                <w:sz w:val="17"/>
                <w:szCs w:val="17"/>
                <w:b w:val="1"/>
                <w:bCs w:val="1"/>
                <w:color w:val="auto"/>
              </w:rPr>
              <w:t>The Nasdaq Global Market</w:t>
            </w:r>
          </w:p>
        </w:tc>
        <w:tc>
          <w:tcPr>
            <w:tcW w:w="0" w:type="dxa"/>
            <w:vAlign w:val="bottom"/>
          </w:tcPr>
          <w:p>
            <w:pPr>
              <w:spacing w:after="0"/>
              <w:rPr>
                <w:sz w:val="1"/>
                <w:szCs w:val="1"/>
                <w:color w:val="auto"/>
              </w:rPr>
            </w:pPr>
          </w:p>
        </w:tc>
      </w:tr>
    </w:tbl>
    <w:p>
      <w:pPr>
        <w:spacing w:after="0" w:line="35" w:lineRule="exact"/>
        <w:rPr>
          <w:sz w:val="24"/>
          <w:szCs w:val="24"/>
          <w:color w:val="auto"/>
        </w:rPr>
      </w:pPr>
    </w:p>
    <w:p>
      <w:pPr>
        <w:ind w:right="80" w:firstLine="599"/>
        <w:spacing w:after="0" w:line="222"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0" w:lineRule="exact"/>
        <w:rPr>
          <w:sz w:val="24"/>
          <w:szCs w:val="24"/>
          <w:color w:val="auto"/>
        </w:rPr>
      </w:pPr>
    </w:p>
    <w:p>
      <w:pPr>
        <w:ind w:right="200" w:firstLine="599"/>
        <w:spacing w:after="0" w:line="260" w:lineRule="auto"/>
        <w:rPr>
          <w:sz w:val="20"/>
          <w:szCs w:val="20"/>
          <w:color w:val="auto"/>
        </w:rPr>
      </w:pPr>
      <w:r>
        <w:rPr>
          <w:rFonts w:ascii="Times New Roman" w:cs="Times New Roman" w:eastAsia="Times New Roman" w:hAnsi="Times New Roman"/>
          <w:sz w:val="17"/>
          <w:szCs w:val="17"/>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p>
    <w:p>
      <w:pPr>
        <w:spacing w:after="0" w:line="1" w:lineRule="exact"/>
        <w:rPr>
          <w:sz w:val="24"/>
          <w:szCs w:val="24"/>
          <w:color w:val="auto"/>
        </w:rPr>
      </w:pPr>
    </w:p>
    <w:p>
      <w:pPr>
        <w:ind w:left="340" w:hanging="332"/>
        <w:spacing w:after="0" w:line="196" w:lineRule="exact"/>
        <w:tabs>
          <w:tab w:leader="none" w:pos="34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55" w:lineRule="exact"/>
        <w:rPr>
          <w:sz w:val="24"/>
          <w:szCs w:val="24"/>
          <w:color w:val="auto"/>
        </w:rPr>
      </w:pPr>
    </w:p>
    <w:p>
      <w:pPr>
        <w:jc w:val="both"/>
        <w:ind w:right="240" w:firstLine="599"/>
        <w:spacing w:after="0" w:line="255"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168"/>
        </w:trPr>
        <w:tc>
          <w:tcPr>
            <w:tcW w:w="1880" w:type="dxa"/>
            <w:vAlign w:val="bottom"/>
          </w:tcPr>
          <w:p>
            <w:pPr>
              <w:spacing w:after="0" w:line="168" w:lineRule="exact"/>
              <w:rPr>
                <w:sz w:val="20"/>
                <w:szCs w:val="20"/>
                <w:color w:val="auto"/>
              </w:rPr>
            </w:pPr>
            <w:r>
              <w:rPr>
                <w:rFonts w:ascii="Times New Roman" w:cs="Times New Roman" w:eastAsia="Times New Roman" w:hAnsi="Times New Roman"/>
                <w:sz w:val="17"/>
                <w:szCs w:val="17"/>
                <w:color w:val="auto"/>
              </w:rPr>
              <w:t>Large accelerated filer</w:t>
            </w:r>
          </w:p>
        </w:tc>
        <w:tc>
          <w:tcPr>
            <w:tcW w:w="3640" w:type="dxa"/>
            <w:vAlign w:val="bottom"/>
          </w:tcPr>
          <w:p>
            <w:pPr>
              <w:ind w:left="360"/>
              <w:spacing w:after="0" w:line="168" w:lineRule="exact"/>
              <w:rPr>
                <w:sz w:val="20"/>
                <w:szCs w:val="20"/>
                <w:color w:val="auto"/>
              </w:rPr>
            </w:pPr>
            <w:r>
              <w:rPr>
                <w:rFonts w:ascii="MS PGothic" w:cs="MS PGothic" w:eastAsia="MS PGothic" w:hAnsi="MS PGothic"/>
                <w:sz w:val="17"/>
                <w:szCs w:val="17"/>
                <w:color w:val="auto"/>
              </w:rPr>
              <w:t>☒</w:t>
            </w:r>
          </w:p>
        </w:tc>
        <w:tc>
          <w:tcPr>
            <w:tcW w:w="5240" w:type="dxa"/>
            <w:vAlign w:val="bottom"/>
          </w:tcPr>
          <w:p>
            <w:pPr>
              <w:ind w:left="3120"/>
              <w:spacing w:after="0" w:line="168" w:lineRule="exact"/>
              <w:rPr>
                <w:sz w:val="20"/>
                <w:szCs w:val="20"/>
                <w:color w:val="auto"/>
              </w:rPr>
            </w:pPr>
            <w:r>
              <w:rPr>
                <w:rFonts w:ascii="Times New Roman" w:cs="Times New Roman" w:eastAsia="Times New Roman" w:hAnsi="Times New Roman"/>
                <w:sz w:val="17"/>
                <w:szCs w:val="17"/>
                <w:color w:val="auto"/>
              </w:rPr>
              <w:t>Accelerated filer</w:t>
            </w:r>
          </w:p>
        </w:tc>
        <w:tc>
          <w:tcPr>
            <w:tcW w:w="400" w:type="dxa"/>
            <w:vAlign w:val="bottom"/>
          </w:tcPr>
          <w:p>
            <w:pPr>
              <w:ind w:left="240"/>
              <w:spacing w:after="0" w:line="168" w:lineRule="exact"/>
              <w:rPr>
                <w:sz w:val="20"/>
                <w:szCs w:val="20"/>
                <w:color w:val="auto"/>
              </w:rPr>
            </w:pPr>
            <w:r>
              <w:rPr>
                <w:rFonts w:ascii="MS PGothic" w:cs="MS PGothic" w:eastAsia="MS PGothic" w:hAnsi="MS PGothic"/>
                <w:sz w:val="17"/>
                <w:szCs w:val="17"/>
                <w:color w:val="auto"/>
                <w:w w:val="82"/>
              </w:rPr>
              <w:t>☐</w:t>
            </w:r>
          </w:p>
        </w:tc>
      </w:tr>
      <w:tr>
        <w:trPr>
          <w:trHeight w:val="203"/>
        </w:trPr>
        <w:tc>
          <w:tcPr>
            <w:tcW w:w="188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3640" w:type="dxa"/>
            <w:vAlign w:val="bottom"/>
          </w:tcPr>
          <w:p>
            <w:pPr>
              <w:ind w:left="360"/>
              <w:spacing w:after="0" w:line="171" w:lineRule="exact"/>
              <w:rPr>
                <w:sz w:val="20"/>
                <w:szCs w:val="20"/>
                <w:color w:val="auto"/>
              </w:rPr>
            </w:pPr>
            <w:r>
              <w:rPr>
                <w:rFonts w:ascii="MS PGothic" w:cs="MS PGothic" w:eastAsia="MS PGothic" w:hAnsi="MS PGothic"/>
                <w:sz w:val="17"/>
                <w:szCs w:val="17"/>
                <w:color w:val="auto"/>
              </w:rPr>
              <w:t>☐</w:t>
            </w:r>
          </w:p>
        </w:tc>
        <w:tc>
          <w:tcPr>
            <w:tcW w:w="5240" w:type="dxa"/>
            <w:vAlign w:val="bottom"/>
          </w:tcPr>
          <w:p>
            <w:pPr>
              <w:ind w:left="312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400" w:type="dxa"/>
            <w:vAlign w:val="bottom"/>
          </w:tcPr>
          <w:p>
            <w:pPr>
              <w:ind w:left="2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87"/>
        </w:trPr>
        <w:tc>
          <w:tcPr>
            <w:tcW w:w="18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5240" w:type="dxa"/>
            <w:vAlign w:val="bottom"/>
          </w:tcPr>
          <w:p>
            <w:pPr>
              <w:ind w:left="3120"/>
              <w:spacing w:after="0"/>
              <w:rPr>
                <w:sz w:val="20"/>
                <w:szCs w:val="20"/>
                <w:color w:val="auto"/>
              </w:rPr>
            </w:pPr>
            <w:r>
              <w:rPr>
                <w:rFonts w:ascii="Times New Roman" w:cs="Times New Roman" w:eastAsia="Times New Roman" w:hAnsi="Times New Roman"/>
                <w:sz w:val="17"/>
                <w:szCs w:val="17"/>
                <w:color w:val="auto"/>
              </w:rPr>
              <w:t>Emerging growth company</w:t>
            </w:r>
          </w:p>
        </w:tc>
        <w:tc>
          <w:tcPr>
            <w:tcW w:w="400" w:type="dxa"/>
            <w:vAlign w:val="bottom"/>
          </w:tcPr>
          <w:p>
            <w:pPr>
              <w:ind w:left="24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137" w:lineRule="exact"/>
        <w:rPr>
          <w:sz w:val="24"/>
          <w:szCs w:val="24"/>
          <w:color w:val="auto"/>
        </w:rPr>
      </w:pPr>
    </w:p>
    <w:p>
      <w:pPr>
        <w:jc w:val="both"/>
        <w:ind w:right="100" w:firstLine="599"/>
        <w:spacing w:after="0" w:line="233"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ind w:left="600" w:right="1740"/>
        <w:spacing w:after="0" w:line="251"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As of October 31, 2025 there were 37,750,162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640080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164465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88"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58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r>
      <w:tr>
        <w:trPr>
          <w:trHeight w:val="257"/>
        </w:trPr>
        <w:tc>
          <w:tcPr>
            <w:tcW w:w="7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840" w:type="dxa"/>
            <w:vAlign w:val="bottom"/>
          </w:tcPr>
          <w:p>
            <w:pPr>
              <w:spacing w:after="0"/>
              <w:rPr>
                <w:sz w:val="22"/>
                <w:szCs w:val="22"/>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85"/>
        </w:trPr>
        <w:tc>
          <w:tcPr>
            <w:tcW w:w="31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b w:val="1"/>
                <w:bCs w:val="1"/>
                <w:color w:val="0000FF"/>
                <w:w w:val="99"/>
              </w:rPr>
              <w:t>FORWARD LOOKING STATEMENTS</w:t>
            </w:r>
          </w:p>
        </w:tc>
        <w:tc>
          <w:tcPr>
            <w:tcW w:w="7300" w:type="dxa"/>
            <w:vAlign w:val="bottom"/>
            <w:gridSpan w:val="10"/>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96"/>
        </w:trPr>
        <w:tc>
          <w:tcPr>
            <w:tcW w:w="226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b w:val="1"/>
                <w:bCs w:val="1"/>
                <w:color w:val="0000FF"/>
                <w:w w:val="99"/>
              </w:rPr>
              <w:t>RISK FACTOR SUMMARY</w:t>
            </w:r>
          </w:p>
        </w:tc>
        <w:tc>
          <w:tcPr>
            <w:tcW w:w="20" w:type="dxa"/>
            <w:vAlign w:val="bottom"/>
            <w:tcBorders>
              <w:bottom w:val="single" w:sz="8" w:color="0000EE"/>
            </w:tcBorders>
          </w:tcPr>
          <w:p>
            <w:pPr>
              <w:spacing w:after="0"/>
              <w:rPr>
                <w:sz w:val="17"/>
                <w:szCs w:val="17"/>
                <w:color w:val="auto"/>
              </w:rPr>
            </w:pPr>
          </w:p>
        </w:tc>
        <w:tc>
          <w:tcPr>
            <w:tcW w:w="8180" w:type="dxa"/>
            <w:vAlign w:val="bottom"/>
            <w:gridSpan w:val="1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412"/>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28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78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2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78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Balance Sheets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78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Operations and Comprehensive Loss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78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0" w:type="dxa"/>
            <w:vAlign w:val="bottom"/>
            <w:tcBorders>
              <w:right w:val="single" w:sz="8" w:color="0000FF"/>
            </w:tcBorders>
            <w:gridSpan w:val="3"/>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78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0" w:type="dxa"/>
            <w:vAlign w:val="bottom"/>
            <w:tcBorders>
              <w:right w:val="single" w:sz="8" w:color="0000FF"/>
            </w:tcBorders>
            <w:gridSpan w:val="3"/>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20"/>
        </w:trPr>
        <w:tc>
          <w:tcPr>
            <w:tcW w:w="78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0" w:type="dxa"/>
            <w:vAlign w:val="bottom"/>
            <w:tcBorders>
              <w:right w:val="single" w:sz="8" w:color="0000EE"/>
            </w:tcBorders>
            <w:gridSpan w:val="3"/>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20"/>
        </w:trPr>
        <w:tc>
          <w:tcPr>
            <w:tcW w:w="78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1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2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20"/>
        </w:trPr>
        <w:tc>
          <w:tcPr>
            <w:tcW w:w="78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2120" w:type="dxa"/>
            <w:vAlign w:val="bottom"/>
            <w:tcBorders>
              <w:left w:val="single" w:sz="8" w:color="0000FF"/>
            </w:tcBorders>
            <w:gridSpan w:val="3"/>
            <w:shd w:val="clear" w:color="auto" w:fill="0000FF"/>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1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2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20"/>
        </w:trPr>
        <w:tc>
          <w:tcPr>
            <w:tcW w:w="78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1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2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20"/>
        </w:trPr>
        <w:tc>
          <w:tcPr>
            <w:tcW w:w="78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28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78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720" w:type="dxa"/>
            <w:vAlign w:val="bottom"/>
            <w:tcBorders>
              <w:left w:val="single" w:sz="8" w:color="0000FF"/>
            </w:tcBorders>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2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78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1020" w:type="dxa"/>
            <w:vAlign w:val="bottom"/>
            <w:tcBorders>
              <w:left w:val="single" w:sz="8" w:color="0000FF"/>
            </w:tcBorders>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1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2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20"/>
        </w:trPr>
        <w:tc>
          <w:tcPr>
            <w:tcW w:w="78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1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2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r>
      <w:tr>
        <w:trPr>
          <w:trHeight w:val="20"/>
        </w:trPr>
        <w:tc>
          <w:tcPr>
            <w:tcW w:w="78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1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2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r>
      <w:tr>
        <w:trPr>
          <w:trHeight w:val="20"/>
        </w:trPr>
        <w:tc>
          <w:tcPr>
            <w:tcW w:w="78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6980" w:type="dxa"/>
            <w:vAlign w:val="bottom"/>
            <w:gridSpan w:val="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1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2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r>
      <w:tr>
        <w:trPr>
          <w:trHeight w:val="20"/>
        </w:trPr>
        <w:tc>
          <w:tcPr>
            <w:tcW w:w="78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540" w:type="dxa"/>
            <w:vAlign w:val="bottom"/>
            <w:gridSpan w:val="11"/>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1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2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r>
      <w:tr>
        <w:trPr>
          <w:trHeight w:val="20"/>
        </w:trPr>
        <w:tc>
          <w:tcPr>
            <w:tcW w:w="78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8000" w:type="dxa"/>
            <w:vAlign w:val="bottom"/>
            <w:gridSpan w:val="1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1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2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83</w:t>
            </w:r>
          </w:p>
        </w:tc>
      </w:tr>
      <w:tr>
        <w:trPr>
          <w:trHeight w:val="196"/>
        </w:trPr>
        <w:tc>
          <w:tcPr>
            <w:tcW w:w="11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58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84</w:t>
            </w:r>
          </w:p>
        </w:tc>
      </w:tr>
      <w:tr>
        <w:trPr>
          <w:trHeight w:val="20"/>
        </w:trPr>
        <w:tc>
          <w:tcPr>
            <w:tcW w:w="78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or Quarterly Report, of Disc Medicine, Inc., or the Company, contains or incorporates statements that constitute forward-looking statements within the meaning of the federal securities laws.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Forward-looking statements in this Quarterly Report on Form 10-Q may include, for example, statements about:</w:t>
      </w:r>
    </w:p>
    <w:p>
      <w:pPr>
        <w:spacing w:after="0" w:line="84" w:lineRule="exact"/>
        <w:rPr>
          <w:sz w:val="20"/>
          <w:szCs w:val="20"/>
          <w:color w:val="auto"/>
        </w:rPr>
      </w:pPr>
    </w:p>
    <w:p>
      <w:pPr>
        <w:jc w:val="both"/>
        <w:ind w:left="760" w:hanging="378"/>
        <w:spacing w:after="0" w:line="261"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results, and cost of our research and development programs and our current and future preclinical studies and clinical trials, including our ongoing clinical trials of bitopertin, our ongoing and planned clinical trials of DISC-0974 and our ongoing clinical trials of DISC-3405, and including statements regarding the timing of initiation and completion of studies or trials and related preparatory work, the period during which the results of the trials will become available, and our research and development programs;</w:t>
      </w:r>
    </w:p>
    <w:p>
      <w:pPr>
        <w:spacing w:after="0" w:line="7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efficiently discover and develop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potential to successfully manufacture our drug substances and product candidates for preclinical use, for clinical trials and on a larger scale for commercial use, if approved;</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necessary to complete further development and commercialization of our product candidates;</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seek and obtain approval for bitopertin under the U.S. Food and Drug Administration’s, or FDA’s, Accelerated Approval Program, including the FDA’s acceptance of the APOLLO clinical study as a post-marketing confirmatory trial, whether the FDA will accept our NDA submission for filing, and whether the NDA submission will meet the standards for accelerated approval;</w:t>
      </w:r>
    </w:p>
    <w:p>
      <w:pPr>
        <w:spacing w:after="0" w:line="6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the FDA Commissioner’s National Priority Voucher, or CNPV, with respect to our NDA submission, including the timeline for FDA review;</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our products, if approved;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our product candidates, if approved;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business and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future expenses, revenues, capital requirements, and our needs for additional financing;</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strategic collaboration agreements, our ability to enter into strategic collaborations or arrangements, and our ability to attract collaborators with development, regulatory and commercialization expertise;</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agreements with third parties in connection with the commercialization of product candidates and any other approved product;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 candidates, and our ability to serve those markets;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remediate the material weakness in our internal control over financial reporting;</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foreign countries;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contract with third-party suppliers and manufacturers and their ability to perform adequately;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produce our products or product candidates with advantages in turnaround times or manufacturing cost;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scientific or management personnel;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laws and regulations;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global economic and political developments on our business, including rising inflation and capital market disruptions, geopolitical conflicts, including the conflicts between Russia and Ukraine and in the Middle East, economic sanctions and economic slowdowns or recessions that may result from such developments which could harm our research and development efforts as well as the value of our common stock and our ability to access capital markets; and</w:t>
      </w:r>
    </w:p>
    <w:p>
      <w:pPr>
        <w:spacing w:after="0" w:line="7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the caption “Risk Factors.”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forward-looking statements are based on information available to us at the time of this Quarterly Report on Form 10-Q and current expectations, forecasts and assumptions, and involve a number of judgments, risks and uncertainties. 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outcome of the events described in these forward-looking statements is subject to known and unknown risks, uncertainties, and other factors. As a result of a number of known and unknown risks and uncertainties, our actual results or performance may be materially different from those expressed or implied by these forward-looking statements. Factors that could cause actual results to differ include, but are not limited to, those discussed in the section titled “Risk Factors” included within Item 1A of this Quarterly Report on Form 10-Q.</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Below is a summary of the principal factors that make an investment in our common stock speculative or risky. This summary does not address all of the risks that we face. Additional discussion of the risks summarized in this risk factor summary and other risks that we believe are material to our investors can be found below under the heading “Item 1A. Risk Factors” and should be carefully considered, together with other information in this Quarterly Report on Form 10-Q and our other filings with the Securities and Exchange Commission, or SEC, before making an investment decision regarding our common stock.</w:t>
      </w:r>
    </w:p>
    <w:p>
      <w:pPr>
        <w:spacing w:after="0" w:line="75" w:lineRule="exact"/>
        <w:rPr>
          <w:sz w:val="20"/>
          <w:szCs w:val="20"/>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 may make it difficult for you to evaluate the success of our business to date and to assess our future viability.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net losses since our inception and anticipate that we will continue to incur losses for the foreseeable future.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 products approved for commercial sale and have not generated any revenue from product sales.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existing and any future indebtedness could adversely affect our ability to operate our business.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raise substantial additional funding. If we are unable to raise capital when needed or on terms acceptable to us, we may be forced to delay, reduce, or eliminate some of our product development programs or commercialization efforts.</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yet progressed any product candidates through a Phase 3 clinical trial and may be unable to successfully complete any additional clinical trials for any product candidates we develop. Certain of our programs are still in preclinical development and may never advance to clinical development.</w:t>
      </w:r>
    </w:p>
    <w:p>
      <w:pPr>
        <w:spacing w:after="0" w:line="6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programs are focused on the development of therapeutics for patients with hematologic diseases, which is a rapidly evolving area of science, and the approach we are taking to discover and develop product candidates is novel and may never lead to approved or marketable products.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top-line, initial and preliminary data from our clinical trials that we announce or publish from time to time may change as more patient data become available and are subject to confirmation, audit, and verification procedures that could result in material changes in the final data.</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delays or difficulties in the enrollment of patients in clinical trials, our receipt of necessary regulatory approvals could be delayed or prevented.</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from early preclinical studies and clinical trials of our programs and product candidates are not necessarily predictive of the results of later preclinical studies and clinical trials of our programs and product candidates. If we cannot replicate the results from earlier preclinical studies and clinical trials of our programs and product candidates in our later preclinical studies and clinical trials, we may be unable to successfully develop, obtain regulatory approval for and commercialize our product candidates.</w:t>
      </w:r>
    </w:p>
    <w:p>
      <w:pPr>
        <w:spacing w:after="0" w:line="7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trials or those of our future collaborators may reveal significant adverse events not seen in prior preclinical studies or clinical trials and may result in a safety profile that could inhibit regulatory approval or market acceptance of any of our product candidates.</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product candidates modulate pathways for which there are currently no approved or effective therapies, which may result in greater research and development expenses, regulatory issues that could delay or prevent approval, or discovery of unknown or unanticipated adverse effects on safety or efficacy.</w:t>
      </w:r>
    </w:p>
    <w:p>
      <w:pPr>
        <w:spacing w:after="0" w:line="67" w:lineRule="exact"/>
        <w:rPr>
          <w:rFonts w:ascii="Times New Roman" w:cs="Times New Roman" w:eastAsia="Times New Roman" w:hAnsi="Times New Roman"/>
          <w:sz w:val="18"/>
          <w:szCs w:val="18"/>
          <w:color w:val="auto"/>
        </w:rPr>
      </w:pPr>
    </w:p>
    <w:p>
      <w:pPr>
        <w:jc w:val="both"/>
        <w:ind w:left="760" w:right="20" w:hanging="378"/>
        <w:spacing w:after="0" w:line="266"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conducted and are currently conducting clinical trials for bitopertin in Australia and may in the future conduct additional clinical trials of our product candidates outside the United States, and the FDA and comparable foreign regulatory authorities may not accept data from such trials.</w:t>
      </w:r>
    </w:p>
    <w:p>
      <w:pPr>
        <w:spacing w:after="0" w:line="6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obtain, or if there are delays in obtaining, required regulatory approvals for any of our product candidates, we will not be able to commercialize, or will be delayed in commercializing, such product candidates, and our ability to generate revenue will be materially impaired.</w:t>
      </w:r>
    </w:p>
    <w:p>
      <w:pPr>
        <w:spacing w:after="0" w:line="6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competition, which may result in others discovering, developing, or commercializing products before or more successfully than we do.</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current product candidates or any future product candidates do not achieve broad market acceptance, the revenue that we generate from our sales may be limited, and we may never become profitable.</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57"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conduct our clinical trials for our product candidates, as well as potential investigator-sponsored clinical trials of our product candidates. If these third parties do not successfully carry out their contractual duties, comply with regulatory requirements, or meet expected deadlines, we may not be able to obtain regulatory approval for or commercialize our product candidates and our business could be</w:t>
      </w:r>
    </w:p>
    <w:p>
      <w:pPr>
        <w:spacing w:after="0" w:line="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substantially harmed.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ind w:left="76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realize the anticipated benefits of our current collaborations with Mabwell or NIH, or any other collaborations we enter into in the future.</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contract with third parties for the manufacture of our product candidates for preclinical development and clinical testing, and expect to continue to do so for commercialization. This reliance on third parties increases the risk that we will not have sufficient quantities of our product candidates or products or such quantities at an acceptable cost, which could delay, prevent, or impair our development or commercialization efforts.</w:t>
      </w:r>
    </w:p>
    <w:p>
      <w:pPr>
        <w:spacing w:after="0" w:line="71"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patent and other intellectual property protection for our technology and product candidates, or if the scope of the intellectual property protection obtained is not sufficiently broad, our competitors could develop and commercialize technology and drugs similar or identical to ours, and our ability to successfully commercialize our technology and drugs may be impaired, and we may not be able to compete effectively in our market.</w:t>
      </w:r>
    </w:p>
    <w:p>
      <w:pPr>
        <w:spacing w:after="0" w:line="7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obtain or grant licenses or sublicenses to intellectual property rights in all markets on equally or sufficiently favorable terms with third parties.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rights do not guarantee commercial success of current or future product candidates or other business activities. Numerous factors may limit any potential competitive advantage provided by our intellectual property rights.</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regulatory approval of our product candidates in one jurisdiction does not mean that we will be successful in obtaining regulatory approval of our product candidates in other jurisdictions.</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58"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seeking approval from the FDA for bitopertin for EPP and XLP, and may seek approval for our other current or future product candidates, under the Accelerated Approval Program. If we are not able to use such program, we may be required to conduct additional clinical trials beyond those that are contemplated, which would increase the expense of obtaining, and delay the receipt of, necessary marketing approvals, if we receive them at all. In addition, even if the Accelerated Approval Program is available to us, it may not ultimately lead to expedited approval of our product candidates, or approval at all.</w:t>
      </w:r>
    </w:p>
    <w:p>
      <w:pPr>
        <w:spacing w:after="0" w:line="7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received a Commissioner’s National Priority Voucher for bitopertin. We may not be able to fully realize the benefits of such a voucher, including a potentially accelerated timeline for review of our NDA submission for bitopertin in EPP and XLP by the FDA.</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funding for the NIH, CMS, FDA, the SEC and other government agencies, including from government shut downs, or other disruptions to these agencies’ operations, including significant leadership, personnel, or policy changes, could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7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success depends on our ability to retain key executives and experienced scientists and to attract, retain, and motivate qualified personnel.</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developments affecting the financial services industry, such as actual events or concerns involving liquidity, defaults, or non-performance by financial institutions or transactional counterparties, could adversely affect the Company’s current and projected business operations and its financial condition and results of operations.</w:t>
      </w:r>
    </w:p>
    <w:p>
      <w:pPr>
        <w:spacing w:after="0" w:line="6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political, trade or regulatory developments, unfavorable global economic conditions, and other circumstances beyond our control, could have a material adverse effect on our business, financial condition or results of operations.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stock is expected to be volatile.</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and will continue to incur increased costs and increased demands upon management as a result of complying with the laws and regulations affecting public companies.</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a material weakness in our internal controls over financial reporting and may identify additional material weaknesses in the future or otherwise fail to maintain an effective system of internal controls, which may result in material misstatements of our consolidated financial statements or cause us to fail to meet our periodic reporting obligations.</w:t>
      </w:r>
    </w:p>
    <w:p>
      <w:pPr>
        <w:spacing w:after="0" w:line="6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section contains forward-looking statements. You should refer to the explanation of the qualifications and limitations on forward-looking statements beginning on page 1.</w:t>
      </w: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8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80" w:type="dxa"/>
            <w:vAlign w:val="bottom"/>
          </w:tcPr>
          <w:p>
            <w:pPr>
              <w:spacing w:after="0"/>
              <w:rPr>
                <w:sz w:val="13"/>
                <w:szCs w:val="13"/>
                <w:color w:val="auto"/>
              </w:rPr>
            </w:pPr>
          </w:p>
        </w:tc>
        <w:tc>
          <w:tcPr>
            <w:tcW w:w="164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71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140,664</w:t>
            </w: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192,434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475,256</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297,447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11,248</w:t>
            </w:r>
          </w:p>
        </w:tc>
        <w:tc>
          <w:tcPr>
            <w:tcW w:w="3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627,168</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493,615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operating leases</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3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630,456</w:t>
            </w:r>
          </w:p>
        </w:tc>
        <w:tc>
          <w:tcPr>
            <w:tcW w:w="32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496,773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1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8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7,268</w:t>
            </w: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external research and development expenses</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7,705</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accrued expenses</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11,115</w:t>
            </w: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3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26,744</w:t>
            </w: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28,948</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8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3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57,065</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14)</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16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10,000,000 shares authorized, no shares issued or</w:t>
            </w:r>
          </w:p>
        </w:tc>
        <w:tc>
          <w:tcPr>
            <w:tcW w:w="280" w:type="dxa"/>
            <w:vAlign w:val="bottom"/>
            <w:shd w:val="clear" w:color="auto" w:fill="CFF0FC"/>
          </w:tcPr>
          <w:p>
            <w:pPr>
              <w:spacing w:after="0"/>
              <w:rPr>
                <w:sz w:val="17"/>
                <w:szCs w:val="17"/>
                <w:color w:val="auto"/>
              </w:rPr>
            </w:pPr>
          </w:p>
        </w:tc>
        <w:tc>
          <w:tcPr>
            <w:tcW w:w="1880" w:type="dxa"/>
            <w:vAlign w:val="bottom"/>
            <w:gridSpan w:val="2"/>
            <w:vMerge w:val="restart"/>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7"/>
                <w:szCs w:val="17"/>
                <w:color w:val="auto"/>
              </w:rPr>
            </w:pPr>
          </w:p>
        </w:tc>
        <w:tc>
          <w:tcPr>
            <w:tcW w:w="16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6"/>
        </w:trPr>
        <w:tc>
          <w:tcPr>
            <w:tcW w:w="7160" w:type="dxa"/>
            <w:vAlign w:val="bottom"/>
            <w:vMerge w:val="restart"/>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outstanding as of September 30, 2025 and December 31, 2024</w:t>
            </w:r>
          </w:p>
        </w:tc>
        <w:tc>
          <w:tcPr>
            <w:tcW w:w="280" w:type="dxa"/>
            <w:vAlign w:val="bottom"/>
            <w:shd w:val="clear" w:color="auto" w:fill="CFF0FC"/>
          </w:tcPr>
          <w:p>
            <w:pPr>
              <w:spacing w:after="0"/>
              <w:rPr>
                <w:sz w:val="10"/>
                <w:szCs w:val="10"/>
                <w:color w:val="auto"/>
              </w:rPr>
            </w:pPr>
          </w:p>
        </w:tc>
        <w:tc>
          <w:tcPr>
            <w:tcW w:w="1880" w:type="dxa"/>
            <w:vAlign w:val="bottom"/>
            <w:gridSpan w:val="2"/>
            <w:vMerge w:val="continue"/>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64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160" w:type="dxa"/>
            <w:vAlign w:val="bottom"/>
            <w:vMerge w:val="continue"/>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56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5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716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$0.0001 par value; 100,000,000 shares authorized as of September 30, 2025</w:t>
            </w:r>
          </w:p>
        </w:tc>
        <w:tc>
          <w:tcPr>
            <w:tcW w:w="2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December 31, 2024; 35,006,636 and 29,865,030 shares issued and outstanding as of</w:t>
            </w: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September 30, 2025 and December 31, 2024, respectively</w:t>
            </w:r>
          </w:p>
        </w:tc>
        <w:tc>
          <w:tcPr>
            <w:tcW w:w="2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1,022,324</w:t>
            </w: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741,297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(449,655)</w:t>
            </w:r>
          </w:p>
        </w:tc>
        <w:tc>
          <w:tcPr>
            <w:tcW w:w="28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(298,002)</w:t>
            </w:r>
          </w:p>
        </w:tc>
        <w:tc>
          <w:tcPr>
            <w:tcW w:w="0" w:type="dxa"/>
            <w:vAlign w:val="bottom"/>
          </w:tcPr>
          <w:p>
            <w:pPr>
              <w:spacing w:after="0"/>
              <w:rPr>
                <w:sz w:val="1"/>
                <w:szCs w:val="1"/>
                <w:color w:val="auto"/>
              </w:rPr>
            </w:pPr>
          </w:p>
        </w:tc>
      </w:tr>
      <w:tr>
        <w:trPr>
          <w:trHeight w:val="210"/>
        </w:trPr>
        <w:tc>
          <w:tcPr>
            <w:tcW w:w="7160" w:type="dxa"/>
            <w:vAlign w:val="bottom"/>
            <w:tcBorders>
              <w:top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573,391</w:t>
            </w:r>
          </w:p>
        </w:tc>
        <w:tc>
          <w:tcPr>
            <w:tcW w:w="320" w:type="dxa"/>
            <w:vAlign w:val="bottom"/>
            <w:tcBorders>
              <w:top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443,587</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630,456</w:t>
            </w:r>
          </w:p>
        </w:tc>
        <w:tc>
          <w:tcPr>
            <w:tcW w:w="3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496,773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-3805555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-3805555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-3248660</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-3248660</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-1833880</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-1833880</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-316865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-25400</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-8255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4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4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7"/>
                <w:szCs w:val="17"/>
                <w:color w:val="auto"/>
              </w:rPr>
            </w:pPr>
          </w:p>
        </w:tc>
      </w:tr>
      <w:tr>
        <w:trPr>
          <w:trHeight w:val="209"/>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50,334</w:t>
            </w:r>
          </w:p>
        </w:tc>
        <w:tc>
          <w:tcPr>
            <w:tcW w:w="28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24,685</w:t>
            </w:r>
          </w:p>
        </w:tc>
        <w:tc>
          <w:tcPr>
            <w:tcW w:w="16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124,416</w:t>
            </w:r>
          </w:p>
        </w:tc>
        <w:tc>
          <w:tcPr>
            <w:tcW w:w="240" w:type="dxa"/>
            <w:vAlign w:val="bottom"/>
          </w:tcPr>
          <w:p>
            <w:pPr>
              <w:spacing w:after="0"/>
              <w:rPr>
                <w:sz w:val="18"/>
                <w:szCs w:val="18"/>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71,874</w:t>
            </w:r>
          </w:p>
        </w:tc>
        <w:tc>
          <w:tcPr>
            <w:tcW w:w="100" w:type="dxa"/>
            <w:vAlign w:val="bottom"/>
          </w:tcPr>
          <w:p>
            <w:pPr>
              <w:spacing w:after="0"/>
              <w:rPr>
                <w:sz w:val="18"/>
                <w:szCs w:val="18"/>
                <w:color w:val="auto"/>
              </w:rPr>
            </w:pPr>
          </w:p>
        </w:tc>
      </w:tr>
      <w:tr>
        <w:trPr>
          <w:trHeight w:val="216"/>
        </w:trPr>
        <w:tc>
          <w:tcPr>
            <w:tcW w:w="48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17,362</w:t>
            </w:r>
          </w:p>
        </w:tc>
        <w:tc>
          <w:tcPr>
            <w:tcW w:w="28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8,171</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44,636</w:t>
            </w:r>
          </w:p>
        </w:tc>
        <w:tc>
          <w:tcPr>
            <w:tcW w:w="24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23,296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67,696</w:t>
            </w:r>
          </w:p>
        </w:tc>
        <w:tc>
          <w:tcPr>
            <w:tcW w:w="2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32,856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169,052</w:t>
            </w:r>
          </w:p>
        </w:tc>
        <w:tc>
          <w:tcPr>
            <w:tcW w:w="24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95,170</w:t>
            </w:r>
          </w:p>
        </w:tc>
        <w:tc>
          <w:tcPr>
            <w:tcW w:w="100" w:type="dxa"/>
            <w:vAlign w:val="bottom"/>
          </w:tcPr>
          <w:p>
            <w:pPr>
              <w:spacing w:after="0"/>
              <w:rPr>
                <w:sz w:val="18"/>
                <w:szCs w:val="18"/>
                <w:color w:val="auto"/>
              </w:rPr>
            </w:pPr>
          </w:p>
        </w:tc>
      </w:tr>
      <w:tr>
        <w:trPr>
          <w:trHeight w:val="210"/>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(67,696)</w:t>
            </w:r>
          </w:p>
        </w:tc>
        <w:tc>
          <w:tcPr>
            <w:tcW w:w="5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(32,856)</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(169,052)</w:t>
            </w:r>
          </w:p>
        </w:tc>
        <w:tc>
          <w:tcPr>
            <w:tcW w:w="5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(95,170)</w:t>
            </w: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6,412</w:t>
            </w: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6,362</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20,349</w:t>
            </w:r>
          </w:p>
        </w:tc>
        <w:tc>
          <w:tcPr>
            <w:tcW w:w="2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15,454</w:t>
            </w:r>
          </w:p>
        </w:tc>
        <w:tc>
          <w:tcPr>
            <w:tcW w:w="100" w:type="dxa"/>
            <w:vAlign w:val="bottom"/>
            <w:shd w:val="clear" w:color="auto" w:fill="CFF0FC"/>
          </w:tcPr>
          <w:p>
            <w:pPr>
              <w:spacing w:after="0"/>
              <w:rPr>
                <w:sz w:val="18"/>
                <w:szCs w:val="18"/>
                <w:color w:val="auto"/>
              </w:rPr>
            </w:pPr>
          </w:p>
        </w:tc>
      </w:tr>
      <w:tr>
        <w:trPr>
          <w:trHeight w:val="216"/>
        </w:trPr>
        <w:tc>
          <w:tcPr>
            <w:tcW w:w="4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(917)</w:t>
            </w:r>
          </w:p>
        </w:tc>
        <w:tc>
          <w:tcPr>
            <w:tcW w:w="5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(2,724)</w:t>
            </w:r>
          </w:p>
        </w:tc>
        <w:tc>
          <w:tcPr>
            <w:tcW w:w="5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income (expense)</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5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r>
      <w:tr>
        <w:trPr>
          <w:trHeight w:val="210"/>
        </w:trPr>
        <w:tc>
          <w:tcPr>
            <w:tcW w:w="4840" w:type="dxa"/>
            <w:vAlign w:val="bottom"/>
            <w:tcBorders>
              <w:top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40" w:type="dxa"/>
            <w:vAlign w:val="bottom"/>
            <w:tcBorders>
              <w:top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5,477</w:t>
            </w:r>
          </w:p>
        </w:tc>
        <w:tc>
          <w:tcPr>
            <w:tcW w:w="280" w:type="dxa"/>
            <w:vAlign w:val="bottom"/>
            <w:tcBorders>
              <w:top w:val="single" w:sz="8" w:color="CFF0FC"/>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6,371</w:t>
            </w:r>
          </w:p>
        </w:tc>
        <w:tc>
          <w:tcPr>
            <w:tcW w:w="16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17,672</w:t>
            </w:r>
          </w:p>
        </w:tc>
        <w:tc>
          <w:tcPr>
            <w:tcW w:w="240" w:type="dxa"/>
            <w:vAlign w:val="bottom"/>
            <w:tcBorders>
              <w:top w:val="single" w:sz="8" w:color="CFF0FC"/>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15,449</w:t>
            </w:r>
          </w:p>
        </w:tc>
        <w:tc>
          <w:tcPr>
            <w:tcW w:w="100" w:type="dxa"/>
            <w:vAlign w:val="bottom"/>
            <w:tcBorders>
              <w:top w:val="single" w:sz="8" w:color="CFF0FC"/>
            </w:tcBorders>
          </w:tcPr>
          <w:p>
            <w:pPr>
              <w:spacing w:after="0"/>
              <w:rPr>
                <w:sz w:val="18"/>
                <w:szCs w:val="18"/>
                <w:color w:val="auto"/>
              </w:rPr>
            </w:pPr>
          </w:p>
        </w:tc>
      </w:tr>
      <w:tr>
        <w:trPr>
          <w:trHeight w:val="209"/>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(62,219)</w:t>
            </w:r>
          </w:p>
        </w:tc>
        <w:tc>
          <w:tcPr>
            <w:tcW w:w="5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(26,485)</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(151,380)</w:t>
            </w:r>
          </w:p>
        </w:tc>
        <w:tc>
          <w:tcPr>
            <w:tcW w:w="5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(79,721)</w:t>
            </w:r>
          </w:p>
        </w:tc>
      </w:tr>
      <w:tr>
        <w:trPr>
          <w:trHeight w:val="216"/>
        </w:trPr>
        <w:tc>
          <w:tcPr>
            <w:tcW w:w="4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w:t>
            </w:r>
          </w:p>
        </w:tc>
        <w:tc>
          <w:tcPr>
            <w:tcW w:w="5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(273)</w:t>
            </w:r>
          </w:p>
        </w:tc>
        <w:tc>
          <w:tcPr>
            <w:tcW w:w="5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(179)</w:t>
            </w:r>
          </w:p>
        </w:tc>
      </w:tr>
      <w:tr>
        <w:trPr>
          <w:trHeight w:val="20"/>
        </w:trPr>
        <w:tc>
          <w:tcPr>
            <w:tcW w:w="4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(62,321)</w:t>
            </w: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(26,599)</w:t>
            </w: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(151,653)</w:t>
            </w:r>
          </w:p>
        </w:tc>
        <w:tc>
          <w:tcPr>
            <w:tcW w:w="5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(79,900)</w:t>
            </w:r>
          </w:p>
        </w:tc>
      </w:tr>
      <w:tr>
        <w:trPr>
          <w:trHeight w:val="20"/>
        </w:trPr>
        <w:tc>
          <w:tcPr>
            <w:tcW w:w="48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4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(1.77)</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(0.89)</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(4.39)</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(2.98)</w:t>
            </w:r>
          </w:p>
        </w:tc>
      </w:tr>
      <w:tr>
        <w:trPr>
          <w:trHeight w:val="20"/>
        </w:trPr>
        <w:tc>
          <w:tcPr>
            <w:tcW w:w="4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484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1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35,178,691</w:t>
            </w:r>
          </w:p>
        </w:tc>
        <w:tc>
          <w:tcPr>
            <w:tcW w:w="28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98"/>
              </w:rPr>
              <w:t>29,935,551</w:t>
            </w:r>
          </w:p>
        </w:tc>
        <w:tc>
          <w:tcPr>
            <w:tcW w:w="16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34,516,134</w:t>
            </w:r>
          </w:p>
        </w:tc>
        <w:tc>
          <w:tcPr>
            <w:tcW w:w="24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98"/>
              </w:rPr>
              <w:t>26,809,605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97"/>
        </w:trPr>
        <w:tc>
          <w:tcPr>
            <w:tcW w:w="4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4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(62,321)</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(26,599)</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(151,653)</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(79,900)</w:t>
            </w:r>
          </w:p>
        </w:tc>
      </w:tr>
      <w:tr>
        <w:trPr>
          <w:trHeight w:val="216"/>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5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48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Unrealized gain on marketable securities</w:t>
            </w:r>
          </w:p>
        </w:tc>
        <w:tc>
          <w:tcPr>
            <w:tcW w:w="1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28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24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other comprehensive income</w:t>
            </w: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2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24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00" w:type="dxa"/>
            <w:vAlign w:val="bottom"/>
          </w:tcPr>
          <w:p>
            <w:pPr>
              <w:spacing w:after="0"/>
              <w:rPr>
                <w:sz w:val="18"/>
                <w:szCs w:val="18"/>
                <w:color w:val="auto"/>
              </w:rPr>
            </w:pPr>
          </w:p>
        </w:tc>
      </w:tr>
      <w:tr>
        <w:trPr>
          <w:trHeight w:val="229"/>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(61,876)</w:t>
            </w: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(25,798)</w:t>
            </w: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(151,224)</w:t>
            </w:r>
          </w:p>
        </w:tc>
        <w:tc>
          <w:tcPr>
            <w:tcW w:w="5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(79,159)</w:t>
            </w:r>
          </w:p>
        </w:tc>
      </w:tr>
      <w:tr>
        <w:trPr>
          <w:trHeight w:val="20"/>
        </w:trPr>
        <w:tc>
          <w:tcPr>
            <w:tcW w:w="48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-2887980</wp:posOffset>
            </wp:positionV>
            <wp:extent cx="768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-2887980</wp:posOffset>
            </wp:positionV>
            <wp:extent cx="768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-2887980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-2887980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-2048510</wp:posOffset>
            </wp:positionV>
            <wp:extent cx="7683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-2048510</wp:posOffset>
            </wp:positionV>
            <wp:extent cx="7683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-2048510</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-2048510</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-1473835</wp:posOffset>
            </wp:positionV>
            <wp:extent cx="768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-1473835</wp:posOffset>
            </wp:positionV>
            <wp:extent cx="768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-1473835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-1473835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-1165225</wp:posOffset>
            </wp:positionV>
            <wp:extent cx="768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-1148080</wp:posOffset>
            </wp:positionV>
            <wp:extent cx="768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-1165225</wp:posOffset>
            </wp:positionV>
            <wp:extent cx="768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-1148080</wp:posOffset>
            </wp:positionV>
            <wp:extent cx="768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-1165225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-1148080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-1165225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-1148080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-316865</wp:posOffset>
            </wp:positionV>
            <wp:extent cx="768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-316865</wp:posOffset>
            </wp:positionV>
            <wp:extent cx="768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-316865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-25400</wp:posOffset>
            </wp:positionV>
            <wp:extent cx="7683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-8255</wp:posOffset>
            </wp:positionV>
            <wp:extent cx="7683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-25400</wp:posOffset>
            </wp:positionV>
            <wp:extent cx="7683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-8255</wp:posOffset>
            </wp:positionV>
            <wp:extent cx="768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-25400</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-8255</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00" w:type="dxa"/>
            <w:vAlign w:val="bottom"/>
          </w:tcPr>
          <w:p>
            <w:pPr>
              <w:spacing w:after="0"/>
              <w:rPr>
                <w:sz w:val="12"/>
                <w:szCs w:val="12"/>
                <w:color w:val="auto"/>
              </w:rPr>
            </w:pPr>
          </w:p>
        </w:tc>
        <w:tc>
          <w:tcPr>
            <w:tcW w:w="2080" w:type="dxa"/>
            <w:vAlign w:val="bottom"/>
            <w:gridSpan w:val="3"/>
            <w:vMerge w:val="restart"/>
          </w:tcPr>
          <w:p>
            <w:pPr>
              <w:jc w:val="right"/>
              <w:ind w:right="45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center"/>
              <w:ind w:right="149"/>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800" w:type="dxa"/>
            <w:vAlign w:val="bottom"/>
          </w:tcPr>
          <w:p>
            <w:pPr>
              <w:spacing w:after="0"/>
              <w:rPr>
                <w:sz w:val="11"/>
                <w:szCs w:val="11"/>
                <w:color w:val="auto"/>
              </w:rPr>
            </w:pPr>
          </w:p>
        </w:tc>
        <w:tc>
          <w:tcPr>
            <w:tcW w:w="2080" w:type="dxa"/>
            <w:vAlign w:val="bottom"/>
            <w:gridSpan w:val="3"/>
            <w:vMerge w:val="continue"/>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right"/>
              <w:ind w:right="289"/>
              <w:spacing w:after="0" w:line="128"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jc w:val="center"/>
              <w:ind w:right="109"/>
              <w:spacing w:after="0" w:line="128"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jc w:val="center"/>
              <w:ind w:right="189"/>
              <w:spacing w:after="0" w:line="128"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2080" w:type="dxa"/>
            <w:vAlign w:val="bottom"/>
            <w:tcBorders>
              <w:bottom w:val="single" w:sz="8" w:color="auto"/>
            </w:tcBorders>
            <w:gridSpan w:val="3"/>
          </w:tcPr>
          <w:p>
            <w:pPr>
              <w:jc w:val="right"/>
              <w:ind w:right="377"/>
              <w:spacing w:after="0"/>
              <w:rPr>
                <w:sz w:val="20"/>
                <w:szCs w:val="20"/>
                <w:color w:val="auto"/>
              </w:rPr>
            </w:pPr>
            <w:r>
              <w:rPr>
                <w:rFonts w:ascii="Times New Roman" w:cs="Times New Roman" w:eastAsia="Times New Roman" w:hAnsi="Times New Roman"/>
                <w:sz w:val="13"/>
                <w:szCs w:val="13"/>
                <w:b w:val="1"/>
                <w:bCs w:val="1"/>
                <w:color w:val="auto"/>
              </w:rPr>
              <w:t>$0.0001 Par Value</w:t>
            </w:r>
          </w:p>
        </w:tc>
        <w:tc>
          <w:tcPr>
            <w:tcW w:w="3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ind w:right="349"/>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center"/>
              <w:ind w:right="109"/>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ind w:right="169"/>
              <w:spacing w:after="0"/>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210"/>
        </w:trPr>
        <w:tc>
          <w:tcPr>
            <w:tcW w:w="3800" w:type="dxa"/>
            <w:vAlign w:val="bottom"/>
          </w:tcPr>
          <w:p>
            <w:pPr>
              <w:spacing w:after="0"/>
              <w:rPr>
                <w:sz w:val="18"/>
                <w:szCs w:val="18"/>
                <w:color w:val="auto"/>
              </w:rPr>
            </w:pPr>
          </w:p>
        </w:tc>
        <w:tc>
          <w:tcPr>
            <w:tcW w:w="118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8"/>
                <w:szCs w:val="18"/>
                <w:color w:val="auto"/>
              </w:rPr>
            </w:pPr>
          </w:p>
        </w:tc>
        <w:tc>
          <w:tcPr>
            <w:tcW w:w="8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3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109"/>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89"/>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89"/>
        </w:trPr>
        <w:tc>
          <w:tcPr>
            <w:tcW w:w="3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1180" w:type="dxa"/>
            <w:vAlign w:val="bottom"/>
            <w:tcBorders>
              <w:bottom w:val="single" w:sz="8" w:color="CFF0FC"/>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29,865,030</w:t>
            </w:r>
          </w:p>
        </w:tc>
        <w:tc>
          <w:tcPr>
            <w:tcW w:w="900" w:type="dxa"/>
            <w:vAlign w:val="bottom"/>
            <w:tcBorders>
              <w:bottom w:val="single" w:sz="8" w:color="CFF0FC"/>
            </w:tcBorders>
            <w:gridSpan w:val="2"/>
            <w:shd w:val="clear" w:color="auto" w:fill="CFF0FC"/>
          </w:tcPr>
          <w:p>
            <w:pPr>
              <w:jc w:val="right"/>
              <w:ind w:right="657"/>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24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FF0FC"/>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741,297</w:t>
            </w:r>
          </w:p>
        </w:tc>
        <w:tc>
          <w:tcPr>
            <w:tcW w:w="1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FF0FC"/>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289</w:t>
            </w:r>
          </w:p>
        </w:tc>
        <w:tc>
          <w:tcPr>
            <w:tcW w:w="22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(298,002)</w:t>
            </w:r>
          </w:p>
        </w:tc>
        <w:tc>
          <w:tcPr>
            <w:tcW w:w="22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FF0FC"/>
            </w:tcBorders>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443,587</w:t>
            </w:r>
          </w:p>
        </w:tc>
        <w:tc>
          <w:tcPr>
            <w:tcW w:w="0" w:type="dxa"/>
            <w:vAlign w:val="bottom"/>
          </w:tcPr>
          <w:p>
            <w:pPr>
              <w:spacing w:after="0"/>
              <w:rPr>
                <w:sz w:val="1"/>
                <w:szCs w:val="1"/>
                <w:color w:val="auto"/>
              </w:rPr>
            </w:pPr>
          </w:p>
        </w:tc>
      </w:tr>
      <w:tr>
        <w:trPr>
          <w:trHeight w:val="193"/>
        </w:trPr>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11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91,524</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575</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575</w:t>
            </w:r>
          </w:p>
        </w:tc>
        <w:tc>
          <w:tcPr>
            <w:tcW w:w="0" w:type="dxa"/>
            <w:vAlign w:val="bottom"/>
          </w:tcPr>
          <w:p>
            <w:pPr>
              <w:spacing w:after="0"/>
              <w:rPr>
                <w:sz w:val="1"/>
                <w:szCs w:val="1"/>
                <w:color w:val="auto"/>
              </w:rPr>
            </w:pPr>
          </w:p>
        </w:tc>
      </w:tr>
      <w:tr>
        <w:trPr>
          <w:trHeight w:val="23"/>
        </w:trPr>
        <w:tc>
          <w:tcPr>
            <w:tcW w:w="38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Issuance of common stock upon vesting of restricted stock units</w:t>
            </w:r>
          </w:p>
        </w:tc>
        <w:tc>
          <w:tcPr>
            <w:tcW w:w="1180" w:type="dxa"/>
            <w:vAlign w:val="bottom"/>
            <w:tcBorders>
              <w:bottom w:val="single" w:sz="8" w:color="CFF0FC"/>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83,672</w:t>
            </w:r>
          </w:p>
        </w:tc>
        <w:tc>
          <w:tcPr>
            <w:tcW w:w="10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CFF0FC"/>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Issuance of common stock under employee stock purchase plan</w:t>
            </w:r>
          </w:p>
        </w:tc>
        <w:tc>
          <w:tcPr>
            <w:tcW w:w="11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7,814</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287</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287</w:t>
            </w:r>
          </w:p>
        </w:tc>
        <w:tc>
          <w:tcPr>
            <w:tcW w:w="0" w:type="dxa"/>
            <w:vAlign w:val="bottom"/>
          </w:tcPr>
          <w:p>
            <w:pPr>
              <w:spacing w:after="0"/>
              <w:rPr>
                <w:sz w:val="1"/>
                <w:szCs w:val="1"/>
                <w:color w:val="auto"/>
              </w:rPr>
            </w:pPr>
          </w:p>
        </w:tc>
      </w:tr>
      <w:tr>
        <w:trPr>
          <w:trHeight w:val="23"/>
        </w:trPr>
        <w:tc>
          <w:tcPr>
            <w:tcW w:w="38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380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Sale of common stock in underwritten offering,</w:t>
            </w:r>
          </w:p>
        </w:tc>
        <w:tc>
          <w:tcPr>
            <w:tcW w:w="118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4,533,182</w:t>
            </w:r>
          </w:p>
        </w:tc>
        <w:tc>
          <w:tcPr>
            <w:tcW w:w="1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3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234,003</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6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2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100" w:type="dxa"/>
            <w:vAlign w:val="bottom"/>
            <w:vMerge w:val="restart"/>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234,003</w:t>
            </w:r>
          </w:p>
        </w:tc>
        <w:tc>
          <w:tcPr>
            <w:tcW w:w="0" w:type="dxa"/>
            <w:vAlign w:val="bottom"/>
          </w:tcPr>
          <w:p>
            <w:pPr>
              <w:spacing w:after="0"/>
              <w:rPr>
                <w:sz w:val="1"/>
                <w:szCs w:val="1"/>
                <w:color w:val="auto"/>
              </w:rPr>
            </w:pPr>
          </w:p>
        </w:tc>
      </w:tr>
      <w:tr>
        <w:trPr>
          <w:trHeight w:val="107"/>
        </w:trPr>
        <w:tc>
          <w:tcPr>
            <w:tcW w:w="3800" w:type="dxa"/>
            <w:vAlign w:val="bottom"/>
            <w:vMerge w:val="restart"/>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net of issuance costs of $15,321</w:t>
            </w:r>
          </w:p>
        </w:tc>
        <w:tc>
          <w:tcPr>
            <w:tcW w:w="1180" w:type="dxa"/>
            <w:vAlign w:val="bottom"/>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32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0" w:type="dxa"/>
            <w:vAlign w:val="bottom"/>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6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20" w:type="dxa"/>
            <w:vAlign w:val="bottom"/>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100" w:type="dxa"/>
            <w:vAlign w:val="bottom"/>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3800" w:type="dxa"/>
            <w:vAlign w:val="bottom"/>
            <w:vMerge w:val="continue"/>
            <w:shd w:val="clear" w:color="auto" w:fill="CFF0FC"/>
          </w:tcPr>
          <w:p>
            <w:pPr>
              <w:spacing w:after="0"/>
              <w:rPr>
                <w:sz w:val="5"/>
                <w:szCs w:val="5"/>
                <w:color w:val="auto"/>
              </w:rPr>
            </w:pPr>
          </w:p>
        </w:tc>
        <w:tc>
          <w:tcPr>
            <w:tcW w:w="118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800" w:type="dxa"/>
            <w:vAlign w:val="bottom"/>
            <w:shd w:val="clear" w:color="auto" w:fill="CFF0FC"/>
          </w:tcPr>
          <w:p>
            <w:pPr>
              <w:spacing w:after="0"/>
              <w:rPr>
                <w:sz w:val="5"/>
                <w:szCs w:val="5"/>
                <w:color w:val="auto"/>
              </w:rPr>
            </w:pPr>
          </w:p>
        </w:tc>
        <w:tc>
          <w:tcPr>
            <w:tcW w:w="3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00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106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102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38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Sale of pre-funded warrants in underwritten offering,</w:t>
            </w:r>
          </w:p>
        </w:tc>
        <w:tc>
          <w:tcPr>
            <w:tcW w:w="118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9,386</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color w:val="auto"/>
              </w:rPr>
              <w:t>9,386</w:t>
            </w:r>
          </w:p>
        </w:tc>
        <w:tc>
          <w:tcPr>
            <w:tcW w:w="0" w:type="dxa"/>
            <w:vAlign w:val="bottom"/>
          </w:tcPr>
          <w:p>
            <w:pPr>
              <w:spacing w:after="0"/>
              <w:rPr>
                <w:sz w:val="1"/>
                <w:szCs w:val="1"/>
                <w:color w:val="auto"/>
              </w:rPr>
            </w:pPr>
          </w:p>
        </w:tc>
      </w:tr>
      <w:tr>
        <w:trPr>
          <w:trHeight w:val="107"/>
        </w:trPr>
        <w:tc>
          <w:tcPr>
            <w:tcW w:w="380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net of issuance costs of $615</w:t>
            </w:r>
          </w:p>
        </w:tc>
        <w:tc>
          <w:tcPr>
            <w:tcW w:w="11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3800" w:type="dxa"/>
            <w:vAlign w:val="bottom"/>
            <w:vMerge w:val="continue"/>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38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18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32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6,363</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6,363</w:t>
            </w:r>
          </w:p>
        </w:tc>
        <w:tc>
          <w:tcPr>
            <w:tcW w:w="0" w:type="dxa"/>
            <w:vAlign w:val="bottom"/>
          </w:tcPr>
          <w:p>
            <w:pPr>
              <w:spacing w:after="0"/>
              <w:rPr>
                <w:sz w:val="1"/>
                <w:szCs w:val="1"/>
                <w:color w:val="auto"/>
              </w:rPr>
            </w:pPr>
          </w:p>
        </w:tc>
      </w:tr>
      <w:tr>
        <w:trPr>
          <w:trHeight w:val="148"/>
        </w:trPr>
        <w:tc>
          <w:tcPr>
            <w:tcW w:w="3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adjustments</w:t>
            </w:r>
          </w:p>
        </w:tc>
        <w:tc>
          <w:tcPr>
            <w:tcW w:w="118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48"/>
        </w:trPr>
        <w:tc>
          <w:tcPr>
            <w:tcW w:w="38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Unrealized gain on marketable securities</w:t>
            </w:r>
          </w:p>
        </w:tc>
        <w:tc>
          <w:tcPr>
            <w:tcW w:w="118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32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232</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232</w:t>
            </w:r>
          </w:p>
        </w:tc>
        <w:tc>
          <w:tcPr>
            <w:tcW w:w="0" w:type="dxa"/>
            <w:vAlign w:val="bottom"/>
          </w:tcPr>
          <w:p>
            <w:pPr>
              <w:spacing w:after="0"/>
              <w:rPr>
                <w:sz w:val="1"/>
                <w:szCs w:val="1"/>
                <w:color w:val="auto"/>
              </w:rPr>
            </w:pPr>
          </w:p>
        </w:tc>
      </w:tr>
      <w:tr>
        <w:trPr>
          <w:trHeight w:val="148"/>
        </w:trPr>
        <w:tc>
          <w:tcPr>
            <w:tcW w:w="3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180" w:type="dxa"/>
            <w:vAlign w:val="bottom"/>
            <w:tcBorders>
              <w:bottom w:val="single" w:sz="8" w:color="auto"/>
            </w:tcBorders>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(34,085)</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(34,085)</w:t>
            </w:r>
          </w:p>
        </w:tc>
        <w:tc>
          <w:tcPr>
            <w:tcW w:w="0" w:type="dxa"/>
            <w:vAlign w:val="bottom"/>
          </w:tcPr>
          <w:p>
            <w:pPr>
              <w:spacing w:after="0"/>
              <w:rPr>
                <w:sz w:val="1"/>
                <w:szCs w:val="1"/>
                <w:color w:val="auto"/>
              </w:rPr>
            </w:pPr>
          </w:p>
        </w:tc>
      </w:tr>
      <w:tr>
        <w:trPr>
          <w:trHeight w:val="255"/>
        </w:trPr>
        <w:tc>
          <w:tcPr>
            <w:tcW w:w="3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Balance at March 31, 2025</w:t>
            </w:r>
          </w:p>
        </w:tc>
        <w:tc>
          <w:tcPr>
            <w:tcW w:w="1180" w:type="dxa"/>
            <w:vAlign w:val="bottom"/>
            <w:tcBorders>
              <w:bottom w:val="single" w:sz="8" w:color="CFF0FC"/>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34,581,222</w:t>
            </w:r>
          </w:p>
        </w:tc>
        <w:tc>
          <w:tcPr>
            <w:tcW w:w="900" w:type="dxa"/>
            <w:vAlign w:val="bottom"/>
            <w:tcBorders>
              <w:bottom w:val="single" w:sz="8" w:color="CFF0FC"/>
            </w:tcBorders>
            <w:gridSpan w:val="2"/>
            <w:shd w:val="clear" w:color="auto" w:fill="CFF0FC"/>
          </w:tcPr>
          <w:p>
            <w:pPr>
              <w:jc w:val="right"/>
              <w:ind w:right="657"/>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24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FF0FC"/>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991,911</w:t>
            </w:r>
          </w:p>
        </w:tc>
        <w:tc>
          <w:tcPr>
            <w:tcW w:w="1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FF0FC"/>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535</w:t>
            </w:r>
          </w:p>
        </w:tc>
        <w:tc>
          <w:tcPr>
            <w:tcW w:w="22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(332,087)</w:t>
            </w:r>
          </w:p>
        </w:tc>
        <w:tc>
          <w:tcPr>
            <w:tcW w:w="22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FF0FC"/>
            </w:tcBorders>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660,362</w:t>
            </w:r>
          </w:p>
        </w:tc>
        <w:tc>
          <w:tcPr>
            <w:tcW w:w="0" w:type="dxa"/>
            <w:vAlign w:val="bottom"/>
          </w:tcPr>
          <w:p>
            <w:pPr>
              <w:spacing w:after="0"/>
              <w:rPr>
                <w:sz w:val="1"/>
                <w:szCs w:val="1"/>
                <w:color w:val="auto"/>
              </w:rPr>
            </w:pPr>
          </w:p>
        </w:tc>
      </w:tr>
      <w:tr>
        <w:trPr>
          <w:trHeight w:val="173"/>
        </w:trPr>
        <w:tc>
          <w:tcPr>
            <w:tcW w:w="38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118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110,230</w:t>
            </w:r>
          </w:p>
        </w:tc>
        <w:tc>
          <w:tcPr>
            <w:tcW w:w="100" w:type="dxa"/>
            <w:vAlign w:val="bottom"/>
            <w:tcBorders>
              <w:top w:val="single" w:sz="8" w:color="CFF0FC"/>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892</w:t>
            </w:r>
          </w:p>
        </w:tc>
        <w:tc>
          <w:tcPr>
            <w:tcW w:w="100" w:type="dxa"/>
            <w:vAlign w:val="bottom"/>
            <w:tcBorders>
              <w:top w:val="single" w:sz="8" w:color="CFF0FC"/>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892</w:t>
            </w:r>
          </w:p>
        </w:tc>
        <w:tc>
          <w:tcPr>
            <w:tcW w:w="0" w:type="dxa"/>
            <w:vAlign w:val="bottom"/>
          </w:tcPr>
          <w:p>
            <w:pPr>
              <w:spacing w:after="0"/>
              <w:rPr>
                <w:sz w:val="1"/>
                <w:szCs w:val="1"/>
                <w:color w:val="auto"/>
              </w:rPr>
            </w:pPr>
          </w:p>
        </w:tc>
      </w:tr>
      <w:tr>
        <w:trPr>
          <w:trHeight w:val="23"/>
        </w:trPr>
        <w:tc>
          <w:tcPr>
            <w:tcW w:w="38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Issuance of common stock upon vesting of restricted stock units</w:t>
            </w:r>
          </w:p>
        </w:tc>
        <w:tc>
          <w:tcPr>
            <w:tcW w:w="1180" w:type="dxa"/>
            <w:vAlign w:val="bottom"/>
            <w:tcBorders>
              <w:bottom w:val="single" w:sz="8" w:color="CFF0FC"/>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3,430</w:t>
            </w:r>
          </w:p>
        </w:tc>
        <w:tc>
          <w:tcPr>
            <w:tcW w:w="10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CFF0FC"/>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1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8,420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8,420</w:t>
            </w:r>
          </w:p>
        </w:tc>
        <w:tc>
          <w:tcPr>
            <w:tcW w:w="0" w:type="dxa"/>
            <w:vAlign w:val="bottom"/>
          </w:tcPr>
          <w:p>
            <w:pPr>
              <w:spacing w:after="0"/>
              <w:rPr>
                <w:sz w:val="1"/>
                <w:szCs w:val="1"/>
                <w:color w:val="auto"/>
              </w:rPr>
            </w:pPr>
          </w:p>
        </w:tc>
      </w:tr>
      <w:tr>
        <w:trPr>
          <w:trHeight w:val="23"/>
        </w:trPr>
        <w:tc>
          <w:tcPr>
            <w:tcW w:w="38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180" w:type="dxa"/>
            <w:vAlign w:val="bottom"/>
            <w:tcBorders>
              <w:bottom w:val="single" w:sz="8" w:color="CFF0FC"/>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CFF0FC"/>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shd w:val="clear" w:color="auto" w:fill="CFF0FC"/>
          </w:tcPr>
          <w:p>
            <w:pPr>
              <w:jc w:val="right"/>
              <w:ind w:right="9"/>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93"/>
        </w:trPr>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Unrealized loss on marketable securities</w:t>
            </w:r>
          </w:p>
        </w:tc>
        <w:tc>
          <w:tcPr>
            <w:tcW w:w="11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(247)</w:t>
            </w:r>
          </w:p>
        </w:tc>
        <w:tc>
          <w:tcPr>
            <w:tcW w:w="0" w:type="dxa"/>
            <w:vAlign w:val="bottom"/>
          </w:tcPr>
          <w:p>
            <w:pPr>
              <w:spacing w:after="0"/>
              <w:rPr>
                <w:sz w:val="1"/>
                <w:szCs w:val="1"/>
                <w:color w:val="auto"/>
              </w:rPr>
            </w:pPr>
          </w:p>
        </w:tc>
      </w:tr>
      <w:tr>
        <w:trPr>
          <w:trHeight w:val="23"/>
        </w:trPr>
        <w:tc>
          <w:tcPr>
            <w:tcW w:w="38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80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180" w:type="dxa"/>
            <w:vAlign w:val="bottom"/>
            <w:tcBorders>
              <w:bottom w:val="single" w:sz="8" w:color="auto"/>
            </w:tcBorders>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spacing w:after="0"/>
              <w:rPr>
                <w:sz w:val="12"/>
                <w:szCs w:val="12"/>
                <w:color w:val="auto"/>
              </w:rPr>
            </w:pPr>
          </w:p>
        </w:tc>
        <w:tc>
          <w:tcPr>
            <w:tcW w:w="32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1060" w:type="dxa"/>
            <w:vAlign w:val="bottom"/>
            <w:tcBorders>
              <w:bottom w:val="single" w:sz="8" w:color="auto"/>
            </w:tcBorders>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10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(55,247)</w:t>
            </w: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100" w:type="dxa"/>
            <w:vAlign w:val="bottom"/>
            <w:tcBorders>
              <w:bottom w:val="single" w:sz="8" w:color="auto"/>
            </w:tcBorders>
            <w:shd w:val="clear" w:color="auto" w:fill="CFF0FC"/>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(55,247)</w:t>
            </w:r>
          </w:p>
        </w:tc>
        <w:tc>
          <w:tcPr>
            <w:tcW w:w="0" w:type="dxa"/>
            <w:vAlign w:val="bottom"/>
          </w:tcPr>
          <w:p>
            <w:pPr>
              <w:spacing w:after="0"/>
              <w:rPr>
                <w:sz w:val="1"/>
                <w:szCs w:val="1"/>
                <w:color w:val="auto"/>
              </w:rPr>
            </w:pPr>
          </w:p>
        </w:tc>
      </w:tr>
      <w:tr>
        <w:trPr>
          <w:trHeight w:val="186"/>
        </w:trPr>
        <w:tc>
          <w:tcPr>
            <w:tcW w:w="3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at June 30, 2025</w:t>
            </w:r>
          </w:p>
        </w:tc>
        <w:tc>
          <w:tcPr>
            <w:tcW w:w="11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34,694,882</w:t>
            </w:r>
          </w:p>
        </w:tc>
        <w:tc>
          <w:tcPr>
            <w:tcW w:w="900" w:type="dxa"/>
            <w:vAlign w:val="bottom"/>
            <w:gridSpan w:val="2"/>
          </w:tcPr>
          <w:p>
            <w:pPr>
              <w:jc w:val="right"/>
              <w:ind w:right="657"/>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1,001,223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273</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(387,334)</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614,165</w:t>
            </w:r>
          </w:p>
        </w:tc>
        <w:tc>
          <w:tcPr>
            <w:tcW w:w="0" w:type="dxa"/>
            <w:vAlign w:val="bottom"/>
          </w:tcPr>
          <w:p>
            <w:pPr>
              <w:spacing w:after="0"/>
              <w:rPr>
                <w:sz w:val="1"/>
                <w:szCs w:val="1"/>
                <w:color w:val="auto"/>
              </w:rPr>
            </w:pPr>
          </w:p>
        </w:tc>
      </w:tr>
      <w:tr>
        <w:trPr>
          <w:trHeight w:val="23"/>
        </w:trPr>
        <w:tc>
          <w:tcPr>
            <w:tcW w:w="38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1180" w:type="dxa"/>
            <w:vAlign w:val="bottom"/>
            <w:tcBorders>
              <w:bottom w:val="single" w:sz="8" w:color="CFF0FC"/>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128,482</w:t>
            </w:r>
          </w:p>
        </w:tc>
        <w:tc>
          <w:tcPr>
            <w:tcW w:w="100" w:type="dxa"/>
            <w:vAlign w:val="bottom"/>
            <w:tcBorders>
              <w:bottom w:val="single" w:sz="8" w:color="CFF0FC"/>
            </w:tcBorders>
            <w:shd w:val="clear" w:color="auto" w:fill="CFF0FC"/>
          </w:tcPr>
          <w:p>
            <w:pPr>
              <w:spacing w:after="0"/>
              <w:rPr>
                <w:sz w:val="15"/>
                <w:szCs w:val="15"/>
                <w:color w:val="auto"/>
              </w:rPr>
            </w:pPr>
          </w:p>
        </w:tc>
        <w:tc>
          <w:tcPr>
            <w:tcW w:w="80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1,531</w:t>
            </w:r>
          </w:p>
        </w:tc>
        <w:tc>
          <w:tcPr>
            <w:tcW w:w="10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060" w:type="dxa"/>
            <w:vAlign w:val="bottom"/>
            <w:tcBorders>
              <w:bottom w:val="single" w:sz="8" w:color="CFF0FC"/>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020" w:type="dxa"/>
            <w:vAlign w:val="bottom"/>
            <w:tcBorders>
              <w:bottom w:val="single" w:sz="8" w:color="CFF0FC"/>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100" w:type="dxa"/>
            <w:vAlign w:val="bottom"/>
            <w:tcBorders>
              <w:bottom w:val="single" w:sz="8" w:color="CFF0FC"/>
            </w:tcBorders>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1,531</w:t>
            </w:r>
          </w:p>
        </w:tc>
        <w:tc>
          <w:tcPr>
            <w:tcW w:w="0" w:type="dxa"/>
            <w:vAlign w:val="bottom"/>
          </w:tcPr>
          <w:p>
            <w:pPr>
              <w:spacing w:after="0"/>
              <w:rPr>
                <w:sz w:val="1"/>
                <w:szCs w:val="1"/>
                <w:color w:val="auto"/>
              </w:rPr>
            </w:pPr>
          </w:p>
        </w:tc>
      </w:tr>
      <w:tr>
        <w:trPr>
          <w:trHeight w:val="193"/>
        </w:trPr>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Issuance of common stock upon vesting of restricted stock units</w:t>
            </w:r>
          </w:p>
        </w:tc>
        <w:tc>
          <w:tcPr>
            <w:tcW w:w="11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14,514</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38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Issuance of common stock under employee stock purchase plan</w:t>
            </w:r>
          </w:p>
        </w:tc>
        <w:tc>
          <w:tcPr>
            <w:tcW w:w="1180" w:type="dxa"/>
            <w:vAlign w:val="bottom"/>
            <w:tcBorders>
              <w:bottom w:val="single" w:sz="8" w:color="CFF0FC"/>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6,301</w:t>
            </w:r>
          </w:p>
        </w:tc>
        <w:tc>
          <w:tcPr>
            <w:tcW w:w="10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291</w:t>
            </w:r>
          </w:p>
        </w:tc>
        <w:tc>
          <w:tcPr>
            <w:tcW w:w="1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CFF0FC"/>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291</w:t>
            </w:r>
          </w:p>
        </w:tc>
        <w:tc>
          <w:tcPr>
            <w:tcW w:w="0" w:type="dxa"/>
            <w:vAlign w:val="bottom"/>
          </w:tcPr>
          <w:p>
            <w:pPr>
              <w:spacing w:after="0"/>
              <w:rPr>
                <w:sz w:val="1"/>
                <w:szCs w:val="1"/>
                <w:color w:val="auto"/>
              </w:rPr>
            </w:pPr>
          </w:p>
        </w:tc>
      </w:tr>
      <w:tr>
        <w:trPr>
          <w:trHeight w:val="126"/>
        </w:trPr>
        <w:tc>
          <w:tcPr>
            <w:tcW w:w="38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Sale of common stock in at-the-market offering,</w:t>
            </w:r>
          </w:p>
        </w:tc>
        <w:tc>
          <w:tcPr>
            <w:tcW w:w="118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162,457</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9,765</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color w:val="auto"/>
              </w:rPr>
              <w:t>9,766</w:t>
            </w:r>
          </w:p>
        </w:tc>
        <w:tc>
          <w:tcPr>
            <w:tcW w:w="0" w:type="dxa"/>
            <w:vAlign w:val="bottom"/>
          </w:tcPr>
          <w:p>
            <w:pPr>
              <w:spacing w:after="0"/>
              <w:rPr>
                <w:sz w:val="1"/>
                <w:szCs w:val="1"/>
                <w:color w:val="auto"/>
              </w:rPr>
            </w:pPr>
          </w:p>
        </w:tc>
      </w:tr>
      <w:tr>
        <w:trPr>
          <w:trHeight w:val="107"/>
        </w:trPr>
        <w:tc>
          <w:tcPr>
            <w:tcW w:w="38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net of issuance costs of $302</w:t>
            </w:r>
          </w:p>
        </w:tc>
        <w:tc>
          <w:tcPr>
            <w:tcW w:w="11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3800" w:type="dxa"/>
            <w:vAlign w:val="bottom"/>
            <w:vMerge w:val="continue"/>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3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180" w:type="dxa"/>
            <w:vAlign w:val="bottom"/>
            <w:tcBorders>
              <w:bottom w:val="single" w:sz="8" w:color="CFF0FC"/>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9,514</w:t>
            </w:r>
          </w:p>
        </w:tc>
        <w:tc>
          <w:tcPr>
            <w:tcW w:w="1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CFF0FC"/>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9,514</w:t>
            </w:r>
          </w:p>
        </w:tc>
        <w:tc>
          <w:tcPr>
            <w:tcW w:w="0" w:type="dxa"/>
            <w:vAlign w:val="bottom"/>
          </w:tcPr>
          <w:p>
            <w:pPr>
              <w:spacing w:after="0"/>
              <w:rPr>
                <w:sz w:val="1"/>
                <w:szCs w:val="1"/>
                <w:color w:val="auto"/>
              </w:rPr>
            </w:pPr>
          </w:p>
        </w:tc>
      </w:tr>
      <w:tr>
        <w:trPr>
          <w:trHeight w:val="193"/>
        </w:trPr>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1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38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Unrealized gain on marketable securities</w:t>
            </w:r>
          </w:p>
        </w:tc>
        <w:tc>
          <w:tcPr>
            <w:tcW w:w="1180" w:type="dxa"/>
            <w:vAlign w:val="bottom"/>
            <w:tcBorders>
              <w:bottom w:val="single" w:sz="8" w:color="CFF0FC"/>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445</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CFF0FC"/>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445</w:t>
            </w:r>
          </w:p>
        </w:tc>
        <w:tc>
          <w:tcPr>
            <w:tcW w:w="0" w:type="dxa"/>
            <w:vAlign w:val="bottom"/>
          </w:tcPr>
          <w:p>
            <w:pPr>
              <w:spacing w:after="0"/>
              <w:rPr>
                <w:sz w:val="1"/>
                <w:szCs w:val="1"/>
                <w:color w:val="auto"/>
              </w:rPr>
            </w:pPr>
          </w:p>
        </w:tc>
      </w:tr>
      <w:tr>
        <w:trPr>
          <w:trHeight w:val="193"/>
        </w:trPr>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11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(62,321)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(62,321)</w:t>
            </w:r>
          </w:p>
        </w:tc>
        <w:tc>
          <w:tcPr>
            <w:tcW w:w="0" w:type="dxa"/>
            <w:vAlign w:val="bottom"/>
          </w:tcPr>
          <w:p>
            <w:pPr>
              <w:spacing w:after="0"/>
              <w:rPr>
                <w:sz w:val="1"/>
                <w:szCs w:val="1"/>
                <w:color w:val="auto"/>
              </w:rPr>
            </w:pPr>
          </w:p>
        </w:tc>
      </w:tr>
      <w:tr>
        <w:trPr>
          <w:trHeight w:val="23"/>
        </w:trPr>
        <w:tc>
          <w:tcPr>
            <w:tcW w:w="38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3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Balance at September 30, 2025</w:t>
            </w:r>
          </w:p>
        </w:tc>
        <w:tc>
          <w:tcPr>
            <w:tcW w:w="1180" w:type="dxa"/>
            <w:vAlign w:val="bottom"/>
            <w:tcBorders>
              <w:bottom w:val="single" w:sz="8" w:color="CFF0FC"/>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35,006,636</w:t>
            </w:r>
          </w:p>
        </w:tc>
        <w:tc>
          <w:tcPr>
            <w:tcW w:w="10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1,022,324</w:t>
            </w:r>
          </w:p>
        </w:tc>
        <w:tc>
          <w:tcPr>
            <w:tcW w:w="1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718</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(449,655)</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CFF0FC"/>
            </w:tcBorders>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573,391</w:t>
            </w:r>
          </w:p>
        </w:tc>
        <w:tc>
          <w:tcPr>
            <w:tcW w:w="0" w:type="dxa"/>
            <w:vAlign w:val="bottom"/>
          </w:tcPr>
          <w:p>
            <w:pPr>
              <w:spacing w:after="0"/>
              <w:rPr>
                <w:sz w:val="1"/>
                <w:szCs w:val="1"/>
                <w:color w:val="auto"/>
              </w:rPr>
            </w:pPr>
          </w:p>
        </w:tc>
      </w:tr>
      <w:tr>
        <w:trPr>
          <w:trHeight w:val="20"/>
        </w:trPr>
        <w:tc>
          <w:tcPr>
            <w:tcW w:w="380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-2296795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-2279650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-2296795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-2279650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-2296795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-2279650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-2296795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-2279650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-2296795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-2279650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-1490980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-1490980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-1490980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-1490980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-1490980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-25400</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-8255</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-25400</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-8255</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-25400</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-8255</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-25400</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-8255</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-25400</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-8255</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ectPr>
          <w:pgSz w:w="11900" w:h="16838" w:orient="portrait"/>
          <w:cols w:equalWidth="0" w:num="1">
            <w:col w:w="11240"/>
          </w:cols>
          <w:pgMar w:left="320" w:top="98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p>
      <w:pPr>
        <w:spacing w:after="0" w:line="57"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4"/>
          <w:szCs w:val="14"/>
          <w:color w:val="auto"/>
        </w:rPr>
        <w:t>Issuance of common stock upon exercise of stock options</w:t>
      </w:r>
    </w:p>
    <w:p>
      <w:pPr>
        <w:ind w:right="20"/>
        <w:spacing w:after="0" w:line="221" w:lineRule="auto"/>
        <w:rPr>
          <w:sz w:val="20"/>
          <w:szCs w:val="20"/>
          <w:color w:val="auto"/>
        </w:rPr>
      </w:pPr>
      <w:r>
        <w:rPr>
          <w:rFonts w:ascii="Times New Roman" w:cs="Times New Roman" w:eastAsia="Times New Roman" w:hAnsi="Times New Roman"/>
          <w:sz w:val="14"/>
          <w:szCs w:val="14"/>
          <w:color w:val="auto"/>
        </w:rPr>
        <w:t>Issuance of common stock under employee stock purchase plan</w:t>
      </w:r>
    </w:p>
    <w:p>
      <w:pPr>
        <w:spacing w:after="0" w:line="1" w:lineRule="exact"/>
        <w:rPr>
          <w:sz w:val="20"/>
          <w:szCs w:val="20"/>
          <w:color w:val="auto"/>
        </w:rPr>
      </w:pPr>
    </w:p>
    <w:p>
      <w:pPr>
        <w:ind w:left="120" w:right="20" w:hanging="107"/>
        <w:spacing w:after="0" w:line="239" w:lineRule="auto"/>
        <w:rPr>
          <w:sz w:val="20"/>
          <w:szCs w:val="20"/>
          <w:color w:val="auto"/>
        </w:rPr>
      </w:pPr>
      <w:r>
        <w:rPr>
          <w:rFonts w:ascii="Times New Roman" w:cs="Times New Roman" w:eastAsia="Times New Roman" w:hAnsi="Times New Roman"/>
          <w:sz w:val="14"/>
          <w:szCs w:val="14"/>
          <w:color w:val="auto"/>
        </w:rPr>
        <w:t>Sale of common stock in at-the-market offerings, net of issuance costs of $518</w:t>
      </w:r>
    </w:p>
    <w:p>
      <w:pPr>
        <w:spacing w:after="0"/>
        <w:rPr>
          <w:sz w:val="20"/>
          <w:szCs w:val="20"/>
          <w:color w:val="auto"/>
        </w:rPr>
      </w:pPr>
      <w:r>
        <w:rPr>
          <w:rFonts w:ascii="Times New Roman" w:cs="Times New Roman" w:eastAsia="Times New Roman" w:hAnsi="Times New Roman"/>
          <w:sz w:val="14"/>
          <w:szCs w:val="14"/>
          <w:color w:val="auto"/>
        </w:rPr>
        <w:t>Stock-based compensation expense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loss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Balance at March 31, 2024</w:t>
      </w:r>
    </w:p>
    <w:p>
      <w:pPr>
        <w:spacing w:after="0" w:line="96"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4"/>
          <w:szCs w:val="14"/>
          <w:color w:val="auto"/>
        </w:rPr>
        <w:t>Issuance of common stock upon exercise of stock options</w:t>
      </w:r>
    </w:p>
    <w:p>
      <w:pPr>
        <w:ind w:left="120" w:right="120" w:hanging="107"/>
        <w:spacing w:after="0" w:line="239" w:lineRule="auto"/>
        <w:rPr>
          <w:sz w:val="20"/>
          <w:szCs w:val="20"/>
          <w:color w:val="auto"/>
        </w:rPr>
      </w:pPr>
      <w:r>
        <w:rPr>
          <w:rFonts w:ascii="Times New Roman" w:cs="Times New Roman" w:eastAsia="Times New Roman" w:hAnsi="Times New Roman"/>
          <w:sz w:val="14"/>
          <w:szCs w:val="14"/>
          <w:color w:val="auto"/>
        </w:rPr>
        <w:t>Sale of common stock in underwritten offering, net of issuance costs of $5,472</w:t>
      </w:r>
    </w:p>
    <w:p>
      <w:pPr>
        <w:spacing w:after="0"/>
        <w:rPr>
          <w:sz w:val="20"/>
          <w:szCs w:val="20"/>
          <w:color w:val="auto"/>
        </w:rPr>
      </w:pPr>
      <w:r>
        <w:rPr>
          <w:rFonts w:ascii="Times New Roman" w:cs="Times New Roman" w:eastAsia="Times New Roman" w:hAnsi="Times New Roman"/>
          <w:sz w:val="14"/>
          <w:szCs w:val="14"/>
          <w:color w:val="auto"/>
        </w:rPr>
        <w:t>Stock-based compensation expense</w:t>
      </w:r>
    </w:p>
    <w:p>
      <w:pPr>
        <w:spacing w:after="0" w:line="15" w:lineRule="exact"/>
        <w:rPr>
          <w:sz w:val="20"/>
          <w:szCs w:val="20"/>
          <w:color w:val="auto"/>
        </w:rPr>
      </w:pPr>
    </w:p>
    <w:p>
      <w:pPr>
        <w:ind w:right="500"/>
        <w:spacing w:after="0" w:line="251" w:lineRule="auto"/>
        <w:rPr>
          <w:sz w:val="20"/>
          <w:szCs w:val="20"/>
          <w:color w:val="auto"/>
        </w:rPr>
      </w:pPr>
      <w:r>
        <w:rPr>
          <w:rFonts w:ascii="Times New Roman" w:cs="Times New Roman" w:eastAsia="Times New Roman" w:hAnsi="Times New Roman"/>
          <w:sz w:val="14"/>
          <w:szCs w:val="14"/>
          <w:color w:val="auto"/>
        </w:rPr>
        <w:t>Foreign currency translation adjustments Unrealized loss on marketable securities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loss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Balance at June 30, 2024</w:t>
      </w:r>
    </w:p>
    <w:p>
      <w:pPr>
        <w:spacing w:after="0" w:line="96"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4"/>
          <w:szCs w:val="14"/>
          <w:color w:val="auto"/>
        </w:rPr>
        <w:t>Issuance of common stock upon exercise of stock options</w:t>
      </w:r>
    </w:p>
    <w:p>
      <w:pPr>
        <w:ind w:right="20"/>
        <w:spacing w:after="0" w:line="239" w:lineRule="auto"/>
        <w:rPr>
          <w:sz w:val="20"/>
          <w:szCs w:val="20"/>
          <w:color w:val="auto"/>
        </w:rPr>
      </w:pPr>
      <w:r>
        <w:rPr>
          <w:rFonts w:ascii="Times New Roman" w:cs="Times New Roman" w:eastAsia="Times New Roman" w:hAnsi="Times New Roman"/>
          <w:sz w:val="14"/>
          <w:szCs w:val="14"/>
          <w:color w:val="auto"/>
        </w:rPr>
        <w:t>Issuance of common stock under employee stock purchase plan</w:t>
      </w:r>
    </w:p>
    <w:p>
      <w:pPr>
        <w:spacing w:after="0"/>
        <w:rPr>
          <w:sz w:val="20"/>
          <w:szCs w:val="20"/>
          <w:color w:val="auto"/>
        </w:rPr>
      </w:pPr>
      <w:r>
        <w:rPr>
          <w:rFonts w:ascii="Times New Roman" w:cs="Times New Roman" w:eastAsia="Times New Roman" w:hAnsi="Times New Roman"/>
          <w:sz w:val="14"/>
          <w:szCs w:val="14"/>
          <w:color w:val="auto"/>
        </w:rPr>
        <w:t>Stock-based compensation expense</w:t>
      </w:r>
    </w:p>
    <w:p>
      <w:pPr>
        <w:spacing w:after="0" w:line="15" w:lineRule="exact"/>
        <w:rPr>
          <w:sz w:val="20"/>
          <w:szCs w:val="20"/>
          <w:color w:val="auto"/>
        </w:rPr>
      </w:pPr>
    </w:p>
    <w:p>
      <w:pPr>
        <w:ind w:right="500"/>
        <w:spacing w:after="0" w:line="251" w:lineRule="auto"/>
        <w:rPr>
          <w:sz w:val="20"/>
          <w:szCs w:val="20"/>
          <w:color w:val="auto"/>
        </w:rPr>
      </w:pPr>
      <w:r>
        <w:rPr>
          <w:rFonts w:ascii="Times New Roman" w:cs="Times New Roman" w:eastAsia="Times New Roman" w:hAnsi="Times New Roman"/>
          <w:sz w:val="14"/>
          <w:szCs w:val="14"/>
          <w:color w:val="auto"/>
        </w:rPr>
        <w:t>Foreign currency translation adjustments Unrealized gain on marketable securities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loss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Balance at September 30, 2024</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260" w:type="dxa"/>
            <w:vAlign w:val="bottom"/>
            <w:gridSpan w:val="3"/>
          </w:tcPr>
          <w:p>
            <w:pPr>
              <w:jc w:val="right"/>
              <w:ind w:right="53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ind w:right="309"/>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20" w:type="dxa"/>
            <w:vAlign w:val="bottom"/>
          </w:tcPr>
          <w:p>
            <w:pPr>
              <w:spacing w:after="0"/>
              <w:rPr>
                <w:sz w:val="12"/>
                <w:szCs w:val="12"/>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Accumulated Other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right="189"/>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49"/>
        </w:trPr>
        <w:tc>
          <w:tcPr>
            <w:tcW w:w="2260" w:type="dxa"/>
            <w:vAlign w:val="bottom"/>
            <w:tcBorders>
              <w:bottom w:val="single" w:sz="8" w:color="auto"/>
            </w:tcBorders>
            <w:gridSpan w:val="3"/>
          </w:tcPr>
          <w:p>
            <w:pPr>
              <w:jc w:val="right"/>
              <w:ind w:right="457"/>
              <w:spacing w:after="0"/>
              <w:rPr>
                <w:sz w:val="20"/>
                <w:szCs w:val="20"/>
                <w:color w:val="auto"/>
              </w:rPr>
            </w:pPr>
            <w:r>
              <w:rPr>
                <w:rFonts w:ascii="Times New Roman" w:cs="Times New Roman" w:eastAsia="Times New Roman" w:hAnsi="Times New Roman"/>
                <w:sz w:val="13"/>
                <w:szCs w:val="13"/>
                <w:b w:val="1"/>
                <w:bCs w:val="1"/>
                <w:color w:val="auto"/>
              </w:rPr>
              <w:t>$0.0001 Par Value</w:t>
            </w:r>
          </w:p>
        </w:tc>
        <w:tc>
          <w:tcPr>
            <w:tcW w:w="3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ind w:right="389"/>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ind w:right="229"/>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right="189"/>
              <w:spacing w:after="0"/>
              <w:rPr>
                <w:sz w:val="20"/>
                <w:szCs w:val="20"/>
                <w:color w:val="auto"/>
              </w:rPr>
            </w:pPr>
            <w:r>
              <w:rPr>
                <w:rFonts w:ascii="Times New Roman" w:cs="Times New Roman" w:eastAsia="Times New Roman" w:hAnsi="Times New Roman"/>
                <w:sz w:val="13"/>
                <w:szCs w:val="13"/>
                <w:b w:val="1"/>
                <w:bCs w:val="1"/>
                <w:color w:val="auto"/>
                <w:w w:val="96"/>
              </w:rPr>
              <w:t>Stockholders’</w:t>
            </w:r>
          </w:p>
        </w:tc>
      </w:tr>
      <w:tr>
        <w:trPr>
          <w:trHeight w:val="209"/>
        </w:trPr>
        <w:tc>
          <w:tcPr>
            <w:tcW w:w="128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8"/>
                <w:szCs w:val="18"/>
                <w:color w:val="auto"/>
              </w:rPr>
            </w:pPr>
          </w:p>
        </w:tc>
        <w:tc>
          <w:tcPr>
            <w:tcW w:w="8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3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3"/>
                <w:szCs w:val="13"/>
                <w:b w:val="1"/>
                <w:bCs w:val="1"/>
                <w:color w:val="auto"/>
              </w:rPr>
              <w:t>Income (Loss)</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189"/>
              <w:spacing w:after="0"/>
              <w:rPr>
                <w:sz w:val="20"/>
                <w:szCs w:val="20"/>
                <w:color w:val="auto"/>
              </w:rPr>
            </w:pPr>
            <w:r>
              <w:rPr>
                <w:rFonts w:ascii="Times New Roman" w:cs="Times New Roman" w:eastAsia="Times New Roman" w:hAnsi="Times New Roman"/>
                <w:sz w:val="13"/>
                <w:szCs w:val="13"/>
                <w:b w:val="1"/>
                <w:bCs w:val="1"/>
                <w:color w:val="auto"/>
              </w:rPr>
              <w:t>Equity</w:t>
            </w:r>
          </w:p>
        </w:tc>
      </w:tr>
      <w:tr>
        <w:trPr>
          <w:trHeight w:val="186"/>
        </w:trPr>
        <w:tc>
          <w:tcPr>
            <w:tcW w:w="12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24,360,233</w:t>
            </w:r>
          </w:p>
        </w:tc>
        <w:tc>
          <w:tcPr>
            <w:tcW w:w="980" w:type="dxa"/>
            <w:vAlign w:val="bottom"/>
            <w:gridSpan w:val="2"/>
          </w:tcPr>
          <w:p>
            <w:pPr>
              <w:jc w:val="right"/>
              <w:ind w:right="717"/>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533,764</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(188,645)</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345,121</w:t>
            </w:r>
          </w:p>
        </w:tc>
      </w:tr>
      <w:tr>
        <w:trPr>
          <w:trHeight w:val="257"/>
        </w:trPr>
        <w:tc>
          <w:tcPr>
            <w:tcW w:w="12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95,467</w:t>
            </w: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806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806</w:t>
            </w:r>
          </w:p>
        </w:tc>
      </w:tr>
      <w:tr>
        <w:trPr>
          <w:trHeight w:val="297"/>
        </w:trPr>
        <w:tc>
          <w:tcPr>
            <w:tcW w:w="12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5,736</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245</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245</w:t>
            </w:r>
          </w:p>
        </w:tc>
      </w:tr>
      <w:tr>
        <w:trPr>
          <w:trHeight w:val="297"/>
        </w:trPr>
        <w:tc>
          <w:tcPr>
            <w:tcW w:w="12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234,449</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14,790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14,790</w:t>
            </w:r>
          </w:p>
        </w:tc>
      </w:tr>
      <w:tr>
        <w:trPr>
          <w:trHeight w:val="257"/>
        </w:trPr>
        <w:tc>
          <w:tcPr>
            <w:tcW w:w="12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4,058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4,058</w:t>
            </w:r>
          </w:p>
        </w:tc>
      </w:tr>
      <w:tr>
        <w:trPr>
          <w:trHeight w:val="216"/>
        </w:trPr>
        <w:tc>
          <w:tcPr>
            <w:tcW w:w="12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(26,949)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(26,949)</w:t>
            </w:r>
          </w:p>
        </w:tc>
      </w:tr>
      <w:tr>
        <w:trPr>
          <w:trHeight w:val="23"/>
        </w:trPr>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6"/>
        </w:trPr>
        <w:tc>
          <w:tcPr>
            <w:tcW w:w="12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24,695,885</w:t>
            </w:r>
          </w:p>
        </w:tc>
        <w:tc>
          <w:tcPr>
            <w:tcW w:w="980" w:type="dxa"/>
            <w:vAlign w:val="bottom"/>
            <w:gridSpan w:val="2"/>
          </w:tcPr>
          <w:p>
            <w:pPr>
              <w:jc w:val="right"/>
              <w:ind w:right="717"/>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553,663</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(215,594)</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338,071</w:t>
            </w:r>
          </w:p>
        </w:tc>
      </w:tr>
      <w:tr>
        <w:trPr>
          <w:trHeight w:val="23"/>
        </w:trPr>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14"/>
        </w:trPr>
        <w:tc>
          <w:tcPr>
            <w:tcW w:w="12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68,112</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567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567</w:t>
            </w:r>
          </w:p>
        </w:tc>
      </w:tr>
      <w:tr>
        <w:trPr>
          <w:trHeight w:val="297"/>
        </w:trPr>
        <w:tc>
          <w:tcPr>
            <w:tcW w:w="12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4,944,000</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172,511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172,512</w:t>
            </w:r>
          </w:p>
        </w:tc>
      </w:tr>
      <w:tr>
        <w:trPr>
          <w:trHeight w:val="257"/>
        </w:trPr>
        <w:tc>
          <w:tcPr>
            <w:tcW w:w="12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4,091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4,091</w:t>
            </w:r>
          </w:p>
        </w:tc>
      </w:tr>
      <w:tr>
        <w:trPr>
          <w:trHeight w:val="149"/>
        </w:trPr>
        <w:tc>
          <w:tcPr>
            <w:tcW w:w="1280" w:type="dxa"/>
            <w:vAlign w:val="bottom"/>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6</w:t>
            </w:r>
          </w:p>
        </w:tc>
      </w:tr>
      <w:tr>
        <w:trPr>
          <w:trHeight w:val="175"/>
        </w:trPr>
        <w:tc>
          <w:tcPr>
            <w:tcW w:w="12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r>
      <w:tr>
        <w:trPr>
          <w:trHeight w:val="188"/>
        </w:trPr>
        <w:tc>
          <w:tcPr>
            <w:tcW w:w="12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(26,352)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(26,352)</w:t>
            </w:r>
          </w:p>
        </w:tc>
      </w:tr>
      <w:tr>
        <w:trPr>
          <w:trHeight w:val="23"/>
        </w:trPr>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6"/>
        </w:trPr>
        <w:tc>
          <w:tcPr>
            <w:tcW w:w="12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29,707,997</w:t>
            </w:r>
          </w:p>
        </w:tc>
        <w:tc>
          <w:tcPr>
            <w:tcW w:w="980" w:type="dxa"/>
            <w:vAlign w:val="bottom"/>
            <w:gridSpan w:val="2"/>
          </w:tcPr>
          <w:p>
            <w:pPr>
              <w:jc w:val="right"/>
              <w:ind w:right="717"/>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730,832</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(241,946)</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488,829</w:t>
            </w:r>
          </w:p>
        </w:tc>
      </w:tr>
      <w:tr>
        <w:trPr>
          <w:trHeight w:val="23"/>
        </w:trPr>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13"/>
        </w:trPr>
        <w:tc>
          <w:tcPr>
            <w:tcW w:w="12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34,811</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401</w:t>
            </w:r>
          </w:p>
        </w:tc>
      </w:tr>
      <w:tr>
        <w:trPr>
          <w:trHeight w:val="297"/>
        </w:trPr>
        <w:tc>
          <w:tcPr>
            <w:tcW w:w="12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5,346</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196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196</w:t>
            </w:r>
          </w:p>
        </w:tc>
      </w:tr>
      <w:tr>
        <w:trPr>
          <w:trHeight w:val="257"/>
        </w:trPr>
        <w:tc>
          <w:tcPr>
            <w:tcW w:w="12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4,332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4,332</w:t>
            </w:r>
          </w:p>
        </w:tc>
      </w:tr>
      <w:tr>
        <w:trPr>
          <w:trHeight w:val="149"/>
        </w:trPr>
        <w:tc>
          <w:tcPr>
            <w:tcW w:w="1280" w:type="dxa"/>
            <w:vAlign w:val="bottom"/>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w:t>
            </w:r>
          </w:p>
        </w:tc>
      </w:tr>
      <w:tr>
        <w:trPr>
          <w:trHeight w:val="176"/>
        </w:trPr>
        <w:tc>
          <w:tcPr>
            <w:tcW w:w="12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849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849</w:t>
            </w:r>
          </w:p>
        </w:tc>
      </w:tr>
      <w:tr>
        <w:trPr>
          <w:trHeight w:val="188"/>
        </w:trPr>
        <w:tc>
          <w:tcPr>
            <w:tcW w:w="12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(26,599)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(26,599)</w:t>
            </w:r>
          </w:p>
        </w:tc>
      </w:tr>
      <w:tr>
        <w:trPr>
          <w:trHeight w:val="23"/>
        </w:trPr>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6"/>
        </w:trPr>
        <w:tc>
          <w:tcPr>
            <w:tcW w:w="12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29,748,154</w:t>
            </w:r>
          </w:p>
        </w:tc>
        <w:tc>
          <w:tcPr>
            <w:tcW w:w="980" w:type="dxa"/>
            <w:vAlign w:val="bottom"/>
            <w:gridSpan w:val="2"/>
          </w:tcPr>
          <w:p>
            <w:pPr>
              <w:jc w:val="right"/>
              <w:ind w:right="717"/>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735,761</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741</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(268,545)</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467,960</w:t>
            </w:r>
          </w:p>
        </w:tc>
      </w:tr>
      <w:tr>
        <w:trPr>
          <w:trHeight w:val="23"/>
        </w:trPr>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-2077085</wp:posOffset>
            </wp:positionH>
            <wp:positionV relativeFrom="paragraph">
              <wp:posOffset>-3171190</wp:posOffset>
            </wp:positionV>
            <wp:extent cx="7132320"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-2845435</wp:posOffset>
            </wp:positionV>
            <wp:extent cx="7132320" cy="1885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-2468245</wp:posOffset>
            </wp:positionV>
            <wp:extent cx="7132320"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-1833880</wp:posOffset>
            </wp:positionV>
            <wp:extent cx="7132320" cy="1885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-1508125</wp:posOffset>
            </wp:positionV>
            <wp:extent cx="7132320" cy="939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-1010920</wp:posOffset>
            </wp:positionV>
            <wp:extent cx="7132320" cy="1885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-633730</wp:posOffset>
            </wp:positionV>
            <wp:extent cx="7132320"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-401955</wp:posOffset>
            </wp:positionV>
            <wp:extent cx="7132320" cy="939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-2185035</wp:posOffset>
            </wp:positionV>
            <wp:extent cx="7132320" cy="1631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-1319530</wp:posOffset>
            </wp:positionV>
            <wp:extent cx="7132320" cy="1454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-161925</wp:posOffset>
            </wp:positionV>
            <wp:extent cx="7132320" cy="1625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88" w:lineRule="exact"/>
        <w:rPr>
          <w:sz w:val="20"/>
          <w:szCs w:val="20"/>
          <w:color w:val="auto"/>
        </w:rPr>
      </w:pPr>
    </w:p>
    <w:p>
      <w:pPr>
        <w:sectPr>
          <w:pgSz w:w="11900" w:h="16838" w:orient="portrait"/>
          <w:cols w:equalWidth="0" w:num="2">
            <w:col w:w="2860" w:space="420"/>
            <w:col w:w="7960"/>
          </w:cols>
          <w:pgMar w:left="320" w:top="981"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condensed consolidated financial statements.</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2" w:lineRule="exact"/>
        <w:rPr>
          <w:sz w:val="20"/>
          <w:szCs w:val="20"/>
          <w:color w:val="auto"/>
        </w:rPr>
      </w:pPr>
    </w:p>
    <w:p>
      <w:pPr>
        <w:jc w:val="center"/>
        <w:ind w:left="808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808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0" w:type="dxa"/>
        <w:tblCellMar>
          <w:top w:w="0" w:type="dxa"/>
          <w:left w:w="0" w:type="dxa"/>
          <w:bottom w:w="0" w:type="dxa"/>
          <w:right w:w="0" w:type="dxa"/>
        </w:tblCellMar>
      </w:tblPr>
      <w:tr>
        <w:trPr>
          <w:trHeight w:val="142"/>
        </w:trPr>
        <w:tc>
          <w:tcPr>
            <w:tcW w:w="7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5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6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r>
      <w:tr>
        <w:trPr>
          <w:trHeight w:val="216"/>
        </w:trPr>
        <w:tc>
          <w:tcPr>
            <w:tcW w:w="7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(151,653)</w:t>
            </w:r>
          </w:p>
        </w:tc>
        <w:tc>
          <w:tcPr>
            <w:tcW w:w="64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(79,900)</w:t>
            </w:r>
          </w:p>
        </w:tc>
      </w:tr>
      <w:tr>
        <w:trPr>
          <w:trHeight w:val="216"/>
        </w:trPr>
        <w:tc>
          <w:tcPr>
            <w:tcW w:w="75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operations:</w:t>
            </w:r>
          </w:p>
        </w:tc>
        <w:tc>
          <w:tcPr>
            <w:tcW w:w="6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r>
      <w:tr>
        <w:trPr>
          <w:trHeight w:val="216"/>
        </w:trPr>
        <w:tc>
          <w:tcPr>
            <w:tcW w:w="7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192</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147</w:t>
            </w:r>
          </w:p>
        </w:tc>
      </w:tr>
      <w:tr>
        <w:trPr>
          <w:trHeight w:val="216"/>
        </w:trPr>
        <w:tc>
          <w:tcPr>
            <w:tcW w:w="75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Stock-based compensation</w:t>
            </w:r>
          </w:p>
        </w:tc>
        <w:tc>
          <w:tcPr>
            <w:tcW w:w="6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24,297</w:t>
            </w: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12,481</w:t>
            </w:r>
          </w:p>
        </w:tc>
      </w:tr>
      <w:tr>
        <w:trPr>
          <w:trHeight w:val="216"/>
        </w:trPr>
        <w:tc>
          <w:tcPr>
            <w:tcW w:w="7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Amortization/accretion of investment securities</w:t>
            </w: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(6,887)</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(3,092)</w:t>
            </w:r>
          </w:p>
        </w:tc>
      </w:tr>
      <w:tr>
        <w:trPr>
          <w:trHeight w:val="216"/>
        </w:trPr>
        <w:tc>
          <w:tcPr>
            <w:tcW w:w="75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Loss from initial consolidation of variable interest entity</w:t>
            </w:r>
          </w:p>
        </w:tc>
        <w:tc>
          <w:tcPr>
            <w:tcW w:w="6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852</w:t>
            </w: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Non-cash lease expense</w:t>
            </w: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349</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324</w:t>
            </w:r>
          </w:p>
        </w:tc>
      </w:tr>
      <w:tr>
        <w:trPr>
          <w:trHeight w:val="216"/>
        </w:trPr>
        <w:tc>
          <w:tcPr>
            <w:tcW w:w="75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Non-cash interest expense</w:t>
            </w:r>
          </w:p>
        </w:tc>
        <w:tc>
          <w:tcPr>
            <w:tcW w:w="6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626</w:t>
            </w: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 non-cash items</w:t>
            </w: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75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6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r>
      <w:tr>
        <w:trPr>
          <w:trHeight w:val="216"/>
        </w:trPr>
        <w:tc>
          <w:tcPr>
            <w:tcW w:w="75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(7,540)</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r>
      <w:tr>
        <w:trPr>
          <w:trHeight w:val="216"/>
        </w:trPr>
        <w:tc>
          <w:tcPr>
            <w:tcW w:w="758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Accounts payable</w:t>
            </w:r>
          </w:p>
        </w:tc>
        <w:tc>
          <w:tcPr>
            <w:tcW w:w="6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(9,076)</w:t>
            </w:r>
          </w:p>
        </w:tc>
      </w:tr>
      <w:tr>
        <w:trPr>
          <w:trHeight w:val="216"/>
        </w:trPr>
        <w:tc>
          <w:tcPr>
            <w:tcW w:w="75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Accrued external research and development expenses</w:t>
            </w: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564</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14,346</w:t>
            </w:r>
          </w:p>
        </w:tc>
      </w:tr>
      <w:tr>
        <w:trPr>
          <w:trHeight w:val="216"/>
        </w:trPr>
        <w:tc>
          <w:tcPr>
            <w:tcW w:w="758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Other accrued expenses</w:t>
            </w:r>
          </w:p>
        </w:tc>
        <w:tc>
          <w:tcPr>
            <w:tcW w:w="6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2,436</w:t>
            </w: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w:t>
            </w:r>
          </w:p>
        </w:tc>
      </w:tr>
      <w:tr>
        <w:trPr>
          <w:trHeight w:val="216"/>
        </w:trPr>
        <w:tc>
          <w:tcPr>
            <w:tcW w:w="75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6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351</w:t>
            </w:r>
          </w:p>
        </w:tc>
        <w:tc>
          <w:tcPr>
            <w:tcW w:w="1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w:t>
            </w:r>
          </w:p>
        </w:tc>
      </w:tr>
      <w:tr>
        <w:trPr>
          <w:trHeight w:val="210"/>
        </w:trPr>
        <w:tc>
          <w:tcPr>
            <w:tcW w:w="7580" w:type="dxa"/>
            <w:vAlign w:val="bottom"/>
            <w:tcBorders>
              <w:bottom w:val="single" w:sz="8" w:color="CFF0FC"/>
            </w:tcBorders>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6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(137,093)</w:t>
            </w:r>
          </w:p>
        </w:tc>
        <w:tc>
          <w:tcPr>
            <w:tcW w:w="16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(66,353)</w:t>
            </w:r>
          </w:p>
        </w:tc>
      </w:tr>
      <w:tr>
        <w:trPr>
          <w:trHeight w:val="209"/>
        </w:trPr>
        <w:tc>
          <w:tcPr>
            <w:tcW w:w="7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75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6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(491,312)</w:t>
            </w: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(313,850)</w:t>
            </w:r>
          </w:p>
        </w:tc>
      </w:tr>
      <w:tr>
        <w:trPr>
          <w:trHeight w:val="216"/>
        </w:trPr>
        <w:tc>
          <w:tcPr>
            <w:tcW w:w="7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Maturities of marketable securities</w:t>
            </w: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320,819</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23,000</w:t>
            </w:r>
          </w:p>
        </w:tc>
      </w:tr>
      <w:tr>
        <w:trPr>
          <w:trHeight w:val="216"/>
        </w:trPr>
        <w:tc>
          <w:tcPr>
            <w:tcW w:w="75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6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16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0"/>
        </w:trPr>
        <w:tc>
          <w:tcPr>
            <w:tcW w:w="7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6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(171,406)</w:t>
            </w:r>
          </w:p>
        </w:tc>
        <w:tc>
          <w:tcPr>
            <w:tcW w:w="1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(290,906)</w:t>
            </w:r>
          </w:p>
        </w:tc>
      </w:tr>
      <w:tr>
        <w:trPr>
          <w:trHeight w:val="210"/>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6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r>
      <w:tr>
        <w:trPr>
          <w:trHeight w:val="216"/>
        </w:trPr>
        <w:tc>
          <w:tcPr>
            <w:tcW w:w="7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sale of common stock in underwritten offering, net of issuance costs paid</w:t>
            </w: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234,003</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172,512</w:t>
            </w:r>
          </w:p>
        </w:tc>
      </w:tr>
      <w:tr>
        <w:trPr>
          <w:trHeight w:val="216"/>
        </w:trPr>
        <w:tc>
          <w:tcPr>
            <w:tcW w:w="75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Proceeds from sale of pre-funded warrants in underwritten offering, net of issuance costs paid</w:t>
            </w:r>
          </w:p>
        </w:tc>
        <w:tc>
          <w:tcPr>
            <w:tcW w:w="6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9,386</w:t>
            </w: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sale of common stock in at-the-market offerings, net of issuance costs paid</w:t>
            </w: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9,766</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14,790</w:t>
            </w:r>
          </w:p>
        </w:tc>
      </w:tr>
      <w:tr>
        <w:trPr>
          <w:trHeight w:val="216"/>
        </w:trPr>
        <w:tc>
          <w:tcPr>
            <w:tcW w:w="75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Proceeds from stock option exercises</w:t>
            </w:r>
          </w:p>
        </w:tc>
        <w:tc>
          <w:tcPr>
            <w:tcW w:w="6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2,998</w:t>
            </w: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1,774</w:t>
            </w:r>
          </w:p>
        </w:tc>
      </w:tr>
      <w:tr>
        <w:trPr>
          <w:trHeight w:val="216"/>
        </w:trPr>
        <w:tc>
          <w:tcPr>
            <w:tcW w:w="7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Contributions from employee stock purchase plan</w:t>
            </w:r>
          </w:p>
        </w:tc>
        <w:tc>
          <w:tcPr>
            <w:tcW w:w="6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578</w:t>
            </w:r>
          </w:p>
        </w:tc>
        <w:tc>
          <w:tcPr>
            <w:tcW w:w="1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441</w:t>
            </w:r>
          </w:p>
        </w:tc>
      </w:tr>
      <w:tr>
        <w:trPr>
          <w:trHeight w:val="210"/>
        </w:trPr>
        <w:tc>
          <w:tcPr>
            <w:tcW w:w="758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6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256,731</w:t>
            </w:r>
          </w:p>
        </w:tc>
        <w:tc>
          <w:tcPr>
            <w:tcW w:w="16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189,517</w:t>
            </w:r>
          </w:p>
        </w:tc>
      </w:tr>
      <w:tr>
        <w:trPr>
          <w:trHeight w:val="210"/>
        </w:trPr>
        <w:tc>
          <w:tcPr>
            <w:tcW w:w="7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(51,768)</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(167,742)</w:t>
            </w:r>
          </w:p>
        </w:tc>
      </w:tr>
      <w:tr>
        <w:trPr>
          <w:trHeight w:val="216"/>
        </w:trPr>
        <w:tc>
          <w:tcPr>
            <w:tcW w:w="75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6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192,672</w:t>
            </w:r>
          </w:p>
        </w:tc>
        <w:tc>
          <w:tcPr>
            <w:tcW w:w="16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360,616</w:t>
            </w:r>
          </w:p>
        </w:tc>
      </w:tr>
      <w:tr>
        <w:trPr>
          <w:trHeight w:val="210"/>
        </w:trPr>
        <w:tc>
          <w:tcPr>
            <w:tcW w:w="7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64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140,904</w:t>
            </w:r>
          </w:p>
        </w:tc>
        <w:tc>
          <w:tcPr>
            <w:tcW w:w="160" w:type="dxa"/>
            <w:vAlign w:val="bottom"/>
          </w:tcPr>
          <w:p>
            <w:pPr>
              <w:spacing w:after="0"/>
              <w:rPr>
                <w:sz w:val="18"/>
                <w:szCs w:val="18"/>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192,874</w:t>
            </w:r>
          </w:p>
        </w:tc>
      </w:tr>
      <w:tr>
        <w:trPr>
          <w:trHeight w:val="20"/>
        </w:trPr>
        <w:tc>
          <w:tcPr>
            <w:tcW w:w="7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320"/>
        </w:trPr>
        <w:tc>
          <w:tcPr>
            <w:tcW w:w="7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40" w:type="dxa"/>
            <w:vAlign w:val="bottom"/>
          </w:tcPr>
          <w:p>
            <w:pPr>
              <w:spacing w:after="0"/>
              <w:rPr>
                <w:sz w:val="24"/>
                <w:szCs w:val="24"/>
                <w:color w:val="auto"/>
              </w:rPr>
            </w:pPr>
          </w:p>
        </w:tc>
      </w:tr>
      <w:tr>
        <w:trPr>
          <w:trHeight w:val="173"/>
        </w:trPr>
        <w:tc>
          <w:tcPr>
            <w:tcW w:w="7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Borders>
              <w:bottom w:val="single" w:sz="8" w:color="auto"/>
            </w:tcBorders>
          </w:tcPr>
          <w:p>
            <w:pPr>
              <w:spacing w:after="0"/>
              <w:rPr>
                <w:sz w:val="15"/>
                <w:szCs w:val="15"/>
                <w:color w:val="auto"/>
              </w:rPr>
            </w:pPr>
          </w:p>
        </w:tc>
      </w:tr>
      <w:tr>
        <w:trPr>
          <w:trHeight w:val="196"/>
        </w:trPr>
        <w:tc>
          <w:tcPr>
            <w:tcW w:w="7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6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r>
      <w:tr>
        <w:trPr>
          <w:trHeight w:val="234"/>
        </w:trPr>
        <w:tc>
          <w:tcPr>
            <w:tcW w:w="7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paid for interest</w:t>
            </w:r>
          </w:p>
        </w:tc>
        <w:tc>
          <w:tcPr>
            <w:tcW w:w="9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2,116</w:t>
            </w:r>
          </w:p>
        </w:tc>
        <w:tc>
          <w:tcPr>
            <w:tcW w:w="64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-2891155</wp:posOffset>
            </wp:positionV>
            <wp:extent cx="1028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-2334260</wp:posOffset>
            </wp:positionV>
            <wp:extent cx="1028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-1210945</wp:posOffset>
            </wp:positionV>
            <wp:extent cx="10287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-928370</wp:posOffset>
            </wp:positionV>
            <wp:extent cx="10287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Nature of the Business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Disc Medicine, Inc. (together with its subsidiaries, the “Company”) is a clinical-stage biopharmaceutical company focused on the discovery, development, and commercialization of novel treatments for patients suffering from serious hematologic diseases. The Company has assembled a portfolio of clinical and preclinical product candidates that aim to modify fundamental biological pathways associated with the formation and function of red blood cells, specifically heme biosynthesis and iron homeostasis. The Company’s current pipeline includes bitopertin for the treatment of erythropoietic porphyrias (“EPs”) including erythropoietic protoporphyria (“EPP”), X-linked protoporphyria (“XLP”), and Diamond-Blackfan Anemia (“DBA”); DISC-0974 for the treatment of anemia of myelofibrosis (“MF”), anemia of inflammatory bowel disease ("IBD"), and anemia of chronic kidney disease (“CKD”); and DISC-3405 for the treatment of polycythemia vera (“PV”), sickle cell disease ("SCD"), and other hematologic disorders. In addition, the Company’s preclinical programs include DISC-0998, for the treatment of anemia associated with inflammatory diseases. The Company’s approach to product candidate development leverages well-understood molecular mechanisms that have been validated in humans. The Company believes that each of its product candidates, if approved, has the potential to improve the lives of patients suffering from hematologic diseases. The Company was founded in October 2017. The Company’s principal offices are located in Watertown, Massachusetts.</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subject to a number of risks and uncertainties common to development stage companies in the biotechnology industry, including, but not limited to, risks associated with completing preclinical studies and clinical trials, receiving regulatory approvals for product candidates, development by competitors of new biopharmaceutical products, dependence on key personnel, reliance on third-party organizations, protection of proprietary technology, compliance with government regulations, the impact of public health crises such as pandemics and the ability to secure additional capital to fund operations. The Company’s research and development programs will require significant additional research and development efforts, including preclinical and clinical testing and regulatory approval, prior to commercialization. Even if the Company’s product development efforts are successful, it is uncertain when, if ever, the Company will realize revenue from product sales.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condensed consolidated financial statements have been prepared on the basis of the Company continuing as a going concern. The Company expects that its existing cash, cash equivalents and marketable securities as of September 30, 2025 of $615.9 million will enable the Company to fund its planned operating expense and capital expenditure requirements for at least twelve months from the date of issuance of these condensed consolidated financial statements. The Company has incurred recurring losses and negative cash flows from operations since inception. As of September 30, 2025, the Company had an accumulated deficit of $449.7 million. The Company expects its operating losses and negative operating cash flows to continue into the foreseeable future. The future viability of the Company is dependent on its ability to generate cash from operating activities or to raise additional capital to finance its operations. There can be no assurance that the Company will ever earn revenues or achieve profitability, or if achieved, that the revenues or profitability will be sustained on a continuing basis. In addition, the Company’s preclinical and clinical development activities, manufacturing and commercialization of the Company’s product candidates, if approved, may require significant additional financing.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significant accounting policies used in preparation of the condensed consolidated financial statements are described in the Company’s audited consolidated financial statements as of and for the year ended December 31, 2024 and the notes thereto, which are included in the Company’s Annual Report on Form 10-K. There have been no material changes to the significant accounting policies previously disclosed in the Company’s Annual Report on Form 10-K for the year ended December 31, 2024.</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the Company and its wholly-owned subsidiaries. All intercompany transactions and balances have been eliminated in consolidation.</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condensed consolidated financial statements are prepared in accordance with U.S. generally accepted accounting principles (“GAAP”). Any reference in these notes to applicable guidance is meant to refer to the authoritative accounting principles generally accepted in the United States as found in the Accounting Standard Codification (“ASC”) and Accounting Standards Updates (“ASU”) of the Financial Accounting Standards Board (“FASB”).</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Condensed Consolidated Financial Information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as of September 30, 2025 and for the three and nine months ended September 30, 2025 and 2024 are unaudited. The financial data and other information contained in the notes hereto as of September 30, 2025 and for the three and nine months ended September 30, 2025 and 2024 are also unaudited. The condensed consolidated balance sheet data as of December 31, 2024 was derived from the Company’s audited consolidated financial statements included in the Company’s Annual Report on Form 10-K.</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unaudited interim condensed consolidated financial statements have been prepared on the same basis as the audited annual consolidated financial statements, and in the opinion of management, reflect all adjustments, which include only normal recurring adjustments necessary for the fair presentation of the Company’s financial position as of September 30, 2025 and the results of its operations and cash flows for the three and nine months ended September 30, 2025 and 2024. These unaudited condensed consolidated financial statements should be read in conjunction with the audited consolidated financial statements as of and for the year ended December 31, 2024, and the notes thereto, included in the Company’s Annual Report on Form 10-K.</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results for the three and nine months ended September 30, 2025 and 2024 are not necessarily indicative of results to be expected for the full years, or any other interim periods, or any future year or period.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preparation of the Company’s condensed consolidated financial statements requires management to make estimates and assumptions that affect the reported amounts of assets and liabilities and disclosure of contingent assets and liabilities at the date of the condensed consolidated financial statements and the reported amounts of expenses during the reporting period. Significant estimates and assumptions reflected in these condensed consolidated financial statements include, but are not limited to accrued research and development expenses; stock-based compensation expense; the fair value of the common stock prior to the effective date of the reverse merger with Gemini Therapeutics, Inc. ("Gemini") in December 2022; and income taxes. The Company bases its estimates on historical experience, known trends and other market-specific or other relevant factors that it has concluded to be reasonable under the circumstances. On an ongoing basis, management evaluates its estimates as there are changes in circumstances, facts and experience. Changes in estimates are recorded in the period in which they become known. Actual results may differ materially from those estimates or assumptions.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of Significant Suppliers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primarily of cash, cash equivalents and marketable securities. The Company maintains deposits in federally insured financial institutions in excess of federally insured limits and limits its exposure to cash risk by placing its cash with high credit quality accredited financial institutions. The Company has concluded that it is not subject to unusual credit risk beyond the normal credit risk associated with commercial banking relationships.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relies, and expects to continue to rely, on a small number of vendors to manufacture supplies and to process its product candidates for its development programs. These programs could be adversely affected by a significant interruption in the manufacturing process or supply chain.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accounting standards that have been issued or proposed by the FASB or other standards-setting bodies that do not require adoption until a future date are not expected to have a material impact on the Company’s condensed consolidated financial statements upon adoption.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Cash, Cash Equivalents and Restricted Cash</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cash equivalents and restricted cash consisted of the following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9"/>
        </w:trPr>
        <w:tc>
          <w:tcPr>
            <w:tcW w:w="7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140,664</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192,434</w:t>
            </w:r>
          </w:p>
        </w:tc>
        <w:tc>
          <w:tcPr>
            <w:tcW w:w="0" w:type="dxa"/>
            <w:vAlign w:val="bottom"/>
          </w:tcPr>
          <w:p>
            <w:pPr>
              <w:spacing w:after="0"/>
              <w:rPr>
                <w:sz w:val="1"/>
                <w:szCs w:val="1"/>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240</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191"/>
        </w:trPr>
        <w:tc>
          <w:tcPr>
            <w:tcW w:w="756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Total cash, cash equivalents and restricted cash as shown on the condensed consolidated statements of</w:t>
            </w:r>
          </w:p>
        </w:tc>
        <w:tc>
          <w:tcPr>
            <w:tcW w:w="4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vMerge w:val="restart"/>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140,904</w:t>
            </w:r>
          </w:p>
        </w:tc>
        <w:tc>
          <w:tcPr>
            <w:tcW w:w="4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vMerge w:val="restart"/>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192,672</w:t>
            </w:r>
          </w:p>
        </w:tc>
        <w:tc>
          <w:tcPr>
            <w:tcW w:w="0" w:type="dxa"/>
            <w:vAlign w:val="bottom"/>
          </w:tcPr>
          <w:p>
            <w:pPr>
              <w:spacing w:after="0"/>
              <w:rPr>
                <w:sz w:val="1"/>
                <w:szCs w:val="1"/>
                <w:color w:val="auto"/>
              </w:rPr>
            </w:pPr>
          </w:p>
        </w:tc>
      </w:tr>
      <w:tr>
        <w:trPr>
          <w:trHeight w:val="99"/>
        </w:trPr>
        <w:tc>
          <w:tcPr>
            <w:tcW w:w="7560" w:type="dxa"/>
            <w:vAlign w:val="bottom"/>
            <w:vMerge w:val="restart"/>
            <w:shd w:val="clear" w:color="auto" w:fill="CFF0FC"/>
          </w:tcPr>
          <w:p>
            <w:pPr>
              <w:spacing w:after="0" w:line="194" w:lineRule="exact"/>
              <w:rPr>
                <w:sz w:val="20"/>
                <w:szCs w:val="20"/>
                <w:color w:val="auto"/>
              </w:rPr>
            </w:pPr>
            <w:r>
              <w:rPr>
                <w:rFonts w:ascii="Times New Roman" w:cs="Times New Roman" w:eastAsia="Times New Roman" w:hAnsi="Times New Roman"/>
                <w:sz w:val="18"/>
                <w:szCs w:val="18"/>
                <w:color w:val="auto"/>
              </w:rPr>
              <w:t>cash flows</w:t>
            </w:r>
          </w:p>
        </w:tc>
        <w:tc>
          <w:tcPr>
            <w:tcW w:w="400" w:type="dxa"/>
            <w:vAlign w:val="bottom"/>
            <w:gridSpan w:val="2"/>
            <w:vMerge w:val="continue"/>
            <w:shd w:val="clear" w:color="auto" w:fill="CFF0FC"/>
          </w:tcPr>
          <w:p>
            <w:pPr>
              <w:spacing w:after="0"/>
              <w:rPr>
                <w:sz w:val="8"/>
                <w:szCs w:val="8"/>
                <w:color w:val="auto"/>
              </w:rPr>
            </w:pPr>
          </w:p>
        </w:tc>
        <w:tc>
          <w:tcPr>
            <w:tcW w:w="1440" w:type="dxa"/>
            <w:vAlign w:val="bottom"/>
            <w:vMerge w:val="continue"/>
            <w:shd w:val="clear" w:color="auto" w:fill="CFF0FC"/>
          </w:tcPr>
          <w:p>
            <w:pPr>
              <w:spacing w:after="0"/>
              <w:rPr>
                <w:sz w:val="8"/>
                <w:szCs w:val="8"/>
                <w:color w:val="auto"/>
              </w:rPr>
            </w:pPr>
          </w:p>
        </w:tc>
        <w:tc>
          <w:tcPr>
            <w:tcW w:w="400" w:type="dxa"/>
            <w:vAlign w:val="bottom"/>
            <w:gridSpan w:val="2"/>
            <w:vMerge w:val="continue"/>
            <w:shd w:val="clear" w:color="auto" w:fill="CFF0FC"/>
          </w:tcPr>
          <w:p>
            <w:pPr>
              <w:spacing w:after="0"/>
              <w:rPr>
                <w:sz w:val="8"/>
                <w:szCs w:val="8"/>
                <w:color w:val="auto"/>
              </w:rPr>
            </w:pPr>
          </w:p>
        </w:tc>
        <w:tc>
          <w:tcPr>
            <w:tcW w:w="1440" w:type="dxa"/>
            <w:vAlign w:val="bottom"/>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7560" w:type="dxa"/>
            <w:vAlign w:val="bottom"/>
            <w:tcBorders>
              <w:bottom w:val="single" w:sz="8" w:color="CFF0FC"/>
            </w:tcBorders>
            <w:vMerge w:val="continue"/>
            <w:shd w:val="clear" w:color="auto" w:fill="CFF0FC"/>
          </w:tcPr>
          <w:p>
            <w:pPr>
              <w:spacing w:after="0"/>
              <w:rPr>
                <w:sz w:val="11"/>
                <w:szCs w:val="11"/>
                <w:color w:val="auto"/>
              </w:rPr>
            </w:pPr>
          </w:p>
        </w:tc>
        <w:tc>
          <w:tcPr>
            <w:tcW w:w="18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auto"/>
            </w:tcBorders>
            <w:shd w:val="clear" w:color="auto" w:fill="CFF0FC"/>
          </w:tcPr>
          <w:p>
            <w:pPr>
              <w:spacing w:after="0"/>
              <w:rPr>
                <w:sz w:val="11"/>
                <w:szCs w:val="11"/>
                <w:color w:val="auto"/>
              </w:rPr>
            </w:pPr>
          </w:p>
        </w:tc>
        <w:tc>
          <w:tcPr>
            <w:tcW w:w="1440" w:type="dxa"/>
            <w:vAlign w:val="bottom"/>
            <w:tcBorders>
              <w:bottom w:val="single" w:sz="8" w:color="auto"/>
            </w:tcBorders>
            <w:shd w:val="clear" w:color="auto" w:fill="CFF0FC"/>
          </w:tcPr>
          <w:p>
            <w:pPr>
              <w:spacing w:after="0"/>
              <w:rPr>
                <w:sz w:val="11"/>
                <w:szCs w:val="11"/>
                <w:color w:val="auto"/>
              </w:rPr>
            </w:pPr>
          </w:p>
        </w:tc>
        <w:tc>
          <w:tcPr>
            <w:tcW w:w="18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auto"/>
            </w:tcBorders>
            <w:shd w:val="clear" w:color="auto" w:fill="CFF0FC"/>
          </w:tcPr>
          <w:p>
            <w:pPr>
              <w:spacing w:after="0"/>
              <w:rPr>
                <w:sz w:val="11"/>
                <w:szCs w:val="11"/>
                <w:color w:val="auto"/>
              </w:rPr>
            </w:pPr>
          </w:p>
        </w:tc>
        <w:tc>
          <w:tcPr>
            <w:tcW w:w="1440" w:type="dxa"/>
            <w:vAlign w:val="bottom"/>
            <w:tcBorders>
              <w:bottom w:val="single" w:sz="8" w:color="auto"/>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-24765</wp:posOffset>
            </wp:positionV>
            <wp:extent cx="1111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-8255</wp:posOffset>
            </wp:positionV>
            <wp:extent cx="11112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7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restricted cash balance, which is classified within other assets on the condensed consolidated balance sheets, consists of letters of credit related to leased and subleased office space in Watertown, Massachusetts. The Company is required to maintain a separate cash balance to secure its letters of credit.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4. Marketable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Marketable securities as of September 30, 2025 consisted of the following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4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193"/>
        </w:trPr>
        <w:tc>
          <w:tcPr>
            <w:tcW w:w="4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0" w:type="dxa"/>
            <w:vAlign w:val="bottom"/>
          </w:tcPr>
          <w:p>
            <w:pPr>
              <w:spacing w:after="0"/>
              <w:rPr>
                <w:sz w:val="16"/>
                <w:szCs w:val="16"/>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Gains</w:t>
            </w: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Estimated Fair Value</w:t>
            </w:r>
          </w:p>
        </w:tc>
      </w:tr>
      <w:tr>
        <w:trPr>
          <w:trHeight w:val="23"/>
        </w:trPr>
        <w:tc>
          <w:tcPr>
            <w:tcW w:w="4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10"/>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Marketable securities available-for-sale:</w:t>
            </w:r>
          </w:p>
        </w:tc>
        <w:tc>
          <w:tcPr>
            <w:tcW w:w="20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r>
      <w:tr>
        <w:trPr>
          <w:trHeight w:val="216"/>
        </w:trPr>
        <w:tc>
          <w:tcPr>
            <w:tcW w:w="4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U.S. treasury securities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417,590</w:t>
            </w:r>
          </w:p>
        </w:tc>
        <w:tc>
          <w:tcPr>
            <w:tcW w:w="1120" w:type="dxa"/>
            <w:vAlign w:val="bottom"/>
            <w:gridSpan w:val="2"/>
          </w:tcPr>
          <w:p>
            <w:pPr>
              <w:jc w:val="right"/>
              <w:ind w:right="78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671</w:t>
            </w:r>
          </w:p>
        </w:tc>
        <w:tc>
          <w:tcPr>
            <w:tcW w:w="1200" w:type="dxa"/>
            <w:vAlign w:val="bottom"/>
            <w:gridSpan w:val="2"/>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418,256</w:t>
            </w:r>
          </w:p>
        </w:tc>
      </w:tr>
      <w:tr>
        <w:trPr>
          <w:trHeight w:val="216"/>
        </w:trPr>
        <w:tc>
          <w:tcPr>
            <w:tcW w:w="41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shd w:val="clear" w:color="auto" w:fill="CFF0FC"/>
          </w:tcPr>
          <w:p>
            <w:pPr>
              <w:spacing w:after="0"/>
              <w:rPr>
                <w:sz w:val="18"/>
                <w:szCs w:val="18"/>
                <w:color w:val="auto"/>
              </w:rPr>
            </w:pPr>
          </w:p>
        </w:tc>
        <w:tc>
          <w:tcPr>
            <w:tcW w:w="15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34,590</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34,590</w:t>
            </w:r>
          </w:p>
        </w:tc>
      </w:tr>
      <w:tr>
        <w:trPr>
          <w:trHeight w:val="216"/>
        </w:trPr>
        <w:tc>
          <w:tcPr>
            <w:tcW w:w="4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22,330</w:t>
            </w:r>
          </w:p>
        </w:tc>
        <w:tc>
          <w:tcPr>
            <w:tcW w:w="16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80</w:t>
            </w:r>
          </w:p>
        </w:tc>
        <w:tc>
          <w:tcPr>
            <w:tcW w:w="18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22,410</w:t>
            </w:r>
          </w:p>
        </w:tc>
      </w:tr>
      <w:tr>
        <w:trPr>
          <w:trHeight w:val="230"/>
        </w:trPr>
        <w:tc>
          <w:tcPr>
            <w:tcW w:w="41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474,510</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8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760</w:t>
            </w:r>
          </w:p>
        </w:tc>
        <w:tc>
          <w:tcPr>
            <w:tcW w:w="1200" w:type="dxa"/>
            <w:vAlign w:val="bottom"/>
            <w:gridSpan w:val="2"/>
            <w:shd w:val="clear" w:color="auto" w:fill="CFF0FC"/>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475,256</w:t>
            </w:r>
          </w:p>
        </w:tc>
      </w:tr>
      <w:tr>
        <w:trPr>
          <w:trHeight w:val="20"/>
        </w:trPr>
        <w:tc>
          <w:tcPr>
            <w:tcW w:w="4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660" w:type="dxa"/>
            <w:vAlign w:val="bottom"/>
            <w:tcBorders>
              <w:top w:val="single" w:sz="8" w:color="auto"/>
            </w:tcBorders>
            <w:shd w:val="clear" w:color="auto" w:fill="000000"/>
          </w:tcPr>
          <w:p>
            <w:pPr>
              <w:spacing w:after="0" w:line="20" w:lineRule="exact"/>
              <w:rPr>
                <w:sz w:val="1"/>
                <w:szCs w:val="1"/>
                <w:color w:val="auto"/>
              </w:rPr>
            </w:pPr>
          </w:p>
        </w:tc>
      </w:tr>
      <w:tr>
        <w:trPr>
          <w:trHeight w:val="304"/>
        </w:trPr>
        <w:tc>
          <w:tcPr>
            <w:tcW w:w="70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Marketable securities as of December 31, 2024 consisted of the following (in thousands):</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304"/>
        </w:trPr>
        <w:tc>
          <w:tcPr>
            <w:tcW w:w="4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4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93"/>
        </w:trPr>
        <w:tc>
          <w:tcPr>
            <w:tcW w:w="4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0" w:type="dxa"/>
            <w:vAlign w:val="bottom"/>
          </w:tcPr>
          <w:p>
            <w:pPr>
              <w:spacing w:after="0"/>
              <w:rPr>
                <w:sz w:val="16"/>
                <w:szCs w:val="16"/>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Gains</w:t>
            </w: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Estimated Fair Value</w:t>
            </w:r>
          </w:p>
        </w:tc>
      </w:tr>
      <w:tr>
        <w:trPr>
          <w:trHeight w:val="23"/>
        </w:trPr>
        <w:tc>
          <w:tcPr>
            <w:tcW w:w="4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09"/>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Marketable securities available-for-sale:</w:t>
            </w:r>
          </w:p>
        </w:tc>
        <w:tc>
          <w:tcPr>
            <w:tcW w:w="20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r>
      <w:tr>
        <w:trPr>
          <w:trHeight w:val="216"/>
        </w:trPr>
        <w:tc>
          <w:tcPr>
            <w:tcW w:w="4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U.S. treasury securities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189,409</w:t>
            </w:r>
          </w:p>
        </w:tc>
        <w:tc>
          <w:tcPr>
            <w:tcW w:w="1120" w:type="dxa"/>
            <w:vAlign w:val="bottom"/>
            <w:gridSpan w:val="2"/>
          </w:tcPr>
          <w:p>
            <w:pPr>
              <w:jc w:val="right"/>
              <w:ind w:right="78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288</w:t>
            </w:r>
          </w:p>
        </w:tc>
        <w:tc>
          <w:tcPr>
            <w:tcW w:w="1200" w:type="dxa"/>
            <w:vAlign w:val="bottom"/>
            <w:gridSpan w:val="2"/>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189,663</w:t>
            </w:r>
          </w:p>
        </w:tc>
      </w:tr>
      <w:tr>
        <w:trPr>
          <w:trHeight w:val="216"/>
        </w:trPr>
        <w:tc>
          <w:tcPr>
            <w:tcW w:w="412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0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107,722</w:t>
            </w:r>
          </w:p>
        </w:tc>
        <w:tc>
          <w:tcPr>
            <w:tcW w:w="16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85</w:t>
            </w:r>
          </w:p>
        </w:tc>
        <w:tc>
          <w:tcPr>
            <w:tcW w:w="18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107,784</w:t>
            </w:r>
          </w:p>
        </w:tc>
      </w:tr>
      <w:tr>
        <w:trPr>
          <w:trHeight w:val="209"/>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297,131</w:t>
            </w:r>
          </w:p>
        </w:tc>
        <w:tc>
          <w:tcPr>
            <w:tcW w:w="1120" w:type="dxa"/>
            <w:vAlign w:val="bottom"/>
            <w:gridSpan w:val="2"/>
          </w:tcPr>
          <w:p>
            <w:pPr>
              <w:jc w:val="right"/>
              <w:ind w:right="78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373</w:t>
            </w:r>
          </w:p>
        </w:tc>
        <w:tc>
          <w:tcPr>
            <w:tcW w:w="1200" w:type="dxa"/>
            <w:vAlign w:val="bottom"/>
            <w:gridSpan w:val="2"/>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297,447</w:t>
            </w:r>
          </w:p>
        </w:tc>
      </w:tr>
      <w:tr>
        <w:trPr>
          <w:trHeight w:val="20"/>
        </w:trPr>
        <w:tc>
          <w:tcPr>
            <w:tcW w:w="4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-1165225</wp:posOffset>
            </wp:positionV>
            <wp:extent cx="11176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-1148080</wp:posOffset>
            </wp:positionV>
            <wp:extent cx="11176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-1165225</wp:posOffset>
            </wp:positionV>
            <wp:extent cx="1111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-1148080</wp:posOffset>
            </wp:positionV>
            <wp:extent cx="1111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-1165225</wp:posOffset>
            </wp:positionV>
            <wp:extent cx="1111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-1148080</wp:posOffset>
            </wp:positionV>
            <wp:extent cx="1111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-170815</wp:posOffset>
            </wp:positionV>
            <wp:extent cx="11176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-170815</wp:posOffset>
            </wp:positionV>
            <wp:extent cx="1111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-170815</wp:posOffset>
            </wp:positionV>
            <wp:extent cx="1111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2025, all of the Company’s marketable securities are available to the Company for use in current operations. As a result, the Company has classified all of these securities as current assets even though the stated maturity of some individual securities may be one year or more beyond the balance sheet date. The following table shows the fair value of the Company’s marketable securities, by contractual maturity, as of September 30, 2025 (in thousands):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tcPr>
          <w:p>
            <w:pPr>
              <w:jc w:val="right"/>
              <w:ind w:right="1095"/>
              <w:spacing w:after="0"/>
              <w:rPr>
                <w:sz w:val="20"/>
                <w:szCs w:val="20"/>
                <w:color w:val="auto"/>
              </w:rPr>
            </w:pPr>
            <w:r>
              <w:rPr>
                <w:rFonts w:ascii="Times New Roman" w:cs="Times New Roman" w:eastAsia="Times New Roman" w:hAnsi="Times New Roman"/>
                <w:sz w:val="14"/>
                <w:szCs w:val="14"/>
                <w:b w:val="1"/>
                <w:bCs w:val="1"/>
                <w:color w:val="auto"/>
              </w:rPr>
              <w:t>September 30, 2025</w:t>
            </w:r>
          </w:p>
        </w:tc>
      </w:tr>
      <w:tr>
        <w:trPr>
          <w:trHeight w:val="215"/>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within one year</w:t>
            </w:r>
          </w:p>
        </w:tc>
        <w:tc>
          <w:tcPr>
            <w:tcW w:w="560" w:type="dxa"/>
            <w:vAlign w:val="bottom"/>
            <w:shd w:val="clear" w:color="auto" w:fill="CFF0FC"/>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28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401,960</w:t>
            </w: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56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73,296</w:t>
            </w:r>
          </w:p>
        </w:tc>
      </w:tr>
      <w:tr>
        <w:trPr>
          <w:trHeight w:val="250"/>
        </w:trPr>
        <w:tc>
          <w:tcPr>
            <w:tcW w:w="782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560" w:type="dxa"/>
            <w:vAlign w:val="bottom"/>
            <w:tcBorders>
              <w:bottom w:val="single" w:sz="8" w:color="auto"/>
            </w:tcBorders>
            <w:shd w:val="clear" w:color="auto" w:fill="CFF0FC"/>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28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475,256</w:t>
            </w:r>
          </w:p>
        </w:tc>
      </w:tr>
    </w:tbl>
    <w:p>
      <w:pPr>
        <w:spacing w:after="0" w:line="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aggregate fair value of marketable securities with unrealized losses was $34.6 million and $51.0 million as of September 30, 2025 and December 31, 2024, respectively. As of September 30, 2025 and December 31, 2024, six investments and five investments were in an unrealized loss position, respectively. All such investments have been in an unrealized loss position for less than a year and these losses are considered temporary. The Company has the ability and intent to hold these investments until a recovery of their amortized cost, which may not occur until maturity. The Company expects that U.S. treasury, U.S. government agency, and corporate debt securities are subject to minimal credit risk. As a result, the Company did not record any charges for credit-related impairments for its available-for-sale securities for three and nine months ended September 30, 2025 and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following tables present information about the Company’s assets and liabilities that are regularly measured and carried at fair value on a recurring basis and indicate the level within the fair value hierarchy of the valuation techniques the Company utilized to determine such fair value, which is described further within </w:t>
      </w:r>
      <w:r>
        <w:rPr>
          <w:rFonts w:ascii="Times New Roman" w:cs="Times New Roman" w:eastAsia="Times New Roman" w:hAnsi="Times New Roman"/>
          <w:sz w:val="18"/>
          <w:szCs w:val="18"/>
          <w:i w:val="1"/>
          <w:iCs w:val="1"/>
          <w:color w:val="auto"/>
        </w:rPr>
        <w:t>Note 2 - Summary of Significant Accounting Policies</w:t>
      </w:r>
      <w:r>
        <w:rPr>
          <w:rFonts w:ascii="Times New Roman" w:cs="Times New Roman" w:eastAsia="Times New Roman" w:hAnsi="Times New Roman"/>
          <w:sz w:val="18"/>
          <w:szCs w:val="18"/>
          <w:color w:val="auto"/>
        </w:rPr>
        <w:t xml:space="preserve"> to the consolidated financial statements in the Company’s Annual Report on Form 10-K for the year ended December 31, 2024.</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assets and liabilities measured at fair value on a recurring basis are summarized as follows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3"/>
        </w:trPr>
        <w:tc>
          <w:tcPr>
            <w:tcW w:w="40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Money market funds</w:t>
            </w:r>
          </w:p>
        </w:tc>
        <w:tc>
          <w:tcPr>
            <w:tcW w:w="2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110,291</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cash equivalents</w:t>
            </w:r>
          </w:p>
        </w:tc>
        <w:tc>
          <w:tcPr>
            <w:tcW w:w="214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110,291</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2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U.S. treasury securities</w:t>
            </w:r>
          </w:p>
        </w:tc>
        <w:tc>
          <w:tcPr>
            <w:tcW w:w="2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418,256</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34,590</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22,410</w:t>
            </w: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0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2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475,256</w:t>
            </w:r>
          </w:p>
        </w:tc>
        <w:tc>
          <w:tcPr>
            <w:tcW w:w="1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110,291</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475,256</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14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060" w:type="dxa"/>
            <w:vAlign w:val="bottom"/>
          </w:tcPr>
          <w:p>
            <w:pPr>
              <w:spacing w:after="0"/>
              <w:rPr>
                <w:sz w:val="24"/>
                <w:szCs w:val="24"/>
                <w:color w:val="auto"/>
              </w:rPr>
            </w:pPr>
          </w:p>
        </w:tc>
        <w:tc>
          <w:tcPr>
            <w:tcW w:w="21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06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4904105</wp:posOffset>
            </wp:positionH>
            <wp:positionV relativeFrom="paragraph">
              <wp:posOffset>-1803400</wp:posOffset>
            </wp:positionV>
            <wp:extent cx="136525" cy="1797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36525" cy="179705"/>
                    </a:xfrm>
                    <a:prstGeom prst="rect">
                      <a:avLst/>
                    </a:prstGeom>
                    <a:noFill/>
                  </pic:spPr>
                </pic:pic>
              </a:graphicData>
            </a:graphic>
          </wp:anchor>
        </w:drawing>
        <w:drawing>
          <wp:anchor simplePos="0" relativeHeight="251657728" behindDoc="1" locked="0" layoutInCell="0" allowOverlap="1">
            <wp:simplePos x="0" y="0"/>
            <wp:positionH relativeFrom="column">
              <wp:posOffset>6010275</wp:posOffset>
            </wp:positionH>
            <wp:positionV relativeFrom="paragraph">
              <wp:posOffset>-1803400</wp:posOffset>
            </wp:positionV>
            <wp:extent cx="136525" cy="1797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36525" cy="17970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-942340</wp:posOffset>
            </wp:positionV>
            <wp:extent cx="11112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-942340</wp:posOffset>
            </wp:positionV>
            <wp:extent cx="11112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95"/>
        </w:trPr>
        <w:tc>
          <w:tcPr>
            <w:tcW w:w="62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201"/>
        </w:trPr>
        <w:tc>
          <w:tcPr>
            <w:tcW w:w="620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10"/>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62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Money market funds</w:t>
            </w:r>
          </w:p>
        </w:tc>
        <w:tc>
          <w:tcPr>
            <w:tcW w:w="920" w:type="dxa"/>
            <w:vAlign w:val="bottom"/>
            <w:shd w:val="clear" w:color="auto" w:fill="CFF0FC"/>
          </w:tcPr>
          <w:p>
            <w:pPr>
              <w:jc w:val="right"/>
              <w:ind w:right="760"/>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6"/>
              </w:rPr>
              <w:t>88,735</w:t>
            </w:r>
          </w:p>
        </w:tc>
        <w:tc>
          <w:tcPr>
            <w:tcW w:w="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U.S. treasury securities</w:t>
            </w:r>
          </w:p>
        </w:tc>
        <w:tc>
          <w:tcPr>
            <w:tcW w:w="9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91,916</w:t>
            </w: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2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cash equivalents</w:t>
            </w:r>
          </w:p>
        </w:tc>
        <w:tc>
          <w:tcPr>
            <w:tcW w:w="92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6"/>
              </w:rPr>
              <w:t>88,735</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91,916</w:t>
            </w:r>
          </w:p>
        </w:tc>
        <w:tc>
          <w:tcPr>
            <w:tcW w:w="1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62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U.S. treasury securities</w:t>
            </w:r>
          </w:p>
        </w:tc>
        <w:tc>
          <w:tcPr>
            <w:tcW w:w="92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189,663</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9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107,784</w:t>
            </w: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2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92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297,447</w:t>
            </w:r>
          </w:p>
        </w:tc>
        <w:tc>
          <w:tcPr>
            <w:tcW w:w="1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920" w:type="dxa"/>
            <w:vAlign w:val="bottom"/>
          </w:tcPr>
          <w:p>
            <w:pPr>
              <w:jc w:val="right"/>
              <w:ind w:right="760"/>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6"/>
              </w:rPr>
              <w:t>88,735</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389,363</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-736600</wp:posOffset>
            </wp:positionV>
            <wp:extent cx="1111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-736600</wp:posOffset>
            </wp:positionV>
            <wp:extent cx="1111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-170815</wp:posOffset>
            </wp:positionV>
            <wp:extent cx="1111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1111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the Company’s Level 1 cash equivalents, consisting of money market funds, is based on quoted market prices in active markets with no valuation adjustment. The fair value of the Company’s Level 2 cash equivalents consisting of U.S. treasury securities with original maturities of three months or less and marketable securities consisting of U.S. treasury, U.S. government agency, and corporate debt securities with original maturities 24 months or less, are determined through third-party pricing services.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have been no impairments of the Company’s assets measured and carried at fair value during the three and nine months ended September 30, 2025 and 2024. There were no changes in valuation techniques during the three and nine months ended September 30, 2025 and 2024. There were no transfers between Level 1, Level 2 and Level 3 financial assets during the three and nine months ended September 30, 2025. The Company transferred assets of $0.9 million from Level 2 to Level 1 during the nine months ended September 30, 2024. The Company did not have any non-recurring fair value measurements on any assets or liabilities during the three and nine months ended September 30, 2025 and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Other Accrued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accrued expenses consisted of the following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employee-related expenses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9,000</w:t>
            </w: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7,211</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220" w:type="dxa"/>
            <w:vAlign w:val="bottom"/>
          </w:tcPr>
          <w:p>
            <w:pPr>
              <w:spacing w:after="0"/>
              <w:rPr>
                <w:sz w:val="18"/>
                <w:szCs w:val="18"/>
                <w:color w:val="auto"/>
              </w:rPr>
            </w:pPr>
          </w:p>
        </w:tc>
        <w:tc>
          <w:tcPr>
            <w:tcW w:w="14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1,366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531</w:t>
            </w:r>
          </w:p>
        </w:tc>
      </w:tr>
      <w:tr>
        <w:trPr>
          <w:trHeight w:val="216"/>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other</w:t>
            </w: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749</w:t>
            </w:r>
          </w:p>
        </w:tc>
        <w:tc>
          <w:tcPr>
            <w:tcW w:w="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355</w:t>
            </w:r>
          </w:p>
        </w:tc>
      </w:tr>
      <w:tr>
        <w:trPr>
          <w:trHeight w:val="210"/>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Total other accrued expenses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11,115</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8,097</w:t>
            </w:r>
          </w:p>
        </w:tc>
      </w:tr>
      <w:tr>
        <w:trPr>
          <w:trHeight w:val="20"/>
        </w:trPr>
        <w:tc>
          <w:tcPr>
            <w:tcW w:w="7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-170815</wp:posOffset>
            </wp:positionV>
            <wp:extent cx="12001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Licensing Activities and Business Development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and Stock Purchase Agreement with AbbVie Deutschland GmbH &amp; Co. KG (“AbbVie”)</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September 2019, the Company entered into an agreement with AbbVie, pursuant to which AbbVie granted the Company an exclusive license, with the right to grant sublicenses, to certain AbbVie intellectual property.</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this agreement, the Company paid a non-refundable, non-creditable upfront fee of $0.6 million. The Company is also obligated to make aggregate payments upon the achievement of certain development, commercialization and sales-based milestones up to $18.0 million, $45.0 million and $87.5 million, respectively on a licensed product-by-licensed product basis. In addition, the Company is also obligated to pay royalties based on net sales of the licensed products on a licensed product-by-licensed product and country-by-country basis.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royalty obligation expires on a licensed product-by-licensed product and country-by-country basis upon the expiration of the last-to-expire valid claim under the licensed intellectual property rights in such country. Unless terminated earlier, the agreement expires upon the expiration of the Company’s royalty obligation for all licensed products. AbbVie can terminate the agreement if the Company fails to make any payments within a specified period after receiving written notice of such failure, or in the event of a material breach by the Company and failure to cure such breach within a certain period of time.</w:t>
      </w:r>
    </w:p>
    <w:p>
      <w:pPr>
        <w:spacing w:after="0" w:line="7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January 2025, the Company made a milestone payment of $3.0 million upon the first administration to a patient in the Phase 2 clinical trial of DISC-0974 which was recorded within research and development in the Company’s condensed consolidated statements of operations and comprehensive loss for the nine months ended September 30, 2025. As of September 30, 2025, no additional milestones had been achieved.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F. Hoffmann-La Roche Ltd and Hoffmann-La Roche Inc. (collectively “Roche”)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a license agreement with Roche, (the "Roche Agreement"), the Company paid Roche an upfront, non-refundable exclusivity payment of $0.5 million in March 2021. Upon execution of the Roche Agreement in May 2021, the Company paid Roche an additional upfront, non-refundable payment of $4.0 million.</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obligated to make contingent payments to Roche up to an aggregate of $50.0 million in development and regulatory milestone payments for development and approval in a first indication and up to an aggregate of $35.0 million in development and regulatory milestone payments for development and approval in a second indication. The Company is also obligated to make contingent payments to Roche up to an aggregate of $120.0 million based on achievement of certain thresholds for annual net sales of licensed products. Roche is also eligible to receive tiered royalties on net sales of commercialized products, at rates ranging from high single-digits to high teens. Pursuant to the terms of the Roche Agreement and in connection with the Company's reverse merger with Gemini, the Company issued 482,313 shares of the Company to Roche for no consideration.</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June 2025, the Company made a milestone payment of $10.0 million upon the initiation of the first Phase 3 clinical trial with a licensed product in a first indication which was recorded within research and development in the Company’s condensed consolidated statements of operations and comprehensive loss for the nine months ended September 30, 2025. The next potential milestone payment is $15.0 million due upon regulatory approval in the United States with a licensed product in a first indication. As of September 30, 2025, this milestone had not been achieved.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Mabwell Therapeutics, Inc. ("Mabwell")</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January 2023, the Company entered into an exclusive license agreement with Mabwell pursuant to which Mabwell granted the Company an exclusive and sublicensable license to certain Mabwell intellectual property.</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agreement, the Company paid Mabwell an upfront payment of $10.0 million in March 2023. In addition, the Company is obligated to pay certain development and regulatory milestone payments for the licensed products, for up to three indications, up to a maximum aggregate amount of $127.5 million, as well as certain commercial milestone payments for certain licensed product net sales achievements, up to a maximum aggregate amount of $275.0 million. The Company is further obligated to pay a tiered percentage of revenue that the Company receives from its sublicensees ranging from a low third decile percentage to a low first decile percentage. In addition, the Company is obligated to pay Mabwell a royalty on annual net sales of all licensed products at a tiered rate ranging from low single-digits to high single-digits.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October 2023, the Company dosed the first patient in the Phase 1 clinical trial for DISC-3405, resulting in a milestone payment of $5.0 million to Mabwell. In September 2025, the Company made a milestone payment of $10.0 million upon the first administration to a patient in a Phase 2 clinical trial for DISC-3405 which was recorded within research and development in the Company’s condensed consolidated statements of operations and comprehensive loss for the three and nine months ended September 30, 2025. The next potential milestone payment is $5.0 million due upon the first administration to a patient in a Phase 1b clinical trial with a licensed product in a second indication. As of September 30, 2025, this milestone had not been achieved.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Oak Bay Biosciences, Inc. (“OBB”)</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2024, the Company entered into an out-license agreement with OBB pursuant to which the Company granted an exclusive license, with the right to grant sublicenses, to certain Gemini intellectual property. Under the terms of the agreement, the Company received an upfront payment of $0.2 million with additional consideration receivable upon the achievement of certain clinical, regulatory and sales milestones up to $7.0 million, $35.0 million, and $160.0 million, respectively. As of September 30, 2025, none of the milestones had been achieved and are not considered probable of achievement.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Agreement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27, 2025, the Company acquired a privately held company with a clinic-ready program for myelodysplastic syndromes and similar hematologic conditions. The transaction included no upfront cash payment and up to $50.0 million in late-stage contingent development and sales-based milestone payments (“Contingent Consideration”). The acquired entity’s primary asset was in-process research and development (“IPR&amp;D”) with no alternative future use.</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determined that the acquired entity did not meet the definition of a business under ASC 805. The transaction was accounted for as the initial consolidation of a variable interest entity (“VIE”) in accordance with ASC 810, as the acquired entity lacked sufficient equity at risk to fund its operations, and the Company became its sole equity holder and primary beneficiary.</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transaction, the Company recorded the acquired assets and assumed liabilities at their estimated fair values as of the acquisition date, which resulted in net acquired liabilities of $0.5 million, excluding Contingent Consideration. Total consideration transferred, including the fair value of the Contingent Consideration, was $0.3 million. The difference between the consideration transferred and the fair value of net liabilities assumed resulted in a $0.9 million loss upon initial consolidation, which</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6" w:name="page17"/>
    <w:bookmarkEnd w:id="16"/>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was recorded within research and development in the Company’s condensed consolidated statements of operations and comprehensive loss for the nine months ended September 30, 2025.</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fair value of the Contingent Consideration was determined using Level 3 unobservable inputs including management's estimates of milestone achievement probabilities and the application of an appropriate discount rate. Because the milestone payments were not accounted for as derivatives under ASC 815, they were initially measured at fair value as of the acquisition date and are not remeasured each reporting period. The Contingent Consideration will be adjusted when it is determined that achievement of the contingent milestone is probable, which is generally upon achievement of the milestone event.</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part of the transaction, the Company also obtained an exclusive license to certain intellectual property. Under the terms of the license, the Company is obligated to make certain development and sales-based milestone payments of up to $5.6 million and $20.0 million, respectively, for each compound. Additionally, the Company is required to pay royalties on net sales of licensed products at rates in the low single-digits.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Long-Term Debt</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6, 2024 (the "Closing Date"), the Company entered into a Loan and Security Agreement (the “Hercules Loan Agreement”), with the lenders party thereto (the “Lenders”) and Hercules Capital, Inc., as administrative agent and collateral agent (the “Agent”). The Hercules Loan Agreement provides for up to $200.0 million of senior secured term loans available to the Company in multiple tranches (the “Term Loan Facility”). Under the Hercules Loan Agreement, the Company borrowed an initial amount of $30.0 million on the Closing Date, and at the Company's sole option, can draw an additional $80.0 million on or prior to December 15, 2026, as well as additional term loan advances in an aggregate principal amount of up to $65.0 million during the term of the Term Loan Facility subject to achievement of specified performance milestones, and one additional term loan advance up to an aggregate principal amount of $25.0 million subject to certain terms and conditions. The Company intends to use the proceeds of the Term Loan Facility for working capital and general corporate purposes.</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Term Loan Facility will mature on December 1, 2029 (the “Maturity Date”). The outstanding principal balance of the Term Loan Facility bears cash interest at a floating annual rate equal to the greater of (i) 8.25% and (ii) the sum of the Prime Rate and 1.75%. Accrued interest is payable monthly following the funding of each term loan advance. Borrowings under the Hercules Loan Agreement are repayable in monthly interest-only payments through November 2028. At the end of the interest-only payment period, borrowings under the Hercules Loan Agreement are repayable in equal monthly payments of principal and accrued interest until the Maturity Date. At the Company's option, the Company may prepay all or a portion of the outstanding borrowings, subject to a prepayment fee of 3.0% of the principal amount if prepayment occurs during the 18 months following the Closing Date, 2.0% after 18 months following the Closing Date but prior to 36 months following the Closing Date, and 1.0% thereafter.</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obligations under the Hercules Loan Agreement are secured, subject to customary permitted liens and other agreed-upon exceptions, by a first-priority perfected security interest in all of the tangible and intangible assets of the Company, other than intellectual property. The Hercules Loan Agreement includes customary repayment and prepayment terms, events of default, affirmative and negative covenants and representations and warranties. Additionally, the Hercules Loan Agreement contains a minimum cash covenant that requires the Company to maintain certain levels of cash in accounts subject to a control agreement in favor of the Agent at all times beginning on the first day on or after January 1, 2027 (or January 1, 2028, if the Company achieves a certain milestone) on which the aggregate principal amount of the term loan advances is then more than $50.0 million; provided, however, the minimum cash covenant will be waived during all times that the Company's market capitalization is greater than or equal to $1.0 billion. The Hercules Loan Agreement also includes a subjective acceleration clause for circumstances which could be reasonably expected to have a material adverse effect on the Company.</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Hercules Loan Agreement provides for a final payment ("End of Term Charge"), payable upon maturity or the repayment of the obligations in full or in part (on a pro rata basis), equal to 6.75% of the aggregate principal amount of term loans advanced to the Company and repaid on such date, which is being accrued on the Company's condensed consolidated balance sheets.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recorded debt discount and debt issuance costs of $1.8 million upon closing of the Hercules Loan Agreement. Debt discount and unamortized debt issuance costs were recorded as a reduction of the carrying amount on the term loan and are amortized as interest expense using the effective-interest method. In addition, unamortized deferred financing costs of $0.6 million were recorded in other assets as of September 30, 2025, related to the Company's right to borrow additional amounts in the future.</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expense for the three and nine months ended September 30, 2025 was $0.9 million and $2.7 million, respectively. As of September 30, 2025, the carrying value of the Term Loan Facility approximates its fair value.</w:t>
      </w: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The obligations under the Term Loan Facility as of September 30, 2025 consisted of the following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140" w:type="dxa"/>
            <w:vAlign w:val="bottom"/>
          </w:tcPr>
          <w:p>
            <w:pPr>
              <w:jc w:val="right"/>
              <w:ind w:right="953"/>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844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tcPr>
          <w:p>
            <w:pPr>
              <w:jc w:val="right"/>
              <w:ind w:right="123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8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Principal term loan balance</w:t>
            </w:r>
          </w:p>
        </w:tc>
        <w:tc>
          <w:tcPr>
            <w:tcW w:w="660" w:type="dxa"/>
            <w:vAlign w:val="bottom"/>
            <w:shd w:val="clear" w:color="auto" w:fill="CFF0FC"/>
          </w:tcPr>
          <w:p>
            <w:pPr>
              <w:jc w:val="right"/>
              <w:ind w:right="496"/>
              <w:spacing w:after="0"/>
              <w:rPr>
                <w:sz w:val="20"/>
                <w:szCs w:val="20"/>
                <w:color w:val="auto"/>
              </w:rPr>
            </w:pPr>
            <w:r>
              <w:rPr>
                <w:rFonts w:ascii="Times New Roman" w:cs="Times New Roman" w:eastAsia="Times New Roman" w:hAnsi="Times New Roman"/>
                <w:sz w:val="17"/>
                <w:szCs w:val="17"/>
                <w:color w:val="auto"/>
                <w:w w:val="70"/>
              </w:rPr>
              <w:t>$</w:t>
            </w:r>
          </w:p>
        </w:tc>
        <w:tc>
          <w:tcPr>
            <w:tcW w:w="21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30,000</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Unamortized debt discount and issuance costs</w:t>
            </w:r>
          </w:p>
        </w:tc>
        <w:tc>
          <w:tcPr>
            <w:tcW w:w="66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w:t>
            </w:r>
          </w:p>
        </w:tc>
      </w:tr>
      <w:tr>
        <w:trPr>
          <w:trHeight w:val="216"/>
        </w:trPr>
        <w:tc>
          <w:tcPr>
            <w:tcW w:w="8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end of term fee</w:t>
            </w:r>
          </w:p>
        </w:tc>
        <w:tc>
          <w:tcPr>
            <w:tcW w:w="660" w:type="dxa"/>
            <w:vAlign w:val="bottom"/>
            <w:tcBorders>
              <w:bottom w:val="single" w:sz="8" w:color="auto"/>
            </w:tcBorders>
            <w:shd w:val="clear" w:color="auto" w:fill="CFF0FC"/>
          </w:tcPr>
          <w:p>
            <w:pPr>
              <w:spacing w:after="0"/>
              <w:rPr>
                <w:sz w:val="18"/>
                <w:szCs w:val="18"/>
                <w:color w:val="auto"/>
              </w:rPr>
            </w:pPr>
          </w:p>
        </w:tc>
        <w:tc>
          <w:tcPr>
            <w:tcW w:w="214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398</w:t>
            </w:r>
          </w:p>
        </w:tc>
      </w:tr>
      <w:tr>
        <w:trPr>
          <w:trHeight w:val="209"/>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66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7"/>
                <w:szCs w:val="17"/>
                <w:color w:val="auto"/>
                <w:w w:val="70"/>
              </w:rPr>
              <w:t>$</w:t>
            </w:r>
          </w:p>
        </w:tc>
        <w:tc>
          <w:tcPr>
            <w:tcW w:w="21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28,948</w:t>
            </w:r>
          </w:p>
        </w:tc>
      </w:tr>
      <w:tr>
        <w:trPr>
          <w:trHeight w:val="20"/>
        </w:trPr>
        <w:tc>
          <w:tcPr>
            <w:tcW w:w="84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r>
        <w:trPr>
          <w:trHeight w:val="305"/>
        </w:trPr>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annual principal payments due under the Term Loan Facility as of September 30, 2025 were as follows (in thousands):</w:t>
            </w:r>
          </w:p>
        </w:tc>
        <w:tc>
          <w:tcPr>
            <w:tcW w:w="2140" w:type="dxa"/>
            <w:vAlign w:val="bottom"/>
          </w:tcPr>
          <w:p>
            <w:pPr>
              <w:spacing w:after="0"/>
              <w:rPr>
                <w:sz w:val="24"/>
                <w:szCs w:val="24"/>
                <w:color w:val="auto"/>
              </w:rPr>
            </w:pPr>
          </w:p>
        </w:tc>
      </w:tr>
      <w:tr>
        <w:trPr>
          <w:trHeight w:val="108"/>
        </w:trPr>
        <w:tc>
          <w:tcPr>
            <w:tcW w:w="8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140" w:type="dxa"/>
            <w:vAlign w:val="bottom"/>
          </w:tcPr>
          <w:p>
            <w:pPr>
              <w:spacing w:after="0"/>
              <w:rPr>
                <w:sz w:val="9"/>
                <w:szCs w:val="9"/>
                <w:color w:val="auto"/>
              </w:rPr>
            </w:pPr>
          </w:p>
        </w:tc>
      </w:tr>
      <w:tr>
        <w:trPr>
          <w:trHeight w:val="216"/>
        </w:trPr>
        <w:tc>
          <w:tcPr>
            <w:tcW w:w="8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Remainder of 2025</w:t>
            </w:r>
          </w:p>
        </w:tc>
        <w:tc>
          <w:tcPr>
            <w:tcW w:w="660" w:type="dxa"/>
            <w:vAlign w:val="bottom"/>
            <w:shd w:val="clear" w:color="auto" w:fill="CFF0FC"/>
          </w:tcPr>
          <w:p>
            <w:pPr>
              <w:jc w:val="right"/>
              <w:ind w:right="496"/>
              <w:spacing w:after="0"/>
              <w:rPr>
                <w:sz w:val="20"/>
                <w:szCs w:val="20"/>
                <w:color w:val="auto"/>
              </w:rPr>
            </w:pPr>
            <w:r>
              <w:rPr>
                <w:rFonts w:ascii="Times New Roman" w:cs="Times New Roman" w:eastAsia="Times New Roman" w:hAnsi="Times New Roman"/>
                <w:sz w:val="17"/>
                <w:szCs w:val="17"/>
                <w:color w:val="auto"/>
                <w:w w:val="70"/>
              </w:rPr>
              <w:t>$</w:t>
            </w:r>
          </w:p>
        </w:tc>
        <w:tc>
          <w:tcPr>
            <w:tcW w:w="21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660" w:type="dxa"/>
            <w:vAlign w:val="bottom"/>
          </w:tcPr>
          <w:p>
            <w:pPr>
              <w:spacing w:after="0"/>
              <w:rPr>
                <w:sz w:val="18"/>
                <w:szCs w:val="18"/>
                <w:color w:val="auto"/>
              </w:rPr>
            </w:pPr>
          </w:p>
        </w:tc>
        <w:tc>
          <w:tcPr>
            <w:tcW w:w="21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660" w:type="dxa"/>
            <w:vAlign w:val="bottom"/>
            <w:shd w:val="clear" w:color="auto" w:fill="CFF0FC"/>
          </w:tcPr>
          <w:p>
            <w:pPr>
              <w:spacing w:after="0"/>
              <w:rPr>
                <w:sz w:val="18"/>
                <w:szCs w:val="18"/>
                <w:color w:val="auto"/>
              </w:rPr>
            </w:pPr>
          </w:p>
        </w:tc>
        <w:tc>
          <w:tcPr>
            <w:tcW w:w="21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660" w:type="dxa"/>
            <w:vAlign w:val="bottom"/>
          </w:tcPr>
          <w:p>
            <w:pPr>
              <w:spacing w:after="0"/>
              <w:rPr>
                <w:sz w:val="18"/>
                <w:szCs w:val="18"/>
                <w:color w:val="auto"/>
              </w:rPr>
            </w:pPr>
          </w:p>
        </w:tc>
        <w:tc>
          <w:tcPr>
            <w:tcW w:w="21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2,206</w:t>
            </w:r>
          </w:p>
        </w:tc>
      </w:tr>
      <w:tr>
        <w:trPr>
          <w:trHeight w:val="216"/>
        </w:trPr>
        <w:tc>
          <w:tcPr>
            <w:tcW w:w="8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660" w:type="dxa"/>
            <w:vAlign w:val="bottom"/>
            <w:tcBorders>
              <w:bottom w:val="single" w:sz="8" w:color="auto"/>
            </w:tcBorders>
            <w:shd w:val="clear" w:color="auto" w:fill="CFF0FC"/>
          </w:tcPr>
          <w:p>
            <w:pPr>
              <w:spacing w:after="0"/>
              <w:rPr>
                <w:sz w:val="18"/>
                <w:szCs w:val="18"/>
                <w:color w:val="auto"/>
              </w:rPr>
            </w:pPr>
          </w:p>
        </w:tc>
        <w:tc>
          <w:tcPr>
            <w:tcW w:w="214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27,794</w:t>
            </w:r>
          </w:p>
        </w:tc>
      </w:tr>
      <w:tr>
        <w:trPr>
          <w:trHeight w:val="209"/>
        </w:trPr>
        <w:tc>
          <w:tcPr>
            <w:tcW w:w="8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66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7"/>
                <w:szCs w:val="17"/>
                <w:color w:val="auto"/>
                <w:w w:val="70"/>
              </w:rPr>
              <w:t>$</w:t>
            </w:r>
          </w:p>
        </w:tc>
        <w:tc>
          <w:tcPr>
            <w:tcW w:w="21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30,000</w:t>
            </w:r>
          </w:p>
        </w:tc>
      </w:tr>
      <w:tr>
        <w:trPr>
          <w:trHeight w:val="20"/>
        </w:trPr>
        <w:tc>
          <w:tcPr>
            <w:tcW w:w="84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of future principal payments excludes the End of Term Charge of $2.0 million, which is due upon the maturity of the loan.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Stockholders'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was authorized to issue up to 10,000,000 shares of preferred stock, $0.0001 par value per share. As of September 30, 2025, no shares of preferred stock were issued or outstanding.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was authorized to issue up to 100,000,000 shares of common stock, $0.0001 par value per share. As of September 30, 2025, 35,006,636 shares of common stock were issued and outstanding.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Underwritten Offerings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January 2025 Offering</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January 2025, in connection with an underwriting agreement with Jeffries LLC, Leerink Partners LLC, Stifel, Nicolaus &amp; Company, Incorporated and Cantor Fitzgerald &amp; Co., the Company issued 4,533,182 shares of its common stock, which included the exercise in full by the underwriters of their option to purchase up to 615,000 additional shares of common stock, at a public offering price of $55.00 per share. The Company also sold pre-funded warrants to purchase an aggregate of 181,818 shares of common stock at a price of $54.9999 per pre-funded warrant. The Company received aggregate net proceeds of $243.4 million, after deducting offering expenses of $15.9 million. As of September 30, 2025, none of the 181,818 pre-funded warrants had been exercised.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June 2024 Offering</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June 2024, the Company entered into an underwriting agreement with Leerink Partners LLC related to an underwritten offering of 4,944,000 shares of common stock of the Company, par value $0.0001 per share, at a price to the public of $36.00 per share. The Company received net proceeds of $172.5 million, after deducting the underwriting discount and offering expenses of $5.5 million.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June 2023 Offering</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June 2023, the Company issued 3,015,919 shares of its common stock upon the completion of its public follow-on offering, which included the exercise in full by the underwriters of their option to purchase up to 420,000 additional shares of common stock, at a public offering price of $49.00 per share. The Company also sold, in lieu of shares of the Company’s common stock, pre-funded warrants to purchase an aggregate of 204,081 shares of common stock at a price of $48.9999 per pre-funded warrant. As of September 30, 2025, none of the 204,081 pre-funded warrants had been exercised.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ATM Programs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Cantor Fitzgerald &amp; Co. (“Cantor”)</w:t>
      </w:r>
    </w:p>
    <w:p>
      <w:pPr>
        <w:spacing w:after="0" w:line="1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November 15, 2024, the Company entered into a Controlled Equity Offering Sales Agreement (the “Cantor ATM Agreement”) with Cantor, pursuant to which the Company may, from time to time in its sole discretion, issue and sell to or through Cantor, acting as sales agent, shares of the Company’s common stock, par value $0.0001 per share having an aggregate offering price of up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8" w:name="page19"/>
    <w:bookmarkEnd w:id="18"/>
    <w:p>
      <w:pPr>
        <w:jc w:val="both"/>
        <w:spacing w:after="0" w:line="282" w:lineRule="auto"/>
        <w:rPr>
          <w:sz w:val="20"/>
          <w:szCs w:val="20"/>
          <w:color w:val="auto"/>
        </w:rPr>
      </w:pPr>
      <w:r>
        <w:rPr>
          <w:rFonts w:ascii="Times New Roman" w:cs="Times New Roman" w:eastAsia="Times New Roman" w:hAnsi="Times New Roman"/>
          <w:sz w:val="18"/>
          <w:szCs w:val="18"/>
          <w:color w:val="auto"/>
        </w:rPr>
        <w:t>$200.0 million. This offering was made pursuant to the Company's effective registration statement on Form S-3 filed in August 2024 (the "August 2024 Shelf").</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2025, the Company sold an aggregate of 162,457 shares of common stock in Cantor ATM offerings under the August 2024 Shelf and pursuant to the Cantor ATM Agreement. Aggregate gross proceeds from the transaction were $10.1 million and the Company received $9.8 million in net proceeds, after deducting placement agent fees and offering expenses.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Jefferies LLC ("Jefferies")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October 2023, the Company entered into an Open Market Sale Agreement with Jefferies as sales agent (the “Jefferies ATM Agreement”) to provide for the offering, issuance and sale by the Company of up to $59.7 million of the Company’s common stock from time to time in at-the-market ("ATM") offerings under the Company's registration statement on Form S-3 filed in January 2023. In November 2023, the Company filed a shelf registration statement on Form S-3 with the SEC, which covered the offering, issuance and sale by the Company of up to an aggregate of $400.0 million of the Company’s common stock, preferred stock, debt securities, warrants or units (the “November 2023 Shelf”). On December 5, 2023, the Company and Jefferies entered into an amendment to the Jefferies ATM Agreement to increase the aggregate offering price of the shares of common stock that the Company may offer under the Jefferies ATM Agreement from $59.7 million to $200.0 million. The material terms and conditions of the Jefferies ATM Agreement otherwise remained unchanged. On November 15, 2024, the Company terminated the Jefferies ATM Agreement.</w:t>
      </w:r>
    </w:p>
    <w:p>
      <w:pPr>
        <w:spacing w:after="0" w:line="8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2024, the Company sold an aggregate of 234,449 shares of common stock in Jefferies ATM offerings under the November 2023 Shelf and pursuant to the Jefferies ATM Agreement. Aggregate gross proceeds from the transactions were $15.3 million and the Company received $14.8 million in net proceeds, after deducting placement agent fees and offering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Stock-Based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Plans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grants stock-based awards under its 2021 Stock Option and Incentive Plan (the “2021 Plan”), which was approved by its stockholders in February 2021 and amended and restated in January 2023. The Company also has outstanding stock option awards under its 2017 Stock Option and Grant Plan (the “Private Disc Plan”) but is no longer granting awards under this plan or its 2021 Inducement Plan. The Company also grants awards under its 2021 Employee Stock Purchase Plan (the “2021 ESPP”), which was approved by the Company's stockholders in July 2021 and amended and restated in January 2023.</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Out-of-Plan Inducement Grants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the Company grants equity awards to newly hired executives as a material inducement to enter into employment with the Company. These grants are made in accordance with Rule 5635(c)(4) of the Nasdaq Listing Rules and are issued outside the 2021 Plan, the 2021 Inducement Plan and each of the other stock incentive plans described above.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Total stock-based compensation expense recorded as research and development and selling, general and administrative expenses, respectively, for employees, directors and non-employees is as follows (in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0" w:type="dxa"/>
            <w:vAlign w:val="bottom"/>
            <w:gridSpan w:val="3"/>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80" w:type="dxa"/>
            <w:vAlign w:val="bottom"/>
          </w:tcPr>
          <w:p>
            <w:pPr>
              <w:spacing w:after="0"/>
              <w:rPr>
                <w:sz w:val="13"/>
                <w:szCs w:val="13"/>
                <w:color w:val="auto"/>
              </w:rPr>
            </w:pPr>
          </w:p>
        </w:tc>
      </w:tr>
      <w:tr>
        <w:trPr>
          <w:trHeight w:val="173"/>
        </w:trPr>
        <w:tc>
          <w:tcPr>
            <w:tcW w:w="3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Borders>
              <w:bottom w:val="single" w:sz="8" w:color="auto"/>
            </w:tcBorders>
          </w:tcPr>
          <w:p>
            <w:pPr>
              <w:spacing w:after="0"/>
              <w:rPr>
                <w:sz w:val="15"/>
                <w:szCs w:val="15"/>
                <w:color w:val="auto"/>
              </w:rPr>
            </w:pPr>
          </w:p>
        </w:tc>
      </w:tr>
      <w:tr>
        <w:trPr>
          <w:trHeight w:val="210"/>
        </w:trPr>
        <w:tc>
          <w:tcPr>
            <w:tcW w:w="3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720" w:type="dxa"/>
            <w:vAlign w:val="bottom"/>
            <w:gridSpan w:val="2"/>
            <w:shd w:val="clear" w:color="auto" w:fill="CFF0FC"/>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4,423</w:t>
            </w:r>
          </w:p>
        </w:tc>
        <w:tc>
          <w:tcPr>
            <w:tcW w:w="1120" w:type="dxa"/>
            <w:vAlign w:val="bottom"/>
            <w:gridSpan w:val="2"/>
            <w:shd w:val="clear" w:color="auto" w:fill="CFF0FC"/>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1,680</w:t>
            </w:r>
          </w:p>
        </w:tc>
        <w:tc>
          <w:tcPr>
            <w:tcW w:w="1080" w:type="dxa"/>
            <w:vAlign w:val="bottom"/>
            <w:gridSpan w:val="2"/>
            <w:shd w:val="clear" w:color="auto" w:fill="CFF0FC"/>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11,244</w:t>
            </w:r>
          </w:p>
        </w:tc>
        <w:tc>
          <w:tcPr>
            <w:tcW w:w="62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4,909</w:t>
            </w: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0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5,091</w:t>
            </w:r>
          </w:p>
        </w:tc>
        <w:tc>
          <w:tcPr>
            <w:tcW w:w="16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2,652</w:t>
            </w:r>
          </w:p>
        </w:tc>
        <w:tc>
          <w:tcPr>
            <w:tcW w:w="22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13,053</w:t>
            </w: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7,572</w:t>
            </w:r>
          </w:p>
        </w:tc>
      </w:tr>
      <w:tr>
        <w:trPr>
          <w:trHeight w:val="230"/>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720" w:type="dxa"/>
            <w:vAlign w:val="bottom"/>
            <w:gridSpan w:val="2"/>
            <w:shd w:val="clear" w:color="auto" w:fill="CFF0FC"/>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9,514</w:t>
            </w:r>
          </w:p>
        </w:tc>
        <w:tc>
          <w:tcPr>
            <w:tcW w:w="1120" w:type="dxa"/>
            <w:vAlign w:val="bottom"/>
            <w:gridSpan w:val="2"/>
            <w:shd w:val="clear" w:color="auto" w:fill="CFF0FC"/>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4,332</w:t>
            </w:r>
          </w:p>
        </w:tc>
        <w:tc>
          <w:tcPr>
            <w:tcW w:w="1080" w:type="dxa"/>
            <w:vAlign w:val="bottom"/>
            <w:gridSpan w:val="2"/>
            <w:shd w:val="clear" w:color="auto" w:fill="CFF0FC"/>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24,297</w:t>
            </w:r>
          </w:p>
        </w:tc>
        <w:tc>
          <w:tcPr>
            <w:tcW w:w="62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12,481</w:t>
            </w:r>
          </w:p>
        </w:tc>
      </w:tr>
      <w:tr>
        <w:trPr>
          <w:trHeight w:val="20"/>
        </w:trPr>
        <w:tc>
          <w:tcPr>
            <w:tcW w:w="374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-24765</wp:posOffset>
            </wp:positionV>
            <wp:extent cx="10287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-7620</wp:posOffset>
            </wp:positionV>
            <wp:extent cx="10287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-24765</wp:posOffset>
            </wp:positionV>
            <wp:extent cx="13716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-7620</wp:posOffset>
            </wp:positionV>
            <wp:extent cx="13716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-24765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-7620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did not record a provision or benefit for federal income taxes during the three and nine months ended September 30, 2025 and 2024. The Company recorded state income tax expense of $0.2 million and $0.2 million for the nine months ended September 30, 2025 and 2024, respectively, due to interest income. The Company continues to maintain a full valuation allowance against all of its deferred tax assets.</w:t>
      </w:r>
    </w:p>
    <w:p>
      <w:pPr>
        <w:spacing w:after="0" w:line="6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Company has evaluated the positive and negative evidence involving its ability to realize its deferred tax assets and has considered its history of cumulative net losses incurred since inception and its lack of any commercially ready products. The Company has concluded that it is more likely than not that it will not realize the benefits of its deferred tax assets. The Company reevaluates the positive and negative evidence at each reporting period.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9" w:name="page20"/>
    <w:bookmarkEnd w:id="19"/>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never been examined by the Internal Revenue Service or any other jurisdiction for any tax years and, as such, all years within the applicable statutes of limitations are potentially subject to audit.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Net Loss Per Share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and diluted net loss per share is computed by dividing net loss by the weighted-average common shares outstanding. The weighted-average common shares outstanding used in the basic and diluted net loss per share calculation includes pre-funded warrants issued in connection with the Company’s January 2025 underwritten offering and June 2023 follow-on public offering. As of September 30, 2025 and September 30, 2024, 385,899 and 204,081 pre-funded warrants were outstanding, respectively.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the Company’s basic and diluted net loss per share (in thousands, except share and per share data):</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4"/>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4"/>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91"/>
        </w:trPr>
        <w:tc>
          <w:tcPr>
            <w:tcW w:w="57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4"/>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r>
      <w:tr>
        <w:trPr>
          <w:trHeight w:val="216"/>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(62,321)</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(26,599)</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(151,653)</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(79,900)</w:t>
            </w:r>
          </w:p>
        </w:tc>
      </w:tr>
      <w:tr>
        <w:trPr>
          <w:trHeight w:val="216"/>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r>
      <w:tr>
        <w:trPr>
          <w:trHeight w:val="216"/>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35,178,691</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29,935,551</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34,516,134</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26,809,605</w:t>
            </w:r>
          </w:p>
        </w:tc>
      </w:tr>
      <w:tr>
        <w:trPr>
          <w:trHeight w:val="230"/>
        </w:trPr>
        <w:tc>
          <w:tcPr>
            <w:tcW w:w="5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w:t>
            </w:r>
          </w:p>
        </w:tc>
      </w:tr>
      <w:tr>
        <w:trPr>
          <w:trHeight w:val="20"/>
        </w:trPr>
        <w:tc>
          <w:tcPr>
            <w:tcW w:w="57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-24765</wp:posOffset>
            </wp:positionV>
            <wp:extent cx="939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-7620</wp:posOffset>
            </wp:positionV>
            <wp:extent cx="939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-24765</wp:posOffset>
            </wp:positionV>
            <wp:extent cx="857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-7620</wp:posOffset>
            </wp:positionV>
            <wp:extent cx="857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-24765</wp:posOffset>
            </wp:positionV>
            <wp:extent cx="857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-7620</wp:posOffset>
            </wp:positionV>
            <wp:extent cx="857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7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generated a net loss in all periods presented, so the basic and diluted net loss per share are the same, as the inclusion of the potentially dilutive securities would be anti-dilutive. As of September 30, 2025 and September 30, 2024, the Company excluded the following potential common shares from the computation of diluted net loss per share because including them would have had an anti-dilutive effect:</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60" w:type="dxa"/>
            <w:vAlign w:val="bottom"/>
          </w:tcPr>
          <w:p>
            <w:pPr>
              <w:spacing w:after="0"/>
              <w:rPr>
                <w:sz w:val="15"/>
                <w:szCs w:val="15"/>
                <w:color w:val="auto"/>
              </w:rPr>
            </w:pPr>
          </w:p>
        </w:tc>
        <w:tc>
          <w:tcPr>
            <w:tcW w:w="2340" w:type="dxa"/>
            <w:vAlign w:val="bottom"/>
            <w:tcBorders>
              <w:bottom w:val="single" w:sz="8" w:color="auto"/>
            </w:tcBorders>
            <w:gridSpan w:val="3"/>
          </w:tcPr>
          <w:p>
            <w:pPr>
              <w:ind w:left="1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40" w:type="dxa"/>
            <w:vAlign w:val="bottom"/>
            <w:tcBorders>
              <w:bottom w:val="single" w:sz="8" w:color="auto"/>
            </w:tcBorders>
          </w:tcPr>
          <w:p>
            <w:pPr>
              <w:spacing w:after="0"/>
              <w:rPr>
                <w:sz w:val="15"/>
                <w:szCs w:val="15"/>
                <w:color w:val="auto"/>
              </w:rPr>
            </w:pPr>
          </w:p>
        </w:tc>
      </w:tr>
      <w:tr>
        <w:trPr>
          <w:trHeight w:val="186"/>
        </w:trPr>
        <w:tc>
          <w:tcPr>
            <w:tcW w:w="7660" w:type="dxa"/>
            <w:vAlign w:val="bottom"/>
          </w:tcPr>
          <w:p>
            <w:pPr>
              <w:spacing w:after="0"/>
              <w:rPr>
                <w:sz w:val="16"/>
                <w:szCs w:val="16"/>
                <w:color w:val="auto"/>
              </w:rPr>
            </w:pPr>
          </w:p>
        </w:tc>
        <w:tc>
          <w:tcPr>
            <w:tcW w:w="1720" w:type="dxa"/>
            <w:vAlign w:val="bottom"/>
          </w:tcPr>
          <w:p>
            <w:pPr>
              <w:jc w:val="right"/>
              <w:ind w:right="6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40" w:type="dxa"/>
            <w:vAlign w:val="bottom"/>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766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9"/>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7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3,433,481</w:t>
            </w:r>
          </w:p>
        </w:tc>
        <w:tc>
          <w:tcPr>
            <w:tcW w:w="1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2,972,432</w:t>
            </w: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7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1,096,595</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429,522</w:t>
            </w:r>
          </w:p>
        </w:tc>
      </w:tr>
      <w:tr>
        <w:trPr>
          <w:trHeight w:val="216"/>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stock purchase program</w:t>
            </w:r>
          </w:p>
        </w:tc>
        <w:tc>
          <w:tcPr>
            <w:tcW w:w="17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13,944</w:t>
            </w:r>
          </w:p>
        </w:tc>
        <w:tc>
          <w:tcPr>
            <w:tcW w:w="1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2,436</w:t>
            </w: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Segment Information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manages its operations as a single operating segment for the purposes of assessing performance and making operating decisions, resulting in a single reportable segment. The Company has determined that its Chief Operating Decision Maker ("CODM") is its Chief Executive Officer. The Company’s CODM reviews the Company’s financial information on a consolidated basis for the purpose of allocating resources and assessing financial performance.</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key measure of segment profit or loss that the CODM uses to allocate resources and assess performance is the Company’s consolidated net loss, as reported on the condensed consolidated statements of operations and comprehensive loss. In addition, the CODM is regularly provided the significant segment expense categories included in the table below, which are reviewed against</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0" w:name="page21"/>
    <w:bookmarkEnd w:id="20"/>
    <w:p>
      <w:pPr>
        <w:jc w:val="both"/>
        <w:spacing w:after="0" w:line="282" w:lineRule="auto"/>
        <w:rPr>
          <w:sz w:val="20"/>
          <w:szCs w:val="20"/>
          <w:color w:val="auto"/>
        </w:rPr>
      </w:pPr>
      <w:r>
        <w:rPr>
          <w:rFonts w:ascii="Times New Roman" w:cs="Times New Roman" w:eastAsia="Times New Roman" w:hAnsi="Times New Roman"/>
          <w:sz w:val="18"/>
          <w:szCs w:val="18"/>
          <w:color w:val="auto"/>
        </w:rPr>
        <w:t>budgeted expectations to assist in resource allocation decision-making. The categories reflect a change made during the first quarter of 2025 to separately present commercial expense. The prior periods have been recast to reflect this update.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40" w:type="dxa"/>
            <w:vAlign w:val="bottom"/>
          </w:tcPr>
          <w:p>
            <w:pPr>
              <w:spacing w:after="0"/>
              <w:rPr>
                <w:sz w:val="15"/>
                <w:szCs w:val="15"/>
                <w:color w:val="auto"/>
              </w:rPr>
            </w:pPr>
          </w:p>
        </w:tc>
        <w:tc>
          <w:tcPr>
            <w:tcW w:w="3100" w:type="dxa"/>
            <w:vAlign w:val="bottom"/>
            <w:tcBorders>
              <w:bottom w:val="single" w:sz="8" w:color="auto"/>
            </w:tcBorders>
            <w:gridSpan w:val="4"/>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3420" w:type="dxa"/>
            <w:vAlign w:val="bottom"/>
            <w:tcBorders>
              <w:bottom w:val="single" w:sz="8" w:color="auto"/>
            </w:tcBorders>
            <w:gridSpan w:val="4"/>
          </w:tcPr>
          <w:p>
            <w:pPr>
              <w:jc w:val="right"/>
              <w:ind w:right="83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10"/>
        </w:trPr>
        <w:tc>
          <w:tcPr>
            <w:tcW w:w="344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7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77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Bitopertin program external expense</w:t>
            </w:r>
          </w:p>
        </w:tc>
        <w:tc>
          <w:tcPr>
            <w:tcW w:w="1100" w:type="dxa"/>
            <w:vAlign w:val="bottom"/>
            <w:shd w:val="clear" w:color="auto" w:fill="CFF0FC"/>
          </w:tcPr>
          <w:p>
            <w:pPr>
              <w:jc w:val="right"/>
              <w:ind w:right="939"/>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(11,833)</w:t>
            </w:r>
          </w:p>
        </w:tc>
        <w:tc>
          <w:tcPr>
            <w:tcW w:w="1220" w:type="dxa"/>
            <w:vAlign w:val="bottom"/>
            <w:gridSpan w:val="2"/>
            <w:shd w:val="clear" w:color="auto" w:fill="CFF0FC"/>
          </w:tcPr>
          <w:p>
            <w:pPr>
              <w:jc w:val="right"/>
              <w:ind w:right="919"/>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(7,261)</w:t>
            </w:r>
          </w:p>
        </w:tc>
        <w:tc>
          <w:tcPr>
            <w:tcW w:w="520" w:type="dxa"/>
            <w:vAlign w:val="bottom"/>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(43,954)</w:t>
            </w:r>
          </w:p>
        </w:tc>
        <w:tc>
          <w:tcPr>
            <w:tcW w:w="520" w:type="dxa"/>
            <w:vAlign w:val="bottom"/>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(20,742)</w:t>
            </w: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DISC-0974 program external expense</w:t>
            </w:r>
          </w:p>
        </w:tc>
        <w:tc>
          <w:tcPr>
            <w:tcW w:w="1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(7,369)</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(18,105)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(12,731)</w:t>
            </w:r>
          </w:p>
        </w:tc>
      </w:tr>
      <w:tr>
        <w:trPr>
          <w:trHeight w:val="216"/>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DISC-3405 program external expense</w:t>
            </w:r>
          </w:p>
        </w:tc>
        <w:tc>
          <w:tcPr>
            <w:tcW w:w="1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(11,910)</w:t>
            </w: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(3,254)</w:t>
            </w: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(15,486)</w:t>
            </w: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(11,823)</w:t>
            </w:r>
          </w:p>
        </w:tc>
      </w:tr>
      <w:tr>
        <w:trPr>
          <w:trHeight w:val="198"/>
        </w:trPr>
        <w:tc>
          <w:tcPr>
            <w:tcW w:w="34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external research and development</w:t>
            </w: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3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expense</w:t>
            </w:r>
          </w:p>
        </w:tc>
        <w:tc>
          <w:tcPr>
            <w:tcW w:w="1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(4,095)</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(4,891)</w:t>
            </w:r>
          </w:p>
        </w:tc>
      </w:tr>
      <w:tr>
        <w:trPr>
          <w:trHeight w:val="198"/>
        </w:trPr>
        <w:tc>
          <w:tcPr>
            <w:tcW w:w="34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Internal and other research and development</w:t>
            </w:r>
          </w:p>
        </w:tc>
        <w:tc>
          <w:tcPr>
            <w:tcW w:w="1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r>
      <w:tr>
        <w:trPr>
          <w:trHeight w:val="234"/>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expense</w:t>
            </w:r>
          </w:p>
        </w:tc>
        <w:tc>
          <w:tcPr>
            <w:tcW w:w="11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(10,704)</w:t>
            </w:r>
          </w:p>
        </w:tc>
        <w:tc>
          <w:tcPr>
            <w:tcW w:w="12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(5,586)</w:t>
            </w:r>
          </w:p>
        </w:tc>
        <w:tc>
          <w:tcPr>
            <w:tcW w:w="10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(26,597)</w:t>
            </w:r>
          </w:p>
        </w:tc>
        <w:tc>
          <w:tcPr>
            <w:tcW w:w="10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(16,778)</w:t>
            </w:r>
          </w:p>
        </w:tc>
      </w:tr>
      <w:tr>
        <w:trPr>
          <w:trHeight w:val="216"/>
        </w:trPr>
        <w:tc>
          <w:tcPr>
            <w:tcW w:w="3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expense</w:t>
            </w:r>
          </w:p>
        </w:tc>
        <w:tc>
          <w:tcPr>
            <w:tcW w:w="1100" w:type="dxa"/>
            <w:vAlign w:val="bottom"/>
            <w:shd w:val="clear" w:color="auto" w:fill="CFF0FC"/>
          </w:tcPr>
          <w:p>
            <w:pPr>
              <w:jc w:val="right"/>
              <w:ind w:right="939"/>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(3,928)</w:t>
            </w:r>
          </w:p>
        </w:tc>
        <w:tc>
          <w:tcPr>
            <w:tcW w:w="1220" w:type="dxa"/>
            <w:vAlign w:val="bottom"/>
            <w:gridSpan w:val="2"/>
            <w:shd w:val="clear" w:color="auto" w:fill="CFF0FC"/>
          </w:tcPr>
          <w:p>
            <w:pPr>
              <w:jc w:val="right"/>
              <w:ind w:right="919"/>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520" w:type="dxa"/>
            <w:vAlign w:val="bottom"/>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(8,509)</w:t>
            </w:r>
          </w:p>
        </w:tc>
        <w:tc>
          <w:tcPr>
            <w:tcW w:w="520" w:type="dxa"/>
            <w:vAlign w:val="bottom"/>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(1,060)</w:t>
            </w:r>
          </w:p>
        </w:tc>
      </w:tr>
      <w:tr>
        <w:trPr>
          <w:trHeight w:val="216"/>
        </w:trPr>
        <w:tc>
          <w:tcPr>
            <w:tcW w:w="3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100" w:type="dxa"/>
            <w:vAlign w:val="bottom"/>
            <w:shd w:val="clear" w:color="auto" w:fill="CFF0FC"/>
          </w:tcPr>
          <w:p>
            <w:pPr>
              <w:jc w:val="right"/>
              <w:ind w:right="939"/>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(8,343)</w:t>
            </w:r>
          </w:p>
        </w:tc>
        <w:tc>
          <w:tcPr>
            <w:tcW w:w="1220" w:type="dxa"/>
            <w:vAlign w:val="bottom"/>
            <w:gridSpan w:val="2"/>
            <w:shd w:val="clear" w:color="auto" w:fill="CFF0FC"/>
          </w:tcPr>
          <w:p>
            <w:pPr>
              <w:jc w:val="right"/>
              <w:ind w:right="919"/>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(4,964)</w:t>
            </w:r>
          </w:p>
        </w:tc>
        <w:tc>
          <w:tcPr>
            <w:tcW w:w="520" w:type="dxa"/>
            <w:vAlign w:val="bottom"/>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(23,074)</w:t>
            </w:r>
          </w:p>
        </w:tc>
        <w:tc>
          <w:tcPr>
            <w:tcW w:w="520" w:type="dxa"/>
            <w:vAlign w:val="bottom"/>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(14,664)</w:t>
            </w:r>
          </w:p>
        </w:tc>
      </w:tr>
      <w:tr>
        <w:trPr>
          <w:trHeight w:val="216"/>
        </w:trPr>
        <w:tc>
          <w:tcPr>
            <w:tcW w:w="3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00" w:type="dxa"/>
            <w:vAlign w:val="bottom"/>
            <w:shd w:val="clear" w:color="auto" w:fill="CFF0FC"/>
          </w:tcPr>
          <w:p>
            <w:pPr>
              <w:jc w:val="right"/>
              <w:ind w:right="939"/>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(9,514)</w:t>
            </w:r>
          </w:p>
        </w:tc>
        <w:tc>
          <w:tcPr>
            <w:tcW w:w="1220" w:type="dxa"/>
            <w:vAlign w:val="bottom"/>
            <w:gridSpan w:val="2"/>
            <w:shd w:val="clear" w:color="auto" w:fill="CFF0FC"/>
          </w:tcPr>
          <w:p>
            <w:pPr>
              <w:jc w:val="right"/>
              <w:ind w:right="919"/>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(4,332)</w:t>
            </w:r>
          </w:p>
        </w:tc>
        <w:tc>
          <w:tcPr>
            <w:tcW w:w="520" w:type="dxa"/>
            <w:vAlign w:val="bottom"/>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(24,297)</w:t>
            </w:r>
          </w:p>
        </w:tc>
        <w:tc>
          <w:tcPr>
            <w:tcW w:w="520" w:type="dxa"/>
            <w:vAlign w:val="bottom"/>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(12,481)</w:t>
            </w:r>
          </w:p>
        </w:tc>
      </w:tr>
      <w:tr>
        <w:trPr>
          <w:trHeight w:val="216"/>
        </w:trPr>
        <w:tc>
          <w:tcPr>
            <w:tcW w:w="3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segment items*</w:t>
            </w:r>
          </w:p>
        </w:tc>
        <w:tc>
          <w:tcPr>
            <w:tcW w:w="1100" w:type="dxa"/>
            <w:vAlign w:val="bottom"/>
            <w:shd w:val="clear" w:color="auto" w:fill="CFF0FC"/>
          </w:tcPr>
          <w:p>
            <w:pPr>
              <w:jc w:val="right"/>
              <w:ind w:right="939"/>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5,375</w:t>
            </w:r>
          </w:p>
        </w:tc>
        <w:tc>
          <w:tcPr>
            <w:tcW w:w="1220" w:type="dxa"/>
            <w:vAlign w:val="bottom"/>
            <w:gridSpan w:val="2"/>
            <w:shd w:val="clear" w:color="auto" w:fill="CFF0FC"/>
          </w:tcPr>
          <w:p>
            <w:pPr>
              <w:jc w:val="right"/>
              <w:ind w:right="919"/>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6,257</w:t>
            </w:r>
          </w:p>
        </w:tc>
        <w:tc>
          <w:tcPr>
            <w:tcW w:w="520" w:type="dxa"/>
            <w:vAlign w:val="bottom"/>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17,399</w:t>
            </w:r>
          </w:p>
        </w:tc>
        <w:tc>
          <w:tcPr>
            <w:tcW w:w="520" w:type="dxa"/>
            <w:vAlign w:val="bottom"/>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15,270</w:t>
            </w:r>
          </w:p>
        </w:tc>
      </w:tr>
      <w:tr>
        <w:trPr>
          <w:trHeight w:val="216"/>
        </w:trPr>
        <w:tc>
          <w:tcPr>
            <w:tcW w:w="344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r>
      <w:tr>
        <w:trPr>
          <w:trHeight w:val="249"/>
        </w:trPr>
        <w:tc>
          <w:tcPr>
            <w:tcW w:w="3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100" w:type="dxa"/>
            <w:vAlign w:val="bottom"/>
            <w:tcBorders>
              <w:bottom w:val="single" w:sz="8" w:color="auto"/>
            </w:tcBorders>
            <w:shd w:val="clear" w:color="auto" w:fill="CFF0FC"/>
          </w:tcPr>
          <w:p>
            <w:pPr>
              <w:jc w:val="right"/>
              <w:ind w:right="939"/>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(62,321)</w:t>
            </w:r>
          </w:p>
        </w:tc>
        <w:tc>
          <w:tcPr>
            <w:tcW w:w="12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919"/>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(26,599)</w:t>
            </w: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(151,653)</w:t>
            </w: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(79,900)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-25400</wp:posOffset>
            </wp:positionV>
            <wp:extent cx="768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-8255</wp:posOffset>
            </wp:positionV>
            <wp:extent cx="7683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-25400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-8255</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-25400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-8255</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segment items include interest income, interest expense, other income (expense), and income tax expense as reported on the condensed consolidated statements of operations and comprehensive loss.</w:t>
      </w:r>
    </w:p>
    <w:p>
      <w:pPr>
        <w:spacing w:after="0" w:line="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Assets regularly provided to the CODM are consistent with those reported on the condensed consolidated balance sheets with particular emphasis on the Company’s available liquidity, including its cash, cash equivalents and marketable securities balances. All of the Company’s tangible assets are held in the United States.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 of varying scope and terms to its vendors, lessors, contract research organizations,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that will require the Company, among other things, to indemnify them against certain liabilities that may arise by reason of their status or service as directors. The maximum potential amount of future payments the Company could be required to make under these indemnification agreements is, in many cases, unlimited. The Company has not incurred any material costs as a result of such indemnifications and is not currently aware of any indemnification claims.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from time to time, may be party to litigation arising in the ordinary course of business. The Company was not subject to any material legal proceedings during the nine months ended September 30, 2025 and 2024 and, to the best of its knowledge, no material legal proceedings are currently pending or threatened.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Payments Upon Termination</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enters into contracts in the normal course of business with contract research organizations ("CROs"), contract development and manufacturing organizations ("CDMOs") and other third parties for preclinical studies, clinical trials and manufacturing services. These contracts typically do not contain minimum purchase commitments and are generally cancelable by the Company upon written notice. Payments due upon cancellation consist of payments for services provided or expenses incurred, including noncancelable obligations of the Company’s service providers, up to the date of cancellation and, in the case of certain arrangements with CROs and CDMOs, may include noncancelable fees. Under such agreements, the exact amounts owed by the Company in the event of termination will be based on the timing of the termination and the exact terms of the agreement. As of September 30, 2025, the Company has not recognized any amounts related to these contingencies as the amount and timing of such payments are not fixed and estimable.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15. Related Party Transactions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January 2025 and June 2024, certain existing investors participated in the Company's underwritten offerings (see </w:t>
      </w:r>
      <w:r>
        <w:rPr>
          <w:rFonts w:ascii="Times New Roman" w:cs="Times New Roman" w:eastAsia="Times New Roman" w:hAnsi="Times New Roman"/>
          <w:sz w:val="18"/>
          <w:szCs w:val="18"/>
          <w:i w:val="1"/>
          <w:iCs w:val="1"/>
          <w:color w:val="auto"/>
        </w:rPr>
        <w:t>Note 9 - Stockholders' Equity</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right="9480" w:firstLine="8"/>
        <w:spacing w:after="0" w:line="377" w:lineRule="auto"/>
        <w:tabs>
          <w:tab w:leader="none" w:pos="27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 Underwritten Offering</w:t>
      </w:r>
    </w:p>
    <w:p>
      <w:pPr>
        <w:spacing w:after="0" w:line="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20, 2025, the Company entered into an Underwriting Agreement (the “Underwriting Agreement”) with Jefferies LLC, Leerink Partners LLC, Morgan Stanley &amp; Co. LLC, and Cantor Fitzgerald &amp; Co. as representatives of the several underwriters listed on Schedule I thereto (the “Underwriters”) related to an underwritten offering of (i) 2,619,049 shares of common stock of the Company, par value $0.0001 per share ("Common Stock”) at a price to the public of $84.00 per share and (ii) pre-funded warrants to purchase an aggregate of 59,523 shares of Common Stock (the “Pre-Funded Warrants”), at a price to the public of $83.9999 per Pre-Funded Warrant, which represents the per share public offering price for the Common Stock less the $0.0001 per share exercise price for each such Pre-Funded Warrant (the "Offering").</w:t>
      </w:r>
    </w:p>
    <w:p>
      <w:pPr>
        <w:spacing w:after="0" w:line="7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net proceeds from the Offering are expected to be approximately $210.9 million, after deducting the underwriting discount and estimated offering expenses. The Company will receive nominal proceeds, if any, from the exercise of the Pre-Funded Warrants. Certain existing investors of the Company participated in the Offering.</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condensed consolidated financial statements and related notes appearing at the beginning of this Quarterly Report on Form 10-Q and our audited consolidated financial statements and related notes appearing at the end of our Annual Report on Form 10-K for the year ended December 31, 2024.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factors, including those factors set forth in the “Risk Factors” section of this Quarterly Report on Form 10-Q, our actual results could differ materially from the results described in, or implied by, the forward-looking statements contained in the following discussion and analysis.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the discovery, development, and commercialization of novel treatments for patients suffering from serious hematologic diseases. We have assembled a portfolio of clinical and preclinical product candidates that aim to modify fundamental biological pathways associated with the formation and function of red blood cells, specifically heme biosynthesis and iron homeostasis. Our current pipeline includes bitopertin for the treatment of erythropoietic porphyrias, or EPs, including erythropoietic protoporphyria, or EPP, and X-linked protoporphyria, or XLP, and Diamond-Blackfan Anemia, or DBA; DISC-0974 for the treatment of anemia of myelofibrosis, or MF, anemia of inflammatory bowel disease, or IBD, and anemia of chronic kidney disease, or CKD; and DISC-3405 for the treatment of polycythemia vera, or PV, sickle cell disease, or SCD, and other hematologic disorders. In addition, our preclinical programs include DISC-0998 for the treatment of anemia associated with inflammatory diseases. Our approach to product candidate development leverages well-understood molecular mechanisms that have been validated in humans. We believe that each of our product candidates, if approved, has the potential to improve the lives of patients suffering from hematologic diseases.</w:t>
      </w:r>
    </w:p>
    <w:p>
      <w:pPr>
        <w:spacing w:after="0" w:line="8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Bitopertin is the lead product candidate in our heme biosynthesis modulation portfolio. Bitopertin was previously evaluated by F. Hoffmann-La Roche Ltd and Hoffmann-La Roche Inc., or collectively, Roche, in a comprehensive clinical program in over 4,000 individuals in other indications which demonstrated the activity of bitopertin as a glycine transporter 1, or GlyT1, inhibitor and its effect on heme biosynthesis. We are initially developing bitopertin for the treatment of EPs, including EPP and XLP, which are part of a group of severe diseases, known as porphyrias, caused by defects in the heme biosynthesis pathway that cause an accumulation of toxic metabolites referred to as porphyrins, resulting in skin hypersensitivity to sunlight and some types of artificial light. In June and December 2023, we presented interim data from BEACON, a Phase 2 open-label, parallel-dose clinical trial of bitopertin in EPP and XLP patients conducted at sites in Australia. In April 2024, we presented topline data from AURORA, a Phase 2, randomized, double-blind, placebo-controlled clinical trial of bitopertin in EPP patients conducted at sites in the United States. Additional analyses of the BEACON and AURORA trials were presented in June 2024 and in December 2024. In both trials, bitopertin significantly reduced the toxic metabolite, protoporphyrin IX, or PPIX, and was associated with improvements in measures of time spent in sunlight and quality of life, demonstrating a clear association between PPIX reduction and clinical endpoints. In addition, bitopertin was generally well-tolerated. All participants who complete AURORA or BEACON are eligible to participate in HELIOS, an ongoing open-label, long-term extension study of bitopertin in EPP and XLP. In June 2025, we presented interim data from HELIOS, in which longer term treatment of bitopertin was associated with sustained reductions in PPIX, as well as improvements in quality of life, and improved liver biomarkers. In our end-of-Phase 2 meeting, the U.S. Food &amp; Drug Administration, or the FDA, agreed with the potential for reduction of PPIX to serve as a surrogate endpoint to support a potential accelerated approval of bitopertin in EPP and XLP. In our Type C meeting with the FDA in December 2024, we aligned with the FDA on the design of APOLLO, a randomized, double-blind, placebo-controlled, clinical trial of bitopertin in EPP and XLP patients that in the setting of an accelerated approval would serve as a post-marketing confirmatory clinical trial. APOLLO is also intended to serve as a registrational trial with respect to any potential future marketing applications for bitopertin in EPP and XLP in jurisdictions outside the United States. We initiated the APOLLO trial in May 2025, and on September 29, 2025 we submitted an NDA for accelerated approval of bitopertin in EPP and XLP in the United States based on our existing data. In October 2025, we were awarded a Commissioner’s National Priority Voucher, or CNPV, from the FDA for bitopertin in EPP and XLP. The CNPV program, announced in June 2025, is designed to accelerate the development and review of certain drugs aligned with US national health priorities by offering the opportunity to reduce drug application review times to one to two months from NDA acceptance. The voucher entitles the recipient to certain benefits, including enhanced communications and rolling review to allow for shortened review time. We plan to accelerate activities to support a potential US approval and launch of bitopertin for EPP and XLP in late 2025 or early 2026 based on the accelerated review timeline associated with receipt of the CNPV. We have also entered into a collaborative research and development agreement with the National Institutes of Health, or NIH, to conduct a clinical trial of bitopertin in DBA, which began in July 2023. We are planning additional trials of bitopertin in other indications.</w:t>
      </w:r>
    </w:p>
    <w:p>
      <w:pPr>
        <w:spacing w:after="0" w:line="9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DISC-0974 is the lead product candidate in our iron homeostasis portfolio and was licensed from AbbVie Deutschland GmbH &amp; Co. KG, or AbbVie. DISC-0974 is designed to suppress hepcidin production and increase serum iron levels. We completed a Phase 1 clinical trial in healthy volunteers in the U.S. in June 2022 with results showing an acceptable tolerability profile and evidence of target engagement, iron mobilization and augmented erythropoiesis. We initiated a Phase 1b/2 clinical trial in June 2022 in patients with anemia of MF, and initiated a separate Phase 1b/2 clinical trial in February 2023 in patients with non-dialysis dependent CKD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3" w:name="page24"/>
    <w:bookmarkEnd w:id="23"/>
    <w:p>
      <w:pPr>
        <w:jc w:val="both"/>
        <w:spacing w:after="0" w:line="252" w:lineRule="auto"/>
        <w:rPr>
          <w:sz w:val="20"/>
          <w:szCs w:val="20"/>
          <w:color w:val="auto"/>
        </w:rPr>
      </w:pPr>
      <w:r>
        <w:rPr>
          <w:rFonts w:ascii="Times New Roman" w:cs="Times New Roman" w:eastAsia="Times New Roman" w:hAnsi="Times New Roman"/>
          <w:sz w:val="18"/>
          <w:szCs w:val="18"/>
          <w:color w:val="auto"/>
        </w:rPr>
        <w:t>and anemia. We presented interim data from both of these trials in December 2023 as well as additional interim data for anemia of MF in June 2024 and for non-dialysis dependent CKD and anemia in October 2024. This additional interim data included safety data and changes in hepcidin, iron, and hemoglobin levels for additional patients, as well as longer follow-up. In December 2024, we presented additional analyses of the Phase 1b study in anemia of MF, and in June 2025 we presented longer term data from the continuation phase of this study. We initiated RALLY-MF, the open-label Phase 2 portion of this clinical trial, in December 2024 and we expect to report initial data from this Phase 2 trial at the American Society of Hematology Annual Meeting in December 2025. Topline data from this trial is expected in 2026, which, if positive, is expected to support discussions with regulatory agencies on the potential regulatory path for DISC-0974 in anemia of MF. In October 2025, we announced that our recently completed Phase 1b, double-blind, placebo-controlled study of DISC-0974 in non-dialysis dependent CKD and anemia demonstrated engagement of mechanism with variable effects on hemoglobin. In this trial, DISC-0974 was generally well-tolerated and associated with substantial decreases in hepcidin, increases in iron, and improvements in markers of erythropoiesis. Meaningful hemoglobin increases observed in only a subset of patients were in part driven by those with higher baseline erythropoietin levels. We expect to report full data from this trial at the American Society of Nephrology (ASN) Kidney Week in November 2025, and we are assessing options for our DISC-0974 non-dialysis dependent CKD and anemia program based on full analysis of this data. We are also planning additional trials of DISC-0974 in other anemias of inflammation. For example, we plan to initiate a Phase 2 clinical trial of DISC-0974 in patients with IBD and anemia in the first quarter of 2026, and we are planning exploratory studies in additional patient populations with anemia of chronic disease. We are also developing a preclinical anti-hemojuvelin, or HJV, monoclonal antibody, DISC-0998, which also targets hepcidin suppression and was licensed from AbbVie. DISC-0998 is designed to increase serum iron levels and has an extended serum half-life as compared to DISC-0974. We believe this profile may be desirable in certain subsets of patients with anemia associated with inflammatory diseases.</w:t>
      </w:r>
    </w:p>
    <w:p>
      <w:pPr>
        <w:spacing w:after="0" w:line="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Lastly, we are developing DISC-3405, a monoclonal antibody against Transmembrane Serine Protease 6, or TMPRSS6, that we licensed from Mabwell Therapeutics, Inc., or Mabwell. DISC-3405 is part of our iron homeostasis portfolio and is designed to induce hepcidin production and reduce serum iron levels. We initiated a Phase 1 clinical trial of DISC-3405 in healthy adult volunteers in October 2023 and presented interim data from the single-ascending dose, or SAD, portion of this clinical trial in June 2024. We presented data from the multiple ascending dose, or MAD, portion of this Phase 1 healthy volunteer study of DISC-3405 in December 2024, and presented updated data from both the SAD and MAD portions of this clinical trial in June 2025. We are developing DISC-3405 for the treatment of PV, SCD, and other hematologic disorders. We initiated a Phase 2 clinical trial of DISC-3405 in PV in the first half of 2025, with initial data expected in 2026. We also initiated a Phase 1b clinical trial of DISC-3405 in patients with SCD in October 2025, with initial data expected in 2026, and plan to explore the role of therapeutic iron restriction in other indications.</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September 30, 2025, we had cash, cash equivalents and marketable securities of $615.9 million. In October 2025, we completed an underwritten public offering of shares of our common stock and pre-funded warrants for net proceeds of approximately $210.9 million, after deducting estimated offering expenses payable by us. We believe that our cash, cash equivalents and marketable securities, including the net proceeds of our October 2025 underwritten public offering, will be sufficient to fund our current operating and capital expenditure plans and our debt service obligations into 2029, without taking into account any potential net cash inflows from bitopertin or any other marketed product, if approved during such period. We have based these estimates on assumptions that may prove to be wrong, and we could exhaust our available capital resources sooner than we expect. See "</w:t>
      </w:r>
      <w:r>
        <w:rPr>
          <w:rFonts w:ascii="Times New Roman" w:cs="Times New Roman" w:eastAsia="Times New Roman" w:hAnsi="Times New Roman"/>
          <w:sz w:val="18"/>
          <w:szCs w:val="18"/>
          <w:i w:val="1"/>
          <w:iCs w:val="1"/>
          <w:color w:val="auto"/>
        </w:rPr>
        <w:t>Liquidity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Capital Resources" </w:t>
      </w:r>
      <w:r>
        <w:rPr>
          <w:rFonts w:ascii="Times New Roman" w:cs="Times New Roman" w:eastAsia="Times New Roman" w:hAnsi="Times New Roman"/>
          <w:sz w:val="18"/>
          <w:szCs w:val="18"/>
          <w:color w:val="auto"/>
        </w:rPr>
        <w:t>for additional details.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not generated any revenue since our inception and do not expect to generate any revenue from the sale of products in the near future, if at all. If our development efforts are successful and result in commercialization of one or more product candidates or if we enter into collaboration or license agreements with third parties, we may generate revenue in the future from product sales, payments from such collaboration or license agreements or a combination thereof.</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in connection with the research and development of our product candidates. These expenses include:</w:t>
      </w:r>
    </w:p>
    <w:p>
      <w:pPr>
        <w:spacing w:after="0" w:line="54" w:lineRule="exact"/>
        <w:rPr>
          <w:sz w:val="20"/>
          <w:szCs w:val="20"/>
          <w:color w:val="auto"/>
        </w:rPr>
      </w:pPr>
    </w:p>
    <w:p>
      <w:pPr>
        <w:ind w:left="760" w:hanging="378"/>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benefits, and stock-based compensation expense, for personnel engaged in research and development functions;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our research and development activities, including under agreements with third parties such as consultants, contractors and contract research organizations, or CROs;</w:t>
      </w:r>
    </w:p>
    <w:p>
      <w:pPr>
        <w:spacing w:after="0" w:line="53" w:lineRule="exact"/>
        <w:rPr>
          <w:rFonts w:ascii="Times New Roman" w:cs="Times New Roman" w:eastAsia="Times New Roman" w:hAnsi="Times New Roman"/>
          <w:sz w:val="18"/>
          <w:szCs w:val="18"/>
          <w:color w:val="auto"/>
        </w:rPr>
      </w:pPr>
    </w:p>
    <w:p>
      <w:pPr>
        <w:ind w:left="760" w:hanging="378"/>
        <w:spacing w:after="0" w:line="261"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contract development and manufacturing organizations, or CDMOs, that are primarily engaged to provide drug substance and product for our preclinical studies, clinical trials and research and development programs, as well as</w:t>
      </w: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4" w:name="page25"/>
    <w:bookmarkEnd w:id="24"/>
    <w:p>
      <w:pPr>
        <w:ind w:left="760"/>
        <w:spacing w:after="0"/>
        <w:rPr>
          <w:sz w:val="20"/>
          <w:szCs w:val="20"/>
          <w:color w:val="auto"/>
        </w:rPr>
      </w:pPr>
      <w:r>
        <w:rPr>
          <w:rFonts w:ascii="Times New Roman" w:cs="Times New Roman" w:eastAsia="Times New Roman" w:hAnsi="Times New Roman"/>
          <w:sz w:val="18"/>
          <w:szCs w:val="18"/>
          <w:color w:val="auto"/>
        </w:rPr>
        <w:t>investigative sites and consultants that conduct our clinical trials, preclinical studies and other scientific development services;</w:t>
      </w:r>
    </w:p>
    <w:p>
      <w:pPr>
        <w:spacing w:after="0" w:line="117" w:lineRule="exact"/>
        <w:rPr>
          <w:sz w:val="20"/>
          <w:szCs w:val="20"/>
          <w:color w:val="auto"/>
        </w:rPr>
      </w:pPr>
    </w:p>
    <w:p>
      <w:pPr>
        <w:ind w:left="760" w:hanging="378"/>
        <w:spacing w:after="0" w:line="282"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acquiring and manufacturing preclinical study and clinical trial materials, including manufacturing registration and validation batches;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quality and regulatory requirements;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under third-party licensing agreements.</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expense research and development costs as incurred. Costs incurred for external development activities are recognized based on an evaluation of the progress to completion of specific tasks using information provided to us by our vendors. Payments for these activities are based on the terms of the individual agreements, which may differ from the pattern of costs incurred, and may be reflected in our condensed consolidated financial statements as prepaid or accrued expenses. Nonrefundable advance payments for goods or services to be received in the future for use in research and development activities are recorded as prepaid expenses and expensed as the related goods are delivered or the services are performed or when it is no longer expected that the goods will be delivered or the services rendered.</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typically use our employee and infrastructure resources across product candidates and development programs. We track external development costs by product candidate or development program, but we do not allocate personnel costs or other internal costs to specific product candidates or development programs.</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expect that our research and development expenses will increase substantially as we advance our programs into and through clinical development. At this time, we cannot accurately estimate or know the nature, timing and costs of the efforts that will be necessary to complete the preclinical and clinical development of any product candidates we may develop. A change in the outcome of any number of variables with respect to product candidates we may develop could significantly change the costs and timing associated with the development of that product candidate. We may never succeed in obtaining regulatory approval for any product candidates we may develop. The successful development of any product candidate is highly uncertain. This is due to the numerous risks and uncertainties associated with product development, including the following:</w:t>
      </w:r>
    </w:p>
    <w:p>
      <w:pPr>
        <w:spacing w:after="0" w:line="79" w:lineRule="exact"/>
        <w:rPr>
          <w:sz w:val="20"/>
          <w:szCs w:val="20"/>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preclinical and clinical development activities;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preclinical and clinical programs we decide to pursue;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funds to the extent necessary to complete clinical development of and commercialize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new licensing or collaboration arrangements and the progress of the development efforts of third parties with whom we may enter into such arrangements;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current research and development programs and to establish new programs;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initiation, enrollment and completion of clinical trials with safety, tolerability and efficacy profiles that are satisfactory to the FDA or any comparable foreign regulatory authority;</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and related terms of regulatory approvals from applicable regulatory authorities for any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raw materials for use in production of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agreements with third-party manufacturers for supply of product candidate components for our clinical trials;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patents, trade secret protection and regulatory exclusivity, both in the United States and internationally;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other rights in our intellectual property portfolio;</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product candidates, if and when approved, whether alone or in collaboration with others;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third-party insurance coverage and adequate reimbursement for any approved products.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salaries and related costs for personnel in executive, finance, commercial, corporate and business development, and administrative functions. Selling, general and administrative expenses also include legal fees relating to patent and corporate matters, including noncapitalizable transaction costs; professional fees for accounting, auditing, tax compliance and administrative consulting services; investor and public relations expenses; commercial planning and market research; director and officer insurance costs and other insurance costs; and facility related expenses including maintenance and allocated expenses for rent and other operating costs.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5" w:name="page26"/>
    <w:bookmarkEnd w:id="25"/>
    <w:p>
      <w:pPr>
        <w:jc w:val="both"/>
        <w:spacing w:after="0" w:line="266" w:lineRule="auto"/>
        <w:rPr>
          <w:sz w:val="20"/>
          <w:szCs w:val="20"/>
          <w:color w:val="auto"/>
        </w:rPr>
      </w:pPr>
      <w:r>
        <w:rPr>
          <w:rFonts w:ascii="Times New Roman" w:cs="Times New Roman" w:eastAsia="Times New Roman" w:hAnsi="Times New Roman"/>
          <w:sz w:val="18"/>
          <w:szCs w:val="18"/>
          <w:color w:val="auto"/>
        </w:rPr>
        <w:t>We anticipate that our selling, general and administrative expenses will increase substantially in the future as we increase our headcount to support our continued research and development and potential commercialization activities, including establishing a sales, marketing and distribution infrastructure to commercialize any product candidates for which we may obtain marketing approval.</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income primarily consists of interest earned on cash equivalents, consisting of money market funds, U.S. treasury securities and certificates of deposit, as well as marketable securities, consisting of U.S. treasury securities, U.S. government agency securities and corporate debt securities.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primarily consists of amortization of debt issuance costs and discount and interest expense under the Hercules Loan Agreement.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and Nine Months Ended September 30, 2025 and 2024</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and nine months ended September 30, 2025 and 2024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6"/>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9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6"/>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860" w:type="dxa"/>
            <w:vAlign w:val="bottom"/>
            <w:tcBorders>
              <w:bottom w:val="single" w:sz="8" w:color="auto"/>
            </w:tcBorders>
          </w:tcPr>
          <w:p>
            <w:pPr>
              <w:spacing w:after="0"/>
              <w:rPr>
                <w:sz w:val="15"/>
                <w:szCs w:val="15"/>
                <w:color w:val="auto"/>
              </w:rPr>
            </w:pPr>
          </w:p>
        </w:tc>
      </w:tr>
      <w:tr>
        <w:trPr>
          <w:trHeight w:val="209"/>
        </w:trPr>
        <w:tc>
          <w:tcPr>
            <w:tcW w:w="3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0"/>
        </w:trPr>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r>
      <w:tr>
        <w:trPr>
          <w:trHeight w:val="216"/>
        </w:trPr>
        <w:tc>
          <w:tcPr>
            <w:tcW w:w="3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50,334</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24,685</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25,649</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124,416</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71,874</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52,542</w:t>
            </w:r>
          </w:p>
        </w:tc>
      </w:tr>
      <w:tr>
        <w:trPr>
          <w:trHeight w:val="216"/>
        </w:trPr>
        <w:tc>
          <w:tcPr>
            <w:tcW w:w="302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17,362</w:t>
            </w:r>
          </w:p>
        </w:tc>
        <w:tc>
          <w:tcPr>
            <w:tcW w:w="1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8,171</w:t>
            </w:r>
          </w:p>
        </w:tc>
        <w:tc>
          <w:tcPr>
            <w:tcW w:w="1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9,191</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44,636</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23,296</w:t>
            </w:r>
          </w:p>
        </w:tc>
        <w:tc>
          <w:tcPr>
            <w:tcW w:w="1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21,340</w:t>
            </w:r>
          </w:p>
        </w:tc>
      </w:tr>
      <w:tr>
        <w:trPr>
          <w:trHeight w:val="209"/>
        </w:trPr>
        <w:tc>
          <w:tcPr>
            <w:tcW w:w="3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67,696</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32,856</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34,840</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169,052</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95,170</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73,882</w:t>
            </w:r>
          </w:p>
        </w:tc>
      </w:tr>
      <w:tr>
        <w:trPr>
          <w:trHeight w:val="210"/>
        </w:trPr>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(67,696)</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(32,856)</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(34,840)</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(169,052)</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(95,170)</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(73,882)</w:t>
            </w: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30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Interest income</w:t>
            </w:r>
          </w:p>
        </w:tc>
        <w:tc>
          <w:tcPr>
            <w:tcW w:w="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6,412</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6,362</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20,349</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15,454</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4,895</w:t>
            </w:r>
          </w:p>
        </w:tc>
      </w:tr>
      <w:tr>
        <w:trPr>
          <w:trHeight w:val="216"/>
        </w:trPr>
        <w:tc>
          <w:tcPr>
            <w:tcW w:w="3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expense</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(2,724)</w:t>
            </w:r>
          </w:p>
        </w:tc>
      </w:tr>
      <w:tr>
        <w:trPr>
          <w:trHeight w:val="216"/>
        </w:trPr>
        <w:tc>
          <w:tcPr>
            <w:tcW w:w="302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Other income (expense)</w:t>
            </w:r>
          </w:p>
        </w:tc>
        <w:tc>
          <w:tcPr>
            <w:tcW w:w="4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52</w:t>
            </w:r>
          </w:p>
        </w:tc>
      </w:tr>
      <w:tr>
        <w:trPr>
          <w:trHeight w:val="210"/>
        </w:trPr>
        <w:tc>
          <w:tcPr>
            <w:tcW w:w="3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4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5,477</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6,371</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17,672</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15,449</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2,223</w:t>
            </w:r>
          </w:p>
        </w:tc>
      </w:tr>
      <w:tr>
        <w:trPr>
          <w:trHeight w:val="209"/>
        </w:trPr>
        <w:tc>
          <w:tcPr>
            <w:tcW w:w="3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4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(62,219)</w:t>
            </w:r>
          </w:p>
        </w:tc>
        <w:tc>
          <w:tcPr>
            <w:tcW w:w="1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(26,485)</w:t>
            </w:r>
          </w:p>
        </w:tc>
        <w:tc>
          <w:tcPr>
            <w:tcW w:w="1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(35,734)</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(151,380)</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(79,721)</w:t>
            </w:r>
          </w:p>
        </w:tc>
        <w:tc>
          <w:tcPr>
            <w:tcW w:w="1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(71,659)</w:t>
            </w:r>
          </w:p>
        </w:tc>
      </w:tr>
      <w:tr>
        <w:trPr>
          <w:trHeight w:val="210"/>
        </w:trPr>
        <w:tc>
          <w:tcPr>
            <w:tcW w:w="3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Income tax expense</w:t>
            </w:r>
          </w:p>
        </w:tc>
        <w:tc>
          <w:tcPr>
            <w:tcW w:w="4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30"/>
        </w:trPr>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(62,321)</w:t>
            </w: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(26,599)</w:t>
            </w: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(35,722)</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(151,653)</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(79,900)</w:t>
            </w:r>
          </w:p>
        </w:tc>
        <w:tc>
          <w:tcPr>
            <w:tcW w:w="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(71,753)</w:t>
            </w:r>
          </w:p>
        </w:tc>
      </w:tr>
      <w:tr>
        <w:trPr>
          <w:trHeight w:val="20"/>
        </w:trPr>
        <w:tc>
          <w:tcPr>
            <w:tcW w:w="302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-1447800</wp:posOffset>
            </wp:positionV>
            <wp:extent cx="12001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-1447800</wp:posOffset>
            </wp:positionV>
            <wp:extent cx="12001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-1447800</wp:posOffset>
            </wp:positionV>
            <wp:extent cx="1111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-1447800</wp:posOffset>
            </wp:positionV>
            <wp:extent cx="1111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-1447800</wp:posOffset>
            </wp:positionV>
            <wp:extent cx="11176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-607695</wp:posOffset>
            </wp:positionV>
            <wp:extent cx="12001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-607695</wp:posOffset>
            </wp:positionV>
            <wp:extent cx="12001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-607695</wp:posOffset>
            </wp:positionV>
            <wp:extent cx="11112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-607695</wp:posOffset>
            </wp:positionV>
            <wp:extent cx="1111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-607695</wp:posOffset>
            </wp:positionV>
            <wp:extent cx="11176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-316865</wp:posOffset>
            </wp:positionV>
            <wp:extent cx="12001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-316865</wp:posOffset>
            </wp:positionV>
            <wp:extent cx="12001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-316865</wp:posOffset>
            </wp:positionV>
            <wp:extent cx="11112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-316865</wp:posOffset>
            </wp:positionV>
            <wp:extent cx="11112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-316865</wp:posOffset>
            </wp:positionV>
            <wp:extent cx="11176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-24765</wp:posOffset>
            </wp:positionV>
            <wp:extent cx="12001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-7620</wp:posOffset>
            </wp:positionV>
            <wp:extent cx="12001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-24765</wp:posOffset>
            </wp:positionV>
            <wp:extent cx="12001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-7620</wp:posOffset>
            </wp:positionV>
            <wp:extent cx="12001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-24765</wp:posOffset>
            </wp:positionV>
            <wp:extent cx="11112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-7620</wp:posOffset>
            </wp:positionV>
            <wp:extent cx="11112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-24765</wp:posOffset>
            </wp:positionV>
            <wp:extent cx="11112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-7620</wp:posOffset>
            </wp:positionV>
            <wp:extent cx="1111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-24765</wp:posOffset>
            </wp:positionV>
            <wp:extent cx="11176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-7620</wp:posOffset>
            </wp:positionV>
            <wp:extent cx="11176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three and nine months ended September 30, 2025 and 2024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6"/>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9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6"/>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Bitopertin</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11,833</w:t>
            </w:r>
          </w:p>
        </w:tc>
        <w:tc>
          <w:tcPr>
            <w:tcW w:w="4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7,261</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4,572</w:t>
            </w:r>
          </w:p>
        </w:tc>
        <w:tc>
          <w:tcPr>
            <w:tcW w:w="4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43,954</w:t>
            </w:r>
          </w:p>
        </w:tc>
        <w:tc>
          <w:tcPr>
            <w:tcW w:w="4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20,742</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23,212</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DISC-0974</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7,369</w:t>
            </w:r>
          </w:p>
        </w:tc>
        <w:tc>
          <w:tcPr>
            <w:tcW w:w="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5,671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1,698</w:t>
            </w:r>
          </w:p>
        </w:tc>
        <w:tc>
          <w:tcPr>
            <w:tcW w:w="4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18,105</w:t>
            </w:r>
          </w:p>
        </w:tc>
        <w:tc>
          <w:tcPr>
            <w:tcW w:w="4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12,731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5,374</w:t>
            </w:r>
          </w:p>
        </w:tc>
        <w:tc>
          <w:tcPr>
            <w:tcW w:w="0" w:type="dxa"/>
            <w:vAlign w:val="bottom"/>
          </w:tcPr>
          <w:p>
            <w:pPr>
              <w:spacing w:after="0"/>
              <w:rPr>
                <w:sz w:val="1"/>
                <w:szCs w:val="1"/>
                <w:color w:val="auto"/>
              </w:rPr>
            </w:pPr>
          </w:p>
        </w:tc>
      </w:tr>
      <w:tr>
        <w:trPr>
          <w:trHeight w:val="216"/>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DISC-3405</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11,910</w:t>
            </w:r>
          </w:p>
        </w:tc>
        <w:tc>
          <w:tcPr>
            <w:tcW w:w="4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3,254</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8,656</w:t>
            </w:r>
          </w:p>
        </w:tc>
        <w:tc>
          <w:tcPr>
            <w:tcW w:w="4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15,486</w:t>
            </w:r>
          </w:p>
        </w:tc>
        <w:tc>
          <w:tcPr>
            <w:tcW w:w="4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11,823</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3,663</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Other research programs and expenses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5,386</w:t>
            </w:r>
          </w:p>
        </w:tc>
        <w:tc>
          <w:tcPr>
            <w:tcW w:w="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1,705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3,681</w:t>
            </w:r>
          </w:p>
        </w:tc>
        <w:tc>
          <w:tcPr>
            <w:tcW w:w="4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13,491</w:t>
            </w:r>
          </w:p>
        </w:tc>
        <w:tc>
          <w:tcPr>
            <w:tcW w:w="4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7,062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6,429</w:t>
            </w:r>
          </w:p>
        </w:tc>
        <w:tc>
          <w:tcPr>
            <w:tcW w:w="0" w:type="dxa"/>
            <w:vAlign w:val="bottom"/>
          </w:tcPr>
          <w:p>
            <w:pPr>
              <w:spacing w:after="0"/>
              <w:rPr>
                <w:sz w:val="1"/>
                <w:szCs w:val="1"/>
                <w:color w:val="auto"/>
              </w:rPr>
            </w:pPr>
          </w:p>
        </w:tc>
      </w:tr>
      <w:tr>
        <w:trPr>
          <w:trHeight w:val="198"/>
        </w:trPr>
        <w:tc>
          <w:tcPr>
            <w:tcW w:w="33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Personnel-related (including equity-based</w:t>
            </w:r>
          </w:p>
        </w:tc>
        <w:tc>
          <w:tcPr>
            <w:tcW w:w="22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vMerge w:val="restart"/>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13,836</w:t>
            </w:r>
          </w:p>
        </w:tc>
        <w:tc>
          <w:tcPr>
            <w:tcW w:w="220" w:type="dxa"/>
            <w:vAlign w:val="bottom"/>
            <w:vMerge w:val="restart"/>
            <w:shd w:val="clear" w:color="auto" w:fill="CFF0FC"/>
          </w:tcPr>
          <w:p>
            <w:pPr>
              <w:spacing w:after="0"/>
              <w:rPr>
                <w:sz w:val="17"/>
                <w:szCs w:val="17"/>
                <w:color w:val="auto"/>
              </w:rPr>
            </w:pPr>
          </w:p>
        </w:tc>
        <w:tc>
          <w:tcPr>
            <w:tcW w:w="22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vMerge w:val="restart"/>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6,794</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vMerge w:val="restart"/>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7,042</w:t>
            </w:r>
          </w:p>
        </w:tc>
        <w:tc>
          <w:tcPr>
            <w:tcW w:w="200" w:type="dxa"/>
            <w:vAlign w:val="bottom"/>
            <w:vMerge w:val="restart"/>
            <w:shd w:val="clear" w:color="auto" w:fill="CFF0FC"/>
          </w:tcPr>
          <w:p>
            <w:pPr>
              <w:spacing w:after="0"/>
              <w:rPr>
                <w:sz w:val="17"/>
                <w:szCs w:val="17"/>
                <w:color w:val="auto"/>
              </w:rPr>
            </w:pPr>
          </w:p>
        </w:tc>
        <w:tc>
          <w:tcPr>
            <w:tcW w:w="22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33,380</w:t>
            </w:r>
          </w:p>
        </w:tc>
        <w:tc>
          <w:tcPr>
            <w:tcW w:w="200" w:type="dxa"/>
            <w:vAlign w:val="bottom"/>
            <w:vMerge w:val="restart"/>
            <w:shd w:val="clear" w:color="auto" w:fill="CFF0FC"/>
          </w:tcPr>
          <w:p>
            <w:pPr>
              <w:spacing w:after="0"/>
              <w:rPr>
                <w:sz w:val="17"/>
                <w:szCs w:val="17"/>
                <w:color w:val="auto"/>
              </w:rPr>
            </w:pPr>
          </w:p>
        </w:tc>
        <w:tc>
          <w:tcPr>
            <w:tcW w:w="22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19,516</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vMerge w:val="restart"/>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13,864</w:t>
            </w:r>
          </w:p>
        </w:tc>
        <w:tc>
          <w:tcPr>
            <w:tcW w:w="0" w:type="dxa"/>
            <w:vAlign w:val="bottom"/>
          </w:tcPr>
          <w:p>
            <w:pPr>
              <w:spacing w:after="0"/>
              <w:rPr>
                <w:sz w:val="1"/>
                <w:szCs w:val="1"/>
                <w:color w:val="auto"/>
              </w:rPr>
            </w:pPr>
          </w:p>
        </w:tc>
      </w:tr>
      <w:tr>
        <w:trPr>
          <w:trHeight w:val="221"/>
        </w:trPr>
        <w:tc>
          <w:tcPr>
            <w:tcW w:w="3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220" w:type="dxa"/>
            <w:vAlign w:val="bottom"/>
            <w:tcBorders>
              <w:bottom w:val="single" w:sz="8" w:color="auto"/>
            </w:tcBorders>
            <w:vMerge w:val="continue"/>
            <w:shd w:val="clear" w:color="auto" w:fill="CFF0FC"/>
          </w:tcPr>
          <w:p>
            <w:pPr>
              <w:spacing w:after="0"/>
              <w:rPr>
                <w:sz w:val="19"/>
                <w:szCs w:val="19"/>
                <w:color w:val="auto"/>
              </w:rPr>
            </w:pPr>
          </w:p>
        </w:tc>
        <w:tc>
          <w:tcPr>
            <w:tcW w:w="940" w:type="dxa"/>
            <w:vAlign w:val="bottom"/>
            <w:tcBorders>
              <w:bottom w:val="single" w:sz="8" w:color="auto"/>
            </w:tcBorders>
            <w:vMerge w:val="continue"/>
            <w:shd w:val="clear" w:color="auto" w:fill="CFF0FC"/>
          </w:tcPr>
          <w:p>
            <w:pPr>
              <w:spacing w:after="0"/>
              <w:rPr>
                <w:sz w:val="19"/>
                <w:szCs w:val="19"/>
                <w:color w:val="auto"/>
              </w:rPr>
            </w:pPr>
          </w:p>
        </w:tc>
        <w:tc>
          <w:tcPr>
            <w:tcW w:w="220" w:type="dxa"/>
            <w:vAlign w:val="bottom"/>
            <w:tcBorders>
              <w:bottom w:val="single" w:sz="8" w:color="CFF0FC"/>
            </w:tcBorders>
            <w:vMerge w:val="continue"/>
            <w:shd w:val="clear" w:color="auto" w:fill="CFF0FC"/>
          </w:tcPr>
          <w:p>
            <w:pPr>
              <w:spacing w:after="0"/>
              <w:rPr>
                <w:sz w:val="19"/>
                <w:szCs w:val="19"/>
                <w:color w:val="auto"/>
              </w:rPr>
            </w:pPr>
          </w:p>
        </w:tc>
        <w:tc>
          <w:tcPr>
            <w:tcW w:w="220" w:type="dxa"/>
            <w:vAlign w:val="bottom"/>
            <w:tcBorders>
              <w:bottom w:val="single" w:sz="8" w:color="auto"/>
            </w:tcBorders>
            <w:vMerge w:val="continue"/>
            <w:shd w:val="clear" w:color="auto" w:fill="CFF0FC"/>
          </w:tcPr>
          <w:p>
            <w:pPr>
              <w:spacing w:after="0"/>
              <w:rPr>
                <w:sz w:val="19"/>
                <w:szCs w:val="19"/>
                <w:color w:val="auto"/>
              </w:rPr>
            </w:pPr>
          </w:p>
        </w:tc>
        <w:tc>
          <w:tcPr>
            <w:tcW w:w="920" w:type="dxa"/>
            <w:vAlign w:val="bottom"/>
            <w:tcBorders>
              <w:bottom w:val="single" w:sz="8" w:color="auto"/>
            </w:tcBorders>
            <w:vMerge w:val="continue"/>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vMerge w:val="continue"/>
            <w:shd w:val="clear" w:color="auto" w:fill="CFF0FC"/>
          </w:tcPr>
          <w:p>
            <w:pPr>
              <w:spacing w:after="0"/>
              <w:rPr>
                <w:sz w:val="19"/>
                <w:szCs w:val="19"/>
                <w:color w:val="auto"/>
              </w:rPr>
            </w:pPr>
          </w:p>
        </w:tc>
        <w:tc>
          <w:tcPr>
            <w:tcW w:w="200" w:type="dxa"/>
            <w:vAlign w:val="bottom"/>
            <w:tcBorders>
              <w:bottom w:val="single" w:sz="8" w:color="CFF0FC"/>
            </w:tcBorders>
            <w:vMerge w:val="continue"/>
            <w:shd w:val="clear" w:color="auto" w:fill="CFF0FC"/>
          </w:tcPr>
          <w:p>
            <w:pPr>
              <w:spacing w:after="0"/>
              <w:rPr>
                <w:sz w:val="19"/>
                <w:szCs w:val="19"/>
                <w:color w:val="auto"/>
              </w:rPr>
            </w:pPr>
          </w:p>
        </w:tc>
        <w:tc>
          <w:tcPr>
            <w:tcW w:w="220" w:type="dxa"/>
            <w:vAlign w:val="bottom"/>
            <w:tcBorders>
              <w:bottom w:val="single" w:sz="8" w:color="auto"/>
            </w:tcBorders>
            <w:vMerge w:val="continue"/>
            <w:shd w:val="clear" w:color="auto" w:fill="CFF0FC"/>
          </w:tcPr>
          <w:p>
            <w:pPr>
              <w:spacing w:after="0"/>
              <w:rPr>
                <w:sz w:val="19"/>
                <w:szCs w:val="19"/>
                <w:color w:val="auto"/>
              </w:rPr>
            </w:pPr>
          </w:p>
        </w:tc>
        <w:tc>
          <w:tcPr>
            <w:tcW w:w="900" w:type="dxa"/>
            <w:vAlign w:val="bottom"/>
            <w:tcBorders>
              <w:bottom w:val="single" w:sz="8" w:color="auto"/>
            </w:tcBorders>
            <w:vMerge w:val="continue"/>
            <w:shd w:val="clear" w:color="auto" w:fill="CFF0FC"/>
          </w:tcPr>
          <w:p>
            <w:pPr>
              <w:spacing w:after="0"/>
              <w:rPr>
                <w:sz w:val="19"/>
                <w:szCs w:val="19"/>
                <w:color w:val="auto"/>
              </w:rPr>
            </w:pPr>
          </w:p>
        </w:tc>
        <w:tc>
          <w:tcPr>
            <w:tcW w:w="200" w:type="dxa"/>
            <w:vAlign w:val="bottom"/>
            <w:tcBorders>
              <w:bottom w:val="single" w:sz="8" w:color="CFF0FC"/>
            </w:tcBorders>
            <w:vMerge w:val="continue"/>
            <w:shd w:val="clear" w:color="auto" w:fill="CFF0FC"/>
          </w:tcPr>
          <w:p>
            <w:pPr>
              <w:spacing w:after="0"/>
              <w:rPr>
                <w:sz w:val="19"/>
                <w:szCs w:val="19"/>
                <w:color w:val="auto"/>
              </w:rPr>
            </w:pPr>
          </w:p>
        </w:tc>
        <w:tc>
          <w:tcPr>
            <w:tcW w:w="220" w:type="dxa"/>
            <w:vAlign w:val="bottom"/>
            <w:tcBorders>
              <w:bottom w:val="single" w:sz="8" w:color="auto"/>
            </w:tcBorders>
            <w:vMerge w:val="continue"/>
            <w:shd w:val="clear" w:color="auto" w:fill="CFF0FC"/>
          </w:tcPr>
          <w:p>
            <w:pPr>
              <w:spacing w:after="0"/>
              <w:rPr>
                <w:sz w:val="19"/>
                <w:szCs w:val="19"/>
                <w:color w:val="auto"/>
              </w:rPr>
            </w:pPr>
          </w:p>
        </w:tc>
        <w:tc>
          <w:tcPr>
            <w:tcW w:w="900" w:type="dxa"/>
            <w:vAlign w:val="bottom"/>
            <w:tcBorders>
              <w:bottom w:val="single" w:sz="8" w:color="auto"/>
            </w:tcBorders>
            <w:vMerge w:val="continue"/>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50,334</w:t>
            </w:r>
          </w:p>
        </w:tc>
        <w:tc>
          <w:tcPr>
            <w:tcW w:w="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24,685</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25,649</w:t>
            </w:r>
          </w:p>
        </w:tc>
        <w:tc>
          <w:tcPr>
            <w:tcW w:w="4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124,416</w:t>
            </w:r>
          </w:p>
        </w:tc>
        <w:tc>
          <w:tcPr>
            <w:tcW w:w="4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71,874</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52,542</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-170815</wp:posOffset>
            </wp:positionV>
            <wp:extent cx="14541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-170815</wp:posOffset>
            </wp:positionV>
            <wp:extent cx="14605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-170815</wp:posOffset>
            </wp:positionV>
            <wp:extent cx="13716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-170815</wp:posOffset>
            </wp:positionV>
            <wp:extent cx="13716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-170815</wp:posOffset>
            </wp:positionV>
            <wp:extent cx="13716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7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Research and development expenses were $50.3 million for the three months ended September 30, 2025, compared to $24.7 million for the three months ended September 30, 2024. The increase of $25.6 million was primarily due to an increase of $8.7 million in DISC-3405 development expenses driven by a $10.0 million milestone payment triggered by the first administration to a patient in a Phase 2 clinical trial. Personnel-related costs increased $7.0 million related to higher research and development headcount, including an increase of $2.7 million in stock-based compensation driven by awards granted under our equity compensation plans. There was also a $4.6 million increase in bitopertin development expense reflecting ongoing costs associated with both the APOLLO</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6" w:name="page27"/>
    <w:bookmarkEnd w:id="26"/>
    <w:p>
      <w:pPr>
        <w:jc w:val="both"/>
        <w:spacing w:after="0" w:line="266" w:lineRule="auto"/>
        <w:rPr>
          <w:sz w:val="20"/>
          <w:szCs w:val="20"/>
          <w:color w:val="auto"/>
        </w:rPr>
      </w:pPr>
      <w:r>
        <w:rPr>
          <w:rFonts w:ascii="Times New Roman" w:cs="Times New Roman" w:eastAsia="Times New Roman" w:hAnsi="Times New Roman"/>
          <w:sz w:val="18"/>
          <w:szCs w:val="18"/>
          <w:color w:val="auto"/>
        </w:rPr>
        <w:t>trial and the HELIOS long-term extension trial. Other research programs and expenses increased $3.7 million related to expanded research initiatives and ongoing program support. Additionally, DISC-0974 development expenses increased $1.7 million primarily due to clinical trial advancement and drug manufacturing activities.</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Research and development expenses were $124.4 million for the nine months ended September 30, 2025, compared to $71.9 million for the nine months ended September 30, 2024. The increase of $52.5 million was primarily due to an increase of $23.2 million in bitopertin development expense consisting of a $10.0 million milestone payment triggered by the initiation of our APOLLO trial and a $13.2 million increase in ongoing costs associated with both the APOLLO study and the HELIOS long-term extension trial. Personnel-related costs increased $13.9 million related to higher research and development headcount, including an increase of $6.3 million in stock-based compensation driven by awards granted under our equity compensation plans. Other research programs and expenses increased $6.4 million related to expanded research initiatives and ongoing program support. Additionally, DISC-0974 development expenses increased $5.4 million primarily due to clinical trial advancement and drug manufacturing activities. DISC-3405 development expenses increased $3.7 million driven by a $10.0 million milestone payment triggered by the first administration to a patient in a Phase 2 clinical trial, partially offset by a decrease of $6.3 million related to manufacturing costs incurred in the nine months ended September 30, 2024 that did not recur in the nine months ended September 30, 2025.</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selling, general and administrative expenses for the three and nine months ended September 30, 2025 and 2024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6"/>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9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6"/>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1"/>
        </w:trPr>
        <w:tc>
          <w:tcPr>
            <w:tcW w:w="338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Personnel-related (including equity-based</w:t>
            </w:r>
          </w:p>
        </w:tc>
        <w:tc>
          <w:tcPr>
            <w:tcW w:w="2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10,587</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4,970</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5,617</w:t>
            </w:r>
          </w:p>
        </w:tc>
        <w:tc>
          <w:tcPr>
            <w:tcW w:w="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25,715</w:t>
            </w:r>
          </w:p>
        </w:tc>
        <w:tc>
          <w:tcPr>
            <w:tcW w:w="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14,506</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11,209</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Legal, consulting and professional fees</w:t>
            </w:r>
          </w:p>
        </w:tc>
        <w:tc>
          <w:tcPr>
            <w:tcW w:w="220" w:type="dxa"/>
            <w:vAlign w:val="bottom"/>
          </w:tcPr>
          <w:p>
            <w:pPr>
              <w:spacing w:after="0"/>
              <w:rPr>
                <w:sz w:val="18"/>
                <w:szCs w:val="18"/>
                <w:color w:val="auto"/>
              </w:rPr>
            </w:pPr>
          </w:p>
        </w:tc>
        <w:tc>
          <w:tcPr>
            <w:tcW w:w="9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5,432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2,423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3,009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14,866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6,177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8,689</w:t>
            </w:r>
          </w:p>
        </w:tc>
        <w:tc>
          <w:tcPr>
            <w:tcW w:w="0" w:type="dxa"/>
            <w:vAlign w:val="bottom"/>
          </w:tcPr>
          <w:p>
            <w:pPr>
              <w:spacing w:after="0"/>
              <w:rPr>
                <w:sz w:val="1"/>
                <w:szCs w:val="1"/>
                <w:color w:val="auto"/>
              </w:rPr>
            </w:pPr>
          </w:p>
        </w:tc>
      </w:tr>
      <w:tr>
        <w:trPr>
          <w:trHeight w:val="216"/>
        </w:trPr>
        <w:tc>
          <w:tcPr>
            <w:tcW w:w="3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1,343</w:t>
            </w:r>
          </w:p>
        </w:tc>
        <w:tc>
          <w:tcPr>
            <w:tcW w:w="22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778</w:t>
            </w:r>
          </w:p>
        </w:tc>
        <w:tc>
          <w:tcPr>
            <w:tcW w:w="24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565</w:t>
            </w:r>
          </w:p>
        </w:tc>
        <w:tc>
          <w:tcPr>
            <w:tcW w:w="20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4,055</w:t>
            </w:r>
          </w:p>
        </w:tc>
        <w:tc>
          <w:tcPr>
            <w:tcW w:w="20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2,613</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1,442</w:t>
            </w:r>
          </w:p>
        </w:tc>
        <w:tc>
          <w:tcPr>
            <w:tcW w:w="0" w:type="dxa"/>
            <w:vAlign w:val="bottom"/>
          </w:tcPr>
          <w:p>
            <w:pPr>
              <w:spacing w:after="0"/>
              <w:rPr>
                <w:sz w:val="1"/>
                <w:szCs w:val="1"/>
                <w:color w:val="auto"/>
              </w:rPr>
            </w:pPr>
          </w:p>
        </w:tc>
      </w:tr>
      <w:tr>
        <w:trPr>
          <w:trHeight w:val="191"/>
        </w:trPr>
        <w:tc>
          <w:tcPr>
            <w:tcW w:w="33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Total selling, general and administrative</w:t>
            </w: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vMerge w:val="restart"/>
          </w:tcPr>
          <w:p>
            <w:pPr>
              <w:jc w:val="right"/>
              <w:ind w:right="56"/>
              <w:spacing w:after="0"/>
              <w:rPr>
                <w:sz w:val="20"/>
                <w:szCs w:val="20"/>
                <w:color w:val="auto"/>
              </w:rPr>
            </w:pPr>
            <w:r>
              <w:rPr>
                <w:rFonts w:ascii="Times New Roman" w:cs="Times New Roman" w:eastAsia="Times New Roman" w:hAnsi="Times New Roman"/>
                <w:sz w:val="18"/>
                <w:szCs w:val="18"/>
                <w:color w:val="auto"/>
              </w:rPr>
              <w:t>17,362</w:t>
            </w:r>
          </w:p>
        </w:tc>
        <w:tc>
          <w:tcPr>
            <w:tcW w:w="4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ind w:right="34"/>
              <w:spacing w:after="0"/>
              <w:rPr>
                <w:sz w:val="20"/>
                <w:szCs w:val="20"/>
                <w:color w:val="auto"/>
              </w:rPr>
            </w:pPr>
            <w:r>
              <w:rPr>
                <w:rFonts w:ascii="Times New Roman" w:cs="Times New Roman" w:eastAsia="Times New Roman" w:hAnsi="Times New Roman"/>
                <w:sz w:val="18"/>
                <w:szCs w:val="18"/>
                <w:color w:val="auto"/>
              </w:rPr>
              <w:t>8,171</w:t>
            </w:r>
          </w:p>
        </w:tc>
        <w:tc>
          <w:tcPr>
            <w:tcW w:w="4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jc w:val="right"/>
              <w:ind w:right="34"/>
              <w:spacing w:after="0"/>
              <w:rPr>
                <w:sz w:val="20"/>
                <w:szCs w:val="20"/>
                <w:color w:val="auto"/>
              </w:rPr>
            </w:pPr>
            <w:r>
              <w:rPr>
                <w:rFonts w:ascii="Times New Roman" w:cs="Times New Roman" w:eastAsia="Times New Roman" w:hAnsi="Times New Roman"/>
                <w:sz w:val="18"/>
                <w:szCs w:val="18"/>
                <w:color w:val="auto"/>
              </w:rPr>
              <w:t>9,191</w:t>
            </w:r>
          </w:p>
        </w:tc>
        <w:tc>
          <w:tcPr>
            <w:tcW w:w="4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jc w:val="right"/>
              <w:ind w:right="36"/>
              <w:spacing w:after="0"/>
              <w:rPr>
                <w:sz w:val="20"/>
                <w:szCs w:val="20"/>
                <w:color w:val="auto"/>
              </w:rPr>
            </w:pPr>
            <w:r>
              <w:rPr>
                <w:rFonts w:ascii="Times New Roman" w:cs="Times New Roman" w:eastAsia="Times New Roman" w:hAnsi="Times New Roman"/>
                <w:sz w:val="18"/>
                <w:szCs w:val="18"/>
                <w:color w:val="auto"/>
              </w:rPr>
              <w:t>44,636</w:t>
            </w:r>
          </w:p>
        </w:tc>
        <w:tc>
          <w:tcPr>
            <w:tcW w:w="4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jc w:val="right"/>
              <w:ind w:right="34"/>
              <w:spacing w:after="0"/>
              <w:rPr>
                <w:sz w:val="20"/>
                <w:szCs w:val="20"/>
                <w:color w:val="auto"/>
              </w:rPr>
            </w:pPr>
            <w:r>
              <w:rPr>
                <w:rFonts w:ascii="Times New Roman" w:cs="Times New Roman" w:eastAsia="Times New Roman" w:hAnsi="Times New Roman"/>
                <w:sz w:val="18"/>
                <w:szCs w:val="18"/>
                <w:color w:val="auto"/>
              </w:rPr>
              <w:t>23,296</w:t>
            </w:r>
          </w:p>
        </w:tc>
        <w:tc>
          <w:tcPr>
            <w:tcW w:w="4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tcPr>
          <w:p>
            <w:pPr>
              <w:jc w:val="right"/>
              <w:ind w:right="34"/>
              <w:spacing w:after="0"/>
              <w:rPr>
                <w:sz w:val="20"/>
                <w:szCs w:val="20"/>
                <w:color w:val="auto"/>
              </w:rPr>
            </w:pPr>
            <w:r>
              <w:rPr>
                <w:rFonts w:ascii="Times New Roman" w:cs="Times New Roman" w:eastAsia="Times New Roman" w:hAnsi="Times New Roman"/>
                <w:sz w:val="18"/>
                <w:szCs w:val="18"/>
                <w:color w:val="auto"/>
              </w:rPr>
              <w:t>21,340</w:t>
            </w:r>
          </w:p>
        </w:tc>
        <w:tc>
          <w:tcPr>
            <w:tcW w:w="0" w:type="dxa"/>
            <w:vAlign w:val="bottom"/>
          </w:tcPr>
          <w:p>
            <w:pPr>
              <w:spacing w:after="0"/>
              <w:rPr>
                <w:sz w:val="1"/>
                <w:szCs w:val="1"/>
                <w:color w:val="auto"/>
              </w:rPr>
            </w:pPr>
          </w:p>
        </w:tc>
      </w:tr>
      <w:tr>
        <w:trPr>
          <w:trHeight w:val="194"/>
        </w:trPr>
        <w:tc>
          <w:tcPr>
            <w:tcW w:w="3380" w:type="dxa"/>
            <w:vAlign w:val="bottom"/>
          </w:tcPr>
          <w:p>
            <w:pPr>
              <w:ind w:left="60"/>
              <w:spacing w:after="0" w:line="194" w:lineRule="exact"/>
              <w:rPr>
                <w:sz w:val="20"/>
                <w:szCs w:val="20"/>
                <w:color w:val="auto"/>
              </w:rPr>
            </w:pPr>
            <w:r>
              <w:rPr>
                <w:rFonts w:ascii="Times New Roman" w:cs="Times New Roman" w:eastAsia="Times New Roman" w:hAnsi="Times New Roman"/>
                <w:sz w:val="18"/>
                <w:szCs w:val="18"/>
                <w:color w:val="auto"/>
              </w:rPr>
              <w:t>expenses</w:t>
            </w:r>
          </w:p>
        </w:tc>
        <w:tc>
          <w:tcPr>
            <w:tcW w:w="22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48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6297295</wp:posOffset>
            </wp:positionH>
            <wp:positionV relativeFrom="paragraph">
              <wp:posOffset>-281940</wp:posOffset>
            </wp:positionV>
            <wp:extent cx="13716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were $17.4 million for the three months ended September 30, 2025, compared to $8.2 million for the three months ended September 30, 2024. The increase of $9.2 million was due to an increase of $5.6 million in personnel-related costs due to higher selling, general and administrative headcount, including an increase of $2.4 million in stock-based compensation driven by awards granted under our equity compensation plans. There was also a $3.0 million increase in legal, consulting, and professional fees primarily related to developing our commercialization capabilities.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were $44.6 million for the nine months ended September 30, 2025, compared to $23.3 million for the nine months ended September 30, 2024. The increase of $21.3 million was due to an increase of $11.2 million in personnel-related costs due to higher selling, general and administrative headcount, including an increase of $5.5 million in stock-based compensation driven by awards granted under our equity compensation plans. There was also a $8.7 million increase in legal, consulting, and professional fees primarily related to developing our commercialization capabilities.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income (expense), net was $5.5 million for the three months ended September 30, 2025, compared to $6.4 million for the three months ended September 30, 2024. This decrease of $0.9 million was driven by an increase in interest expense associated with our term loan.</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income (expense), net was $17.7 million for the nine months ended September 30, 2025, compared to $15.4 million for the nine months ended September 30, 2024. This increase of $2.3 million was primarily due to higher interest income driven by larger cash, cash equivalents and marketable securities balances, partially offset by an increase in interest expense associated with our term loan.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Income tax expense was $0.1 million and $0.3 million for the three and nine months ended September 30, 2025, respectively, compared to $0.1 million and $0.2 million for the three and nine months ended September 30, 2024, respectively. This expense primarily relates to state income tax resulting from an increase in interest income.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Since our inception, we have not generated any revenue from product sales and have incurred significant operating losses. We expect to continue to incur significant expenses and operating losses in the foreseeable future as we advance the clinical development of our product candidates. We expect that our research and development and selling, general and administrative costs will continue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7" w:name="page28"/>
    <w:bookmarkEnd w:id="27"/>
    <w:p>
      <w:pPr>
        <w:jc w:val="both"/>
        <w:spacing w:after="0" w:line="258" w:lineRule="auto"/>
        <w:rPr>
          <w:sz w:val="20"/>
          <w:szCs w:val="20"/>
          <w:color w:val="auto"/>
        </w:rPr>
      </w:pPr>
      <w:r>
        <w:rPr>
          <w:rFonts w:ascii="Times New Roman" w:cs="Times New Roman" w:eastAsia="Times New Roman" w:hAnsi="Times New Roman"/>
          <w:sz w:val="18"/>
          <w:szCs w:val="18"/>
          <w:color w:val="auto"/>
        </w:rPr>
        <w:t>to increase significantly, including in connection with conducting clinical trials and manufacturing for our product candidates to support potential commercialization and providing selling, general and administrative support for our operations, including the costs associated with operating as a public company. As a result, we may need additional capital to fund our operations, which we may obtain from additional equity or debt financings, collaborations, licensing arrangements or other sources. See “Risk Factors” included within Item 1A of this Quarterly Report on Form 10-Q for additional risks associated with our substantial capital requirements.</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date, we have funded our operations primarily with proceeds from the sale of our convertible preferred stock and common stock, the proceeds from the merger with Gemini, proceeds from various private and public sales of our equity securities and proceeds from borrowings under the Hercules Loan Agreement. Through September 30, 2025, we have received net proceeds of $144.5 million from sales of our Series Seed, Series A and Series B convertible preferred stock, $89.5 million from the merger with Gemini, $730.8 million from various private and public sales of our equity securities, and $27.6 million from borrowings under the Hercules Loan Agreement. As of September 30, 2025, we had cash, cash equivalents and marketable securities of $615.9 million.</w:t>
      </w:r>
    </w:p>
    <w:p>
      <w:pPr>
        <w:spacing w:after="0" w:line="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October 2025, we completed an underwritten public offering of shares of our common stock and pre-funded warrants for net proceeds of approximately $210.9 million, after deducting estimated offering expenses payable by us.</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incurred significant operating losses since inception and, as of September 30, 2025, had an accumulated deficit of $449.7 million. In addition, we expect to continue to incur significant and increasing expenses and operating losses for the foreseeable future. We believe that our cash, cash equivalents and marketable securities, including the net proceeds of our October 2025 underwritten public offering, will be sufficient to fund our current operating and capital expenditure plans and our debt service obligations into 2029 without taking into account any potential net cash inflows from bitopertin or any other marketed product, if approved during such period. We have based these estimates on assumptions that may prove to be wrong, and we could exhaust our available capital resources sooner than we expect. We may also pursue additional cash resources through public or private equity offerings, collaborations or additional draws under the Hercules Loan Agreement.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regarding our cash flows for each period presented (in thousands):</w:t>
      </w:r>
    </w:p>
    <w:p>
      <w:pPr>
        <w:spacing w:after="0" w:line="111"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-3175</wp:posOffset>
            </wp:positionV>
            <wp:extent cx="224599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245995" cy="8890"/>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(137,093)</w:t>
            </w:r>
          </w:p>
        </w:tc>
        <w:tc>
          <w:tcPr>
            <w:tcW w:w="5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(66,353)</w:t>
            </w: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(171,406)</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(290,906)</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256,731</w:t>
            </w: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189,517</w:t>
            </w:r>
          </w:p>
        </w:tc>
      </w:tr>
      <w:tr>
        <w:trPr>
          <w:trHeight w:val="23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(51,768)</w:t>
            </w:r>
          </w:p>
        </w:tc>
        <w:tc>
          <w:tcPr>
            <w:tcW w:w="5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(167,742)</w:t>
            </w:r>
          </w:p>
        </w:tc>
      </w:tr>
      <w:tr>
        <w:trPr>
          <w:trHeight w:val="20"/>
        </w:trPr>
        <w:tc>
          <w:tcPr>
            <w:tcW w:w="77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-24765</wp:posOffset>
            </wp:positionV>
            <wp:extent cx="12001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-8255</wp:posOffset>
            </wp:positionV>
            <wp:extent cx="12001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cash flows from operating activities are greatly influenced by our use of cash for operating expenses and working capital requirements to support our business. We have historically experienced negative cash flows from operating activities as we invested in developing our portfolio, drug discovery efforts, conducting clinical trials and manufacturing, and related infrastructure. The cash used in operating activities resulted primarily from our net losses adjusted for non-cash charges and changes in components of operating assets and liabilities, which are primarily the result of increased expenses and timing of vendor payments.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2025, net cash used in operating activities of $137.1 million was primarily due to our net loss of $151.7 million and the change in operating assets and liabilities of $4.9 million. These were partially offset by non-cash expenses of $19.4 million which included $24.3 million in stock-based compensation, reduced by $6.9 million from amortization and accretion of investment securities.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2024, net cash used in operating activities of $66.4 million was primarily due to our net loss of $79.9 million, which includes interest income of $15.5 million; partially offset by non-cash expenses of $9.8 million primarily related to stock-based compensation expense of $12.5 million offset by amortization/accretion of investment securities of $3.1 million and changes in operating assets and liabilities of $3.7 million, including a reduction in accounts payable for the payment of a milestone payment of $5.0 million to Mabwell.</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2025, net cash used in investing activities was primarily due to purchases of marketable securities of $491.3 million, partially offset by maturities of marketable securities of $320.8 million.</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2024, net cash used in investing activities was primarily due to purchases of marketable securities of $313.9 million, partially offset by maturities of marketable securities of $23.0 million.</w:t>
      </w: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2025, net cash provided by financing activities of $256.7 million consisted primarily of aggregate net proceeds of $243.4 million and $9.8 million from our underwritten offering in January 2025 and sales of shares of common stock in Cantor ATM offerings, respectively.</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2024, net cash provided by financing activities of $189.5 million consisted primarily of cash net proceeds of $172.5 million from the underwritten offering and aggregate net proceeds of $14.8 million from at-the-market offerings.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Funding Requirements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our expenses to increase substantially in connection with our ongoing activities, particularly as we advance our product candidates into and through clinical development and continue to operate as a public company. Our funding requirements and the timing and amount of our operating expenditures will depend largely on:</w:t>
      </w:r>
    </w:p>
    <w:p>
      <w:pPr>
        <w:spacing w:after="0" w:line="68" w:lineRule="exact"/>
        <w:rPr>
          <w:sz w:val="20"/>
          <w:szCs w:val="20"/>
          <w:color w:val="auto"/>
        </w:rPr>
      </w:pPr>
    </w:p>
    <w:p>
      <w:pPr>
        <w:ind w:left="760" w:hanging="378"/>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preclinical studies and clinical trials for our product candidates or any future product candidates we may develop;</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any product candidates we may develop, including but not limited to clinical trial requirements for approvals;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obtaining materials to produce adequate product supply for any preclinical or clinical development of any product candidate we may develop;</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collaborations, licensing or other arrangements and the financial terms of such arrangements;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or receipt of milestones, royalties and other collaboration-based revenues, if any;</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marketing, sales and distribution, for any product candidate we may develop for which we obtain marketing approval;</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revenue, if any, received from commercial sales of our product candidates for which we receive marketing approval; and</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costs involved in prosecuting patent applications and enforcing patent claims and other intellectual property claims.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studies and clinical trials is a time 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products that may take longer than we anticipate to become commercially available, if they become commercially available at all. Accordingly, we may need to obtain substantial additional funds to achieve our business objectives.</w:t>
      </w:r>
    </w:p>
    <w:p>
      <w:pPr>
        <w:spacing w:after="0" w:line="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Until such time, if ever, as we can generate substantial revenue from product sales, we expect to finance our cash needs through a combination of equity offerings, debt financings, collaborations, strategic alliances, and marketing, distribution or licensing arrangements with third parties. However, we may be unable to raise additional funds or enter into such other arrangements when needed on favorable terms or at all. To the extent that we raise additional capital through the sale of equity or convertible debt securities, the ownership interest of our existing stockholders may be materially diluted, and the terms of such securities could include liquidation or other preferences that adversely affect the rights of our common stockholders. Debt financing and preferred equity financing, if available, may involve agreements that include restrictive covenants that limit our ability to take specified actions, such as incurring additional debt, making capital expenditures or declaring dividends. If we raise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reduce or eliminate our product development or future commercialization efforts, or grant rights to develop and market product candidates that we would otherwise prefer to develop and market ourselves.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Other Commitments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contractual obligations as of September 30, 2025 and the effects that such obligations are expected to have on our liquidity and cash flows in future periods (in thousands):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73"/>
        </w:trPr>
        <w:tc>
          <w:tcPr>
            <w:tcW w:w="48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vMerge w:val="restart"/>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jc w:val="right"/>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Less Than</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gridSpan w:val="2"/>
          </w:tcPr>
          <w:p>
            <w:pPr>
              <w:ind w:left="140"/>
              <w:spacing w:after="0" w:line="118" w:lineRule="exact"/>
              <w:rPr>
                <w:sz w:val="20"/>
                <w:szCs w:val="20"/>
                <w:color w:val="auto"/>
              </w:rPr>
            </w:pPr>
            <w:r>
              <w:rPr>
                <w:rFonts w:ascii="Times New Roman" w:cs="Times New Roman" w:eastAsia="Times New Roman" w:hAnsi="Times New Roman"/>
                <w:sz w:val="13"/>
                <w:szCs w:val="13"/>
                <w:b w:val="1"/>
                <w:bCs w:val="1"/>
                <w:color w:val="auto"/>
              </w:rPr>
              <w:t>1 to 3</w:t>
            </w:r>
          </w:p>
        </w:tc>
        <w:tc>
          <w:tcPr>
            <w:tcW w:w="240" w:type="dxa"/>
            <w:vAlign w:val="bottom"/>
          </w:tcPr>
          <w:p>
            <w:pPr>
              <w:spacing w:after="0"/>
              <w:rPr>
                <w:sz w:val="10"/>
                <w:szCs w:val="10"/>
                <w:color w:val="auto"/>
              </w:rPr>
            </w:pPr>
          </w:p>
        </w:tc>
        <w:tc>
          <w:tcPr>
            <w:tcW w:w="960" w:type="dxa"/>
            <w:vAlign w:val="bottom"/>
          </w:tcPr>
          <w:p>
            <w:pPr>
              <w:ind w:left="120"/>
              <w:spacing w:after="0" w:line="118" w:lineRule="exact"/>
              <w:rPr>
                <w:sz w:val="20"/>
                <w:szCs w:val="20"/>
                <w:color w:val="auto"/>
              </w:rPr>
            </w:pPr>
            <w:r>
              <w:rPr>
                <w:rFonts w:ascii="Times New Roman" w:cs="Times New Roman" w:eastAsia="Times New Roman" w:hAnsi="Times New Roman"/>
                <w:sz w:val="13"/>
                <w:szCs w:val="13"/>
                <w:b w:val="1"/>
                <w:bCs w:val="1"/>
                <w:color w:val="auto"/>
              </w:rPr>
              <w:t>3 to 5</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More Than</w:t>
            </w:r>
          </w:p>
        </w:tc>
        <w:tc>
          <w:tcPr>
            <w:tcW w:w="0" w:type="dxa"/>
            <w:vAlign w:val="bottom"/>
          </w:tcPr>
          <w:p>
            <w:pPr>
              <w:spacing w:after="0"/>
              <w:rPr>
                <w:sz w:val="1"/>
                <w:szCs w:val="1"/>
                <w:color w:val="auto"/>
              </w:rPr>
            </w:pPr>
          </w:p>
        </w:tc>
      </w:tr>
      <w:tr>
        <w:trPr>
          <w:trHeight w:val="173"/>
        </w:trPr>
        <w:tc>
          <w:tcPr>
            <w:tcW w:w="48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1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480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Operating lease commitments</w:t>
            </w:r>
            <w:r>
              <w:rPr>
                <w:rFonts w:ascii="Times New Roman" w:cs="Times New Roman" w:eastAsia="Times New Roman" w:hAnsi="Times New Roman"/>
                <w:sz w:val="24"/>
                <w:szCs w:val="24"/>
                <w:color w:val="auto"/>
                <w:vertAlign w:val="superscript"/>
              </w:rPr>
              <w:t>(1)</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3,337</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1,425</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1,112</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8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3,337</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1,425</w:t>
            </w:r>
          </w:p>
        </w:tc>
        <w:tc>
          <w:tcPr>
            <w:tcW w:w="1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1,112</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-170815</wp:posOffset>
            </wp:positionV>
            <wp:extent cx="7747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-170815</wp:posOffset>
            </wp:positionV>
            <wp:extent cx="7683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-170815</wp:posOffset>
            </wp:positionV>
            <wp:extent cx="7747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-170815</wp:posOffset>
            </wp:positionV>
            <wp:extent cx="7683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70" w:lineRule="exact"/>
        <w:rPr>
          <w:sz w:val="20"/>
          <w:szCs w:val="20"/>
          <w:color w:val="auto"/>
        </w:rPr>
      </w:pPr>
    </w:p>
    <w:p>
      <w:pPr>
        <w:jc w:val="both"/>
        <w:ind w:firstLine="8"/>
        <w:spacing w:after="0" w:line="266" w:lineRule="auto"/>
        <w:tabs>
          <w:tab w:leader="none" w:pos="26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contractual rent payments due for our leased and subleased office spaces in Watertown, Massachusetts as of September 30, 2025 and include contractual payments due under our forward-starting lease which is expected to commence in December 2026. The term date for our existing lease is December 31, 2029 and the term date for our existing sublease is November 30, 2026.</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enter into contracts in the normal course of business with CROs, CDMOs and other third parties for preclinical studies, clinical trials and manufacturing services. These contracts typically do not contain minimum purchase commitments and are generally cancelable by us upon written notice. Payments due upon cancellation consist of payments for services provided or expenses incurred, including noncancelable obligations of our service providers, up to the date of cancellation and, in the case of certain arrangements with CROs and CDMOs, may include non-cancelable fees. These payments are not included in the table above as the amount and timing of such payments are not fixed and estimable.</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also entered into license agreements under which we are obligated to make specified milestone and royalty payments. We have not included future payments under these agreements in the table of contractual obligations above since the payment obligations under these agreements are contingent upon future events such as regulatory milestones or generating product sales. We are unable to estimate the timing or likelihood of achieving these milestones or generating future product sales. For additional information about our license agreements and amounts that could become payable in the future under such agreements, see our condensed consolidated financial statements.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Our management’s discussion and analysis of our financial condition and results of operations is based on our condensed consolidated financial statements, which have been prepared in accordance with U.S. generally accepted accounting principles, or GAAP. The preparation of our condensed consolidated financial statements and related disclosures requires us to make estimates and judgments that affect the reported amounts of assets, liabilities, and costs and expenses.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 See our Annual Report on Form 10-K for the year ended December 31, 2024 for more </w:t>
      </w:r>
      <w:r>
        <w:rPr>
          <w:rFonts w:ascii="Times New Roman" w:cs="Times New Roman" w:eastAsia="Times New Roman" w:hAnsi="Times New Roman"/>
          <w:sz w:val="18"/>
          <w:szCs w:val="18"/>
          <w:color w:val="212529"/>
        </w:rPr>
        <w:t>information about critical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policies as well as a description of our other significant accounting policies</w:t>
      </w:r>
      <w:r>
        <w:rPr>
          <w:rFonts w:ascii="Times New Roman" w:cs="Times New Roman" w:eastAsia="Times New Roman" w:hAnsi="Times New Roman"/>
          <w:sz w:val="18"/>
          <w:szCs w:val="18"/>
          <w:color w:val="000000"/>
        </w:rPr>
        <w:t>.</w:t>
      </w:r>
    </w:p>
    <w:p>
      <w:pPr>
        <w:spacing w:after="0" w:line="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estimates from those described in Part II, Item 7. “Management’s Discussion and Analysis of Financial Condition and Results of Operations” included in our Annual Report on Form 10-K for the year ended December 31, 2024.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Pronouncements</w:t>
      </w:r>
    </w:p>
    <w:p>
      <w:pPr>
        <w:spacing w:after="0" w:line="1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A description of recently issued and certain recently adopted accounting pronouncements that have or may potentially impact our financial position and results of operations is included in </w:t>
      </w:r>
      <w:r>
        <w:rPr>
          <w:rFonts w:ascii="Times New Roman" w:cs="Times New Roman" w:eastAsia="Times New Roman" w:hAnsi="Times New Roman"/>
          <w:sz w:val="18"/>
          <w:szCs w:val="18"/>
          <w:i w:val="1"/>
          <w:iCs w:val="1"/>
          <w:color w:val="auto"/>
        </w:rPr>
        <w:t>Note 2 - Summary of Significant Accounting Policies</w:t>
      </w:r>
      <w:r>
        <w:rPr>
          <w:rFonts w:ascii="Times New Roman" w:cs="Times New Roman" w:eastAsia="Times New Roman" w:hAnsi="Times New Roman"/>
          <w:sz w:val="18"/>
          <w:szCs w:val="18"/>
          <w:color w:val="auto"/>
        </w:rPr>
        <w:t xml:space="preserve"> to our consolidated financial statements in our Annual Report on Form 10-K for the year ended December 31, 2024.</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September 30, 2025, we had cash, cash equivalents and marketable securities of $615.9 million which consisted of cash, money market funds, U.S. treasury securities, U.S. government agency securities and corporate debt securities, which are classified as available-for-sale securities. As of December 31, 2024, we had cash and cash equivalents of $489.9 million, which consisted of cash, money market funds and U.S. treasury securities. Our primary investment objectives are the preservation of capital and the maintenance of liquidity, and our investment policy defines allowable investments based on quality of the institutions and financial instruments designed to minimize risk exposure. Our exposure to interest rate sensitivity is affected by changes in the general level of U.S. interest rates. Our marketable securities are subject to interest rate risk and will fall in value if market interest rates increase. Due to the short-term maturities and low risk profiles of our investments, we do not anticipate a significant exposure to interest rate risk. If market interest rates were to increase immediately and uniformly by one percentage point from levels as of September 30, 2025, the net fair value of our marketable securities would decrease by approximately $2.6 million.</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employees and operations are primarily located in the United States. We have, from time to time, engaged in contracts with contractors or other vendors in a currency other than the U.S. dollar. To date, we have had minimal exposure to fluctuations in foreign currency exchange rates as the time period between the date that transactions are initiated, and the date of payment or receipt of payment is generally of short duration. Accordingly, we believe we do not have a material exposure to foreign currency risk.</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and contract research. We do not believe that inflation had a material effect on our business, financial condition or results of operations during the nine months ended September 30, 2025 and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management, under the supervision and with the participation of our Principal Executive Officer (our Chief Executive Officer) and Principal Financial Officer (our Chief Financial Officer), has evaluated the effectiveness of our disclosure controls and procedures as of September 30, 2025.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recognizes that any disclosure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2025, our Principal Executive Officer and Principal Financial Officer concluded that, as of such date, our disclosure controls and procedures were not effective at the reasonable assurance level due to the material weakness in the design and maintenance of effective Information Technology General Controls (“ITGC”) over certain key financial IT systems described below.</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Weakness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previously disclosed in our Annual Report on Form 10-K for the year ended December 31, 2024, we identified a material weakness related to a lack of design and maintenance of effective ITGC's over certain key financial IT systems. Consequently, our IT application controls and IT dependent manual controls that rely upon the ineffective ITGC's, or that use information from the systems impacted by the ineffective ITGC's were also deemed ineffective because they could have been adversely impacted.</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material weakness identified above did not result in any material misstatements in our financial statements or disclosures, and there were no changes to previously released financial results. Our management concluded that the unaudited condensed consolidated financial statements included in this Quarterly Report on Form 10-Q, present fairly, in all material respects, our financial position, results of operations, and cash flows for the periods presented in accordance with accounting principles generally accepted in the United States of America, or U.S. GAAP.</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of Material Weakness</w:t>
      </w:r>
    </w:p>
    <w:p>
      <w:pPr>
        <w:spacing w:after="0" w:line="121" w:lineRule="exact"/>
        <w:rPr>
          <w:sz w:val="20"/>
          <w:szCs w:val="20"/>
          <w:color w:val="auto"/>
        </w:rPr>
      </w:pPr>
    </w:p>
    <w:p>
      <w:pPr>
        <w:jc w:val="center"/>
        <w:spacing w:after="0" w:line="256" w:lineRule="auto"/>
        <w:rPr>
          <w:sz w:val="20"/>
          <w:szCs w:val="20"/>
          <w:color w:val="auto"/>
        </w:rPr>
      </w:pPr>
      <w:r>
        <w:rPr>
          <w:rFonts w:ascii="Times New Roman" w:cs="Times New Roman" w:eastAsia="Times New Roman" w:hAnsi="Times New Roman"/>
          <w:sz w:val="18"/>
          <w:szCs w:val="18"/>
          <w:color w:val="auto"/>
        </w:rPr>
        <w:t>Management, with the oversight of the audit committee of the board of directors, is committed to maintaining a strong internal control environment. In response to the material weakness identified above, we have identified and continue to implement remediation efforts which include: (i) developing and implementing additional training and awareness programs addressing ITGCs and policies, including educating control owners concerning the principles and requirements of each control, with a focus on understanding user access and program changes; (ii) engaging third-party consultants to assist with remediation efforts, including enhancing our risk assessment, evaluating gaps in our current processes and controls, and developing a remediation plan; (iii)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1" w:name="page32"/>
    <w:bookmarkEnd w:id="31"/>
    <w:p>
      <w:pPr>
        <w:jc w:val="both"/>
        <w:spacing w:after="0" w:line="282" w:lineRule="auto"/>
        <w:rPr>
          <w:sz w:val="20"/>
          <w:szCs w:val="20"/>
          <w:color w:val="auto"/>
        </w:rPr>
      </w:pPr>
      <w:r>
        <w:rPr>
          <w:rFonts w:ascii="Times New Roman" w:cs="Times New Roman" w:eastAsia="Times New Roman" w:hAnsi="Times New Roman"/>
          <w:sz w:val="18"/>
          <w:szCs w:val="18"/>
          <w:color w:val="auto"/>
        </w:rPr>
        <w:t>expanding available resources through internal hiring and; (iv) enhancing quarterly reporting on the remediation measures to the Audit Committee of the Board of Directors.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these actions, when fully implemented, will remediate the material weakness. However, the material weakness will not be considered fully remediated until management designs and implements effective controls that operate for a sufficient period of time and management has concluded, through testing, that these controls are effective. As we continue to evaluate operating effectiveness and monitor improvements to our internal control over financial reporting, we may take additional measures to address control deficiencies or modify the remediation plan described above.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Except as described above, there were no changes in our internal control over financial reporting (as defined in Rules 13a-15(f) and 15d-15(f) under the Exchange Act) that occurred during the nine months ended September 30, 2025 that have materially affected, or are reasonably likely to materially affect, our internal control over financial reporting.</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may be subject to legal proceedings and claims in the ordinary course of business. We are not currently aware of any such proceedings or claims that we believe will have, individually or in the aggregate, a material adverse effect on our business, financial condition or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Set forth below are the risks that we believe are material to our investors and they should be carefully considered. If any of the following risks and uncertainties actually occurs, our business, prospects, financial condition and results of operations could be materially and adversely affected. The risks described below are not intended to be exhaustive and other factors not presently known to us or that we currently believe are immaterial may affect our business, prospects, financial condition and results of operations if they occur. This section contains forward-looking statements. You should refer to the explanation of the qualifications and limitations on forward-looking statements beginning on page 1 of this Quarterly Report on Form 10-Q.</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Limited Operating History, Financial Position and Capital Requirements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limited operating history may make it difficult for you to evaluate the success of our business to date and to assess our future viability.</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commenced operations in 2017 and are a clinical-stage biopharmaceutical company with a limited operating history. Biopharmaceutical product development is a highly speculative undertaking and involves a substantial degree of risk. Since our inception in October 2017, we have devoted substantially all of our efforts to organizing and staffing our company, business planning, capital raising, establishing and maintaining our intellectual property portfolio, building our pipeline of product candidates, conducting drug discovery activities, undertaking preclinical studies, conducting early-stage clinical trials, preparing for the potential commercialization of bitopertin, if approved, and providing general and administrative support for these operations. We have not yet demonstrated our ability to successfully develop any product candidate, obtain regulatory approvals, manufacture a commercial-scale product or arrange for a third party to do so on our behalf, or conduct sales and marketing activities necessary for successful product commercialization. Consequently, any predictions you make about our future success or viability may not be as accurate as they could be if we had a longer operating history or a history of successfully developing and commercializing products.</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as our business grows, we may encounter unforeseen expenses, difficulties, complications, delays and other known and unknown factors. We will need to transition at some point from a company with a research and development focus to a company capable of supporting commercial activities. We may not be successful in such a transition.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significant net losses since our inception and anticipate that we will continue to incur losses for the foreseeable future.</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net losses were $151.7 million and $79.9 million for the nine months ended September 30, 2025 and 2024, respectively. We had an accumulated deficit of $449.7 million as of September 30, 2025. Substantially all of our net losses have resulted from costs incurred in connection with our research and development programs and from selling, general and administrative costs associated with our operations. We expect our research and development expenses to increase significantly in connection with the commencement and continuation of clinical trials of our product candidates. In addition, if we obtain regulatory approval for our product candidates, we will incur significant sales, marketing and manufacturing expenses. We also will continue to incur additional costs associated with operating as a public company and expect to continue to incur significant and increasing operating losses over the next several years and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spacing w:after="0" w:line="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amount of our future losses is uncertain and our quarterly and annual operating results may fluctuate significantly in the future due to a variety of factors, many of which are outside of our control and may be difficult to predict, including the following:</w:t>
      </w:r>
    </w:p>
    <w:p>
      <w:pPr>
        <w:spacing w:after="0" w:line="54" w:lineRule="exact"/>
        <w:rPr>
          <w:sz w:val="20"/>
          <w:szCs w:val="20"/>
          <w:color w:val="auto"/>
        </w:rPr>
      </w:pPr>
    </w:p>
    <w:p>
      <w:pPr>
        <w:ind w:left="760" w:right="20" w:hanging="378"/>
        <w:spacing w:after="0" w:line="282"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or failure of preclinical studies and clinical trials for our product candidates or competing product candidates, or any other change in the competitive landscape of our industry, including consolidation among our competitors or partners;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open clinical trial sites and recruit and retain subjects for clinical trials and any delays caused by difficulties in such efforts;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regulatory approval for our product candidates, and the timing and scope of any such approvals we may receive;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3" w:name="page34"/>
    <w:bookmarkEnd w:id="33"/>
    <w:p>
      <w:pPr>
        <w:ind w:left="760" w:right="20" w:hanging="378"/>
        <w:spacing w:after="0" w:line="282"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and development activities relating to our product candidates, which may change from time to time;</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product candidates and products, should they receive regulatory approval, which may vary depending on the quantity of production and the terms of our agreements with manufacturers;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hire and retain qualified personnel;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that we will or may incur to develop additional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our products should they receive regulatory approval, which may vary significantly;</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risk/benefit profile, cost and reimbursement policies with respect to our product candidates, if approved, and existing and potential future therapeutics that compete with our product candidates;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changing and volatile U.S. and global economic environments, including as a result of public health crises;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This variability and unpredictability could also result in us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if we have met any previously publicly stated guidance we may provide.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no products approved for commercial sale and have not generated any revenue from product sales.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ability to become profitable depends upon our ability to generate revenue. To date, we have not generated collaborative revenue from our product candidates and have not generated revenue from product sales. We do not expect to generate significant revenue unless and until we obtain regulatory approval of, and begin to sell, one or more of our product candidates, which may take longer than we anticipate, or may not occur at all. Our ability to generate revenue depends on a number of factors, including, but not limited to, our ability to:</w:t>
      </w:r>
    </w:p>
    <w:p>
      <w:pPr>
        <w:spacing w:after="0" w:line="72" w:lineRule="exact"/>
        <w:rPr>
          <w:sz w:val="20"/>
          <w:szCs w:val="20"/>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complete our ongoing and planned preclinical studies for our current and future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file and receive acceptance of our Investigational New Drug applications, or INDs, in order to commence our planned clinical trials or future clinical trials;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enroll subjects in and complete, our ongoing and planned clinical trials;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successfully complete all safety and efficacy studies necessary to obtain U.S. and foreign regulatory approval for our product candidates;</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address the prevalence, duration and severity of potential side effects or other safety issues experienced with our product candidates, if any;</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file New Drug Applications, or NDAs, and Biologics License Applications, or BLAs, and receive regulatory approvals for our product candidates from the U.S. Food and Drug Administration, or the FDA, and comparable foreign regulatory authorities;</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clinical and commercial manufacturing capabilities or make arrangements with third-party manufacturers for clinical supply and commercial manufacturing;</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patent and trade secret protection or regulatory exclusivity for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 commercial sales of our products, if and when approved, whether alone or in collaboration with others;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acceptance of our products, if and when approved, by patients, the medical community and third-party payors;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position our product candidates to effectively compete with other therapies;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healthcare coverage and adequate reimbursement;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 and defend intellectual property rights and claims;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continued acceptable safety profile of our products following approval.</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4" w:name="page35"/>
    <w:bookmarkEnd w:id="34"/>
    <w:p>
      <w:pPr>
        <w:jc w:val="both"/>
        <w:spacing w:after="0" w:line="266" w:lineRule="auto"/>
        <w:rPr>
          <w:sz w:val="20"/>
          <w:szCs w:val="20"/>
          <w:color w:val="auto"/>
        </w:rPr>
      </w:pPr>
      <w:r>
        <w:rPr>
          <w:rFonts w:ascii="Times New Roman" w:cs="Times New Roman" w:eastAsia="Times New Roman" w:hAnsi="Times New Roman"/>
          <w:sz w:val="18"/>
          <w:szCs w:val="18"/>
          <w:color w:val="auto"/>
        </w:rPr>
        <w:t>If we do not achieve one or more of these factors in a timely manner or at all, we could experience significant delays or an inability to successfully commercialize our product candidates, which would materially harm our business. If we do not receive regulatory approvals for our product candidates, we may not be able to continue our operations.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existing and any future indebtedness could adversely affect our ability to operate our business.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2024, we entered into a Loan and Security Agreement, or the Hercules Loan Agreement, with the lenders party thereto, or the Lenders, and Hercules Capital, Inc., as administrative agent and collateral agent, or the Agent. The Hercules Loan Agreement provides for up to $200.0 million of senior secured term loans, or the Term Loan, available to us in multiple tranches. The Term Loan will mature on December 1, 2029. Our obligations under the Hercules Loan Agreement are secured, subject to customary permitted liens and other agreed-upon exceptions, by a first-priority perfected security interest in all of our tangible and intangible assets, other than intellectual property.</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Hercules Loan Agreement contains customary affirmative and negative covenants that could prevent us from taking certain actions without the consent of the Lenders. These covenants may limit our flexibility in operating our business and our ability to take actions that might be advantageous to us and our stockholders. Affirmative covenants include, among others, a financial covenant requiring us to maintain a minimum amount of qualified cash. Negative covenants include, among others: restrictions on transferring any part of our business or intellectual property; incurring additional indebtedness; engaging in mergers or acquisitions; paying dividends or making other distributions; making investments; and creating other liens on our assets, in each case subject to customary exceptions.</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Hercules Loan Agreement also contains customary events of default, including the occurrence of a Material Adverse Effect (as defined in the Hercules Loan Agreement), and failure to make payments when due or comply with other covenants therein. We intend to satisfy our current and future debt service obligations with our then-existing cash and cash equivalents. However, we may not have sufficient funds, and may be unable to arrange for additional financing, to pay the amounts due under Hercules Loan Agreement or any other debt instruments. Upon the occurrence and continuance of an event of default, the Lenders may accelerate all of our repayment obligations and take control of our pledged assets, potentially requiring us to renegotiate our agreement on terms less favorable to us or to immediately cease operations. Any declaration by the Lenders of an event of default would therefore significantly harm our business and prospects and could cause the price of our common stock to decline.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we raise any additional debt financing, the terms of such additional debt could further restrict our operating and financial flexibility.</w:t>
      </w:r>
    </w:p>
    <w:p>
      <w:pPr>
        <w:spacing w:after="0" w:line="11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raise substantial additional funding. If we are unable to raise capital when needed or on terms acceptable to us, we may be forced to delay, reduce or eliminate some of our product development programs or commercialization efforts.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development of pharmaceutical products is capital-intensive. We are currently advancing our hematologic disease programs through preclinical and clinical development. We expect our expenses to significantly increase in connection with our ongoing activities, particularly as we continue the research and development of, initiate and complete clinical trials of, and seek regulatory approval for, our product candidates. In addition, depending on the status of regulatory approval or, if we obtain regulatory approval for any of our product candidates, we expect to incur significant commercialization expenses related to product sales, marketing, manufacturing and distribution. For example, on September 29, 2025 we submitted an NDA for accelerated approval of bitopertin in EPP and XLP in the United States, and in October 2025, we were awarded a Commissioner’s National Priority Voucher, or CNPV, from the FDA for this program, which is designed to reduce drug application review times to one to two months from NDA acceptance. As a result, we plan to accelerate activities to support a potential US approval and launch of bitopertin for EPP and XLP in late 2025 or early 2026 and expect to incur significant expenses to support such potential commercialization. We may also need to raise additional funds sooner if we choose to pursue additional indications and/or geographies for our current or future product candidates or otherwise expand more rapidly than presently anticipated. Furthermore, we expect to continue to incur costs associated with operating as a public company. Accordingly, we may need to obtain substantial additional funding in connection with our continuing operations. If we are unable to raise capital when needed or on attractive terms, we may be forced to delay, reduce or eliminate certain of our research and development programs or future commercialization efforts.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our cash, cash equivalents and marketable securities, including the net proceeds of our October 2025 underwritten public offering, will be sufficient to fund our current operating and capital expenditure plans and our debt service obligations into 2029, without taking into account any potential net cash inflows from bitopertin or any other marketed product, if approved during such period. However, we have based this estimate on assumptions that may prove to be wrong, and we could exhaust our available capital resources sooner than expected. Our future capital requirements will depend on and could increase significantly as a result of many factors, including:</w:t>
      </w:r>
    </w:p>
    <w:p>
      <w:pPr>
        <w:spacing w:after="0" w:line="75" w:lineRule="exact"/>
        <w:rPr>
          <w:sz w:val="20"/>
          <w:szCs w:val="20"/>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preclinical and clinical development activities;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preclinical and clinical programs we decide to pursue;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funds to the extent necessary to complete clinical development of and commercialize our product candidates;</w:t>
      </w:r>
    </w:p>
    <w:p>
      <w:pPr>
        <w:spacing w:after="0" w:line="27"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5" w:name="page36"/>
    <w:bookmarkEnd w:id="35"/>
    <w:p>
      <w:pPr>
        <w:ind w:left="760" w:hanging="378"/>
        <w:spacing w:after="0" w:line="282"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new and maintain existing licensing or collaboration arrangements and the progress of the development efforts of third parties with whom we may enter into such arrangements;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current research and development programs and to establish new programs;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initiation, enrollment and completion of clinical trials with safety, tolerability and efficacy profiles that are satisfactory to the FDA or any comparable foreign regulatory authority;</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and related terms of regulatory approvals from applicable regulatory authorities for any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raw materials for use in production of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agreements with third-party manufacturers for supply of product candidate components for our clinical trials;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patents, trade secret protection and regulatory exclusivity, both in the United States and internationally;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other rights in our intellectual property portfolio;</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commercializing product candidates, if and when approved, whether alone or in collaboration with others;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third-party insurance coverage and adequate reimbursement for any approved products; and</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additional expenses attributable to adjusting our development plans (including any supply related matters) to any public health crises.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development testing and clinical trials is a time-consuming, expensive and uncertain process that takes years to complete, and we may never generate the necessary data or results required to obtain regulatory approval and achieve product sales. In addition, our product candidates, if approved, may not achieve commercial success. Our commercial revenue, if any, will be derived from sales of products that may take longer than we anticipate to become commercially available, if they become commercially available at all. Accordingly, we may need to continue to rely on additional financing to achieve our business objectives.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additional fundraising efforts may divert our management from their day-to-day activities, which may adversely affect our ability to develop and commercialize our product candidates. Disruptions in the financial markets in general may make equity and debt financing more difficult to obtain and may have a material adverse effect on our ability to meet our fundraising needs. We cannot guarantee that future financing will be available in sufficient amounts or on terms acceptable to us, if at all.</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are unable to obtain funding on a timely basis or on acceptable terms, we may be required to significantly curtail, delay or discontinue one or more of our research or development programs or the commercialization of any product that has received regulatory approval or be unable to expand our operations or otherwise capitalize on our business opportunities as desired, which could materially affect our business, financial condition and results of operations.</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Until such time, if ever, we can generate substantial product revenue, we expect to finance our cash needs through a combination of private and public equity offerings, debt financings, collaborations, strategic alliances and licensing arrangements. Other than up to $80.0 million of additional advances that may be drawn at our option under the Hercules Loan Agreement, we do not have any committed external source of funds. The terms of any financing may adversely affect the holdings or the rights of our stockholders and the issuance of additional securities, whether equity or debt, by us, or the possibility of such issuance, may cause the market price of our shares to decline. To the extent that we raise additional capital through the sale of common stock or securities convertible or exchangeable into common stock, your ownership interest will be diluted, and the terms of those securities may include liquidation or other preferences that may materially adversely affect your rights as a common stockholder. Additional debt financing, if available, would increase our fixed payment obligations and may involve agreements that include covenants limiting or restricting our ability to take specific actions, such as incurring additional debt, acquiring, selling or licensing intellectual property rights, and making capital expenditures, declaring dividends or other operating restrictions that could adversely impact our ability to conduct our business. We could also be required to meet certain milestones in connection with debt financing and the failure to achieve such milestones by certain dates may force us to relinquish rights to some of our technologies or product candidates or otherwise agree to terms unfavorable to us which could have a material adverse effect on our business, operating results and prospects.</w:t>
      </w:r>
    </w:p>
    <w:p>
      <w:pPr>
        <w:spacing w:after="0" w:line="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also could be required to seek funds through arrangements with collaborators or otherwise at an earlier stage than otherwise would be desirable. If we raise funds through collaborations, strategic alliances or licensing arrangements with third parties, we may have to relinquish valuable rights to our intellectual property, future revenue streams, research programs or product candidates, grant licenses on terms that may not be favorable to us or grant rights to develop and market product candidates that we would otherwise prefer to develop and market ourself, any of which may have a material adverse effect on our business, operating results and prospects.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Risks Related to the Discovery and Development of Our Product Candidates</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not yet progressed any product candidates through a Phase 3 clinical trial and may be unable to successfully complete any additional clinical trials for any product candidates we develop. Certain of our programs are still in preclinical development and may never advance to clinical development.</w:t>
      </w:r>
    </w:p>
    <w:p>
      <w:pPr>
        <w:spacing w:after="0" w:line="6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currently have only three product candidates in clinical development, none of which has yet progressed through a completed Phase 3 clinical trial. As such, we have not yet demonstrated our ability to successfully complete large-scale, pivotal clinical trials, obtain regulatory approvals, manufacture a commercial scale product or arrange for a third party to do so on our behalf or conduct sales and marketing activities necessary for successful commercialization. The majority of our programs are still in preclinical and early to mid-stage clinical development. Our clinical programs may not advance to the next stage of clinical development, and our preclinical programs may never advance to clinical development or through clinical development, as applicable. We may not initiate any clinical trial of our product candidates until we have submitted an IND to the FDA or comparable submissions with equivalent regulatory authorities and received regulatory clearance. We may not be able to submit INDs or other regulatory filings for bitopertin or any of our other product candidates on the timelines we expect, if at all. For example, we may experience manufacturing delays or other delays with IND-enabling studies. Moreover, we cannot be sure that submission of regulatory filings with the FDA or other regulatory authorities will result in such regulatory authorities allowing clinical trials to begin on a timely basis or at all, or that, once begun, such trials will be completed on schedule, if at all, or that issues will not arise that require us to revise, postpone, suspend or terminate our clinical trials. For example, we filed an IND in April 2022 with the FDA to initiate the AURORA Phase 2 trial of bitopertin in EPP patients, but the FDA initially placed the initiation of this trial on clinical hold; we received clearance to initiate the study in July 2022 after the study design was finalized with the FDA, and we initiated the study in October 2022. Commencing any of our clinical trials is subject to finalizing the trial design based on discussions with the FDA and other regulatory authorities. Any guidance we receive from the FDA or other regulatory authorities is subject to change. These regulatory authorities could change their position, including on the acceptability of our trial designs or the clinical endpoints selected, which may require us to complete additional clinical trials or result in the composition of stricter approval conditions than currently expected. For a further example, we relied on the data package generated by F. Hoffmann-La Roche Ltd. and Hoffmann-La Roche Inc., or collectively, Roche, to support our IND submission for bitopertin to initiate our AURORA Phase 2 clinical trial in patients with EPP, as well as our submission of an application with the Australian Therapeutic Goods Administration, or TGA, for our BEACON Phase 2 clinical trial in patients with EPP or XLP, and it is possible that the FDA or TGA, as applicable, may require us to conduct additional preclinical studies to support a future marketing application of bitopertin. Successful completion of our clinical trials is a prerequisite to submitting an NDA or a BLA to the FDA, a Marketing Authorisation Application, or MAA, to the European Medicines Agency, or EMA, or other marketing applications to regulatory authorities in other jurisdictions, for each product candidate and, consequently, the regulatory approval of each product candidate.</w:t>
      </w:r>
    </w:p>
    <w:p>
      <w:pPr>
        <w:spacing w:after="0" w:line="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single well-controlled clinical trial may not be sufficient for approval. In general, the FDA requires two well-controlled clinical trials to support registration of a new drug or biologic. Exceptions may be made in cases of a severe disease with few treatment options, and in principle this exception may appear applicable to many of the diseases that we seek to treat, such as EPP, XLP, anemia of MF, DBA and others. Nonetheless, the FDA and other regulators may always require additional clinical trials to support regulatory approval.</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are required to conduct additional preclinical studies or clinical trials or other testing of our product candidates beyond those that are currently contemplated, if we are unable to successfully complete clinical trials of our product candidates or other testing, if the results of these trials or tests are not positive or are only modestly positive or if there are safety concerns, we may:</w:t>
      </w:r>
    </w:p>
    <w:p>
      <w:pPr>
        <w:spacing w:after="0" w:line="68" w:lineRule="exact"/>
        <w:rPr>
          <w:sz w:val="20"/>
          <w:szCs w:val="20"/>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regulatory approval for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obtain regulatory approval at all;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regulatory approval for indications or patient populations that are not as broad as intended or desired;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be subject to post-marketing testing requirements; or</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having the product removed from the market after obtaining regulatory approval.</w:t>
      </w:r>
    </w:p>
    <w:p>
      <w:pPr>
        <w:spacing w:after="0" w:line="11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programs are focused on the development of therapeutics for patients with hematologic diseases, which is a rapidly evolving area of science, and the approach we are taking to discover and develop product candidates is novel and may never lead to approved or marketable products.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discovery and development of therapeutics for patients with hematologic diseases is an emerging field, and the scientific discoveries that form the basis for our efforts to discover and develop product candidates are relatively new. The scientific evidence to support the feasibility of developing product candidates based on these discoveries is both preliminary and limited. Although we believe, based on our preclinical work and clinical results to date, that our programs have the potential to provide disease-modifying therapies, future clinical results may not confirm this hypothesis or may only confirm it for certain alterations or certain indications. The patient populations for our product candidates are limited to those with specific hematologic diseases. We cannot be certain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7" w:name="page38"/>
    <w:bookmarkEnd w:id="37"/>
    <w:p>
      <w:pPr>
        <w:jc w:val="both"/>
        <w:spacing w:after="0" w:line="282" w:lineRule="auto"/>
        <w:rPr>
          <w:sz w:val="20"/>
          <w:szCs w:val="20"/>
          <w:color w:val="auto"/>
        </w:rPr>
      </w:pPr>
      <w:r>
        <w:rPr>
          <w:rFonts w:ascii="Times New Roman" w:cs="Times New Roman" w:eastAsia="Times New Roman" w:hAnsi="Times New Roman"/>
          <w:sz w:val="18"/>
          <w:szCs w:val="18"/>
          <w:color w:val="auto"/>
        </w:rPr>
        <w:t>that the patient populations for each specific disease will be large enough to allow us to successfully obtain approval for and commercialize our product candidates and achieve profitability.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product development involves a lengthy and expensive process, with an uncertain outcome.</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preclinical studies and future and ongoing clinical trials may not be successful. Currently, the majority of our programs are in preclinical and early to mid-stage clinical development. It is impossible to know when or if any of our product candidates will prove effective and safe in humans or will receive regulatory approval. Before obtaining regulatory approval from regulatory authorities for the sale of any product candidate, we must complete preclinical studies and then conduct extensive clinical trials to demonstrate the safety and efficacy of our product candidates or the safety, purity and potency of our biological product candidates in humans. There is no guarantee that our product candidates will advance in accordance with the timelines we anticipate, if at all. Clinical testing is expensive, difficult to design and implement, can take many years to complete and outcomes are uncertain. A failure of one or more clinical trials can occur at any stage of testing. The outcome of preclinical development testing and early clinical trials may not be predictive of the success of later clinical trials, and interim, top-line, initial or preliminary results of a clinical trial do not necessarily predict final results. Moreover, preclinical and clinical data are often susceptible to varying interpretations and analyses, and many companies that have believed their product candidates performed satisfactorily in preclinical studies and clinical trials have nonetheless failed to obtain regulatory approval of their product candidates. Our preclinical studies and future and ongoing clinical trials may not be successful.</w:t>
      </w:r>
    </w:p>
    <w:p>
      <w:pPr>
        <w:spacing w:after="0" w:line="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Additionally, some of the clinical trials we conduct, such as our completed BEACON Phase 2 clinical trial of bitopertin, our ongoing RALLY-MF Phase 2 clinical trial of DISC-0974, and our ongoing clinical trials of DISC-3405, may be open-label in study design and may be conducted at a limited number of clinical sites on a limited number of patients.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clinical trial may not be predictive of future clinical trial results when studied in a controlled environment with a placebo or active control.</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May 2021, we entered into a license agreement with Roche, or the Roche Agreement, pursuant to which, among other things, Roche granted us an exclusive and sublicensable (subject to Roche’s consent, except with respect to affiliates) worldwide license under certain of Roche’s patent rights and know-how to develop and commercialize bitopertin. Although bitopertin was originally evaluated by Roche in over 4,000 individuals, Roche did not evaluate bitopertin in EPP or XLP, so the safety data generated from Roche’s clinical trials of bitopertin may not be predictive or indicative of the results of our clinical trials. We may face similar challenges with respect to our other product candidates, for which preclinical results may not be indicative or predictive of future clinical trial results.</w:t>
      </w:r>
    </w:p>
    <w:p>
      <w:pPr>
        <w:spacing w:after="0" w:line="7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we are developing some of our product candidates for the treatment of diseases in which there is little clinical experience and, in some cases, using new endpoints or methodologies, the FDA or other regulatory authorities may not consider the endpoints of our clinical trials to predict or provide clinically meaningful results.</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Many of our product candidates are designed to treat diseases for which there are few available therapeutic options. For example, in the United States there are currently no therapies approved to treat anemia of MF and there is only one approved therapy to treat EPP. As a result, the design and conduct of clinical trials of product candidates for the treatment of these diseases may take longer, be more costly or be less effective as part of the novelty of development in these diseases. In some cases, we may use new or novel endpoints or methodologies. The FDA or other regulatory authorities may not consider the endpoints of our clinical trials to be validated or clinically meaningful and we may need to conduct proof-of-concept studies or additional work to refine our endpoints and inform the design of future studies before initiating pivotal studies of our product candidates. Even if applicable regulatory authorities do not object to our proposed endpoints in an earlier stage clinical trial, such regulatory authorities may require evaluation of additional or different clinical endpoints in later-stage clinical trials.</w:t>
      </w:r>
    </w:p>
    <w:p>
      <w:pPr>
        <w:spacing w:after="0" w:line="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Even if the FDA does find our clinical trial success criteria to be sufficiently supported and clinically meaningful at the time, we may not achieve the pre-specified endpoint to a degree of statistical significance in any pivotal or other clinical trials we may conduct for our product candidates. Further, even if we do achieve the pre-specified criteria, our trials may produce results that are unpredictable or inconsistent with the results of the more traditional efficacy endpoints in the trial. The FDA also could change its view or give overriding weight to other efficacy endpoints over a primary endpoint, even if we achieve statistically significant results on that primary endpoint, if for example we do not do so on our secondary efficacy endpoints. The FDA also weighs the benefits of a product candidate against its risks and the FDA may view the efficacy results in the context of safety as not being supportive of approval. Other regulatory authorities in Europe and other countries may make similar findings with respect to these endpoints.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8" w:name="page39"/>
    <w:bookmarkEnd w:id="38"/>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initial and preliminary data from our clinical trials that we announce or publish from time to time may change as more patient data become available and are subject to confirmation, audit and verification procedures that could result in material changes in the final data.</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From time to time, we may publicly disclose interim, top-line, initial or preliminary data from our clinical trials, which is based on a preliminary analysis of then-available data, and the results and related findings and conclusions are subject to change following a more comprehensive review of the data. For example, we announced initial data from our Phase 1b/2 DISC-0974 trial in patients with anemia of MF in December 2023, June 2024, and December 2024, and from our Phase 1b DISC-0974 trial in patients with anemia and NDD-CKD in December 2023 and October 2024. We also announced initial data from the SAD portion of the Phase 1 clinical trial of DISC-3405 in healthy volunteers in June 2024. We also may make assumptions, estimations, calculations and conclusions as part of our analyses of data, and may not have received or had the opportunity to fully and carefully evaluate all data. As a result, the interim, top-line, initial or preliminary results that we report may differ from future results of the same trials, or different conclusions or considerations may qualify such results, once additional data have been received and fully evaluated. Interim, top-line, initial and preliminary data from clinical trials are subject to the risk that one or more of the clinical outcomes may materially change as patient enrollment continues and more patient data become available. Interim, top-line, initial and preliminary data also remain subject to audit and verification procedures that may result in the final data being materially different from the interim, top-line, initial or preliminary data we previously published. As a result, interim, top-line, initial and preliminary data should be viewed with caution until the final data are available. Adverse differences between interim, top-line, initial or preliminary data and final data could significantly harm our business prospects and may cause the price of our common stock to fluctuate or decline.</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 regulatory agencies and others, may not accept or agree with our assumptions, estimates, calculations, conclusions or analyses or may interpret or weigh the importance of data differently, which could adversely impact the potential of the particular program, the likelihood of obtaining regulatory approval of the particular product candidate, commercialization of any approved product and the business prospects of the company in general. In addition, the information we choose to publicly disclose regarding a particular study or clinical trial is derived from information that is typically extensive, and you or others may not agree with what we determine is material or otherwise appropriate information to include in our disclosure.</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interim, top-line, initial or preliminary data that we report differs from actual results, or if regulatory authorities or others, disagree with the conclusions reached, our ability to obtain approval for, and commercialize, our product candidates may be significantly impaired, which could materially harm our business, operating results, prospects or financial condition.</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additional costs or experience delays in initiating or completing, or ultimately be unable to complete, the development and commercialization of our product candidates.</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experience delays in initiating or completing our preclinical studies or clinical trials, including as a result of delays in obtaining, or failure to obtain, the FDA’s authorization to initiate clinical trials under future INDs. Additionally, we cannot be certain that preclinical studies or clinical trials for our product candidates will not require redesign, will enroll an adequate number of subjects on time, or will be completed on schedule, if at all. We may experience numerous unforeseen events during, or as a result of, preclinical studies and clinical trials that could delay or prevent our ability to receive regulatory authorizations, regulatory approval or commercialize our product candidates, including:</w:t>
      </w:r>
    </w:p>
    <w:p>
      <w:pPr>
        <w:spacing w:after="0" w:line="75" w:lineRule="exact"/>
        <w:rPr>
          <w:sz w:val="20"/>
          <w:szCs w:val="20"/>
          <w:color w:val="auto"/>
        </w:rPr>
      </w:pPr>
    </w:p>
    <w:p>
      <w:pPr>
        <w:ind w:left="760" w:hanging="378"/>
        <w:spacing w:after="0" w:line="282"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receive feedback from regulatory authorities that requires us to modify the design or implementation of our preclinical studies or clinical trials or to delay or terminate a clinical trial;</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or IRBs, or ethics committees may delay or may not authorize us or our investigators to commence a clinical trial or conduct a clinical trial at a prospective trial site;</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fail to reach, agreement on acceptable terms with prospective trial sites and prospective clinical research organizations, or CROs, the terms of which can be subject to extensive negotiation and may vary significantly among different CROs and trial sites;</w:t>
      </w:r>
    </w:p>
    <w:p>
      <w:pPr>
        <w:spacing w:after="0" w:line="6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studies or clinical trials of our product candidates may fail to show safety or efficacy or otherwise produce negative or inconclusive results, and we may decide, or regulators may require us, to conduct additional preclinical studies or clinical trials, or we may decide to abandon product research or development programs;</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studies or clinical trials of our product candidates may not produce differentiated or clinically significant results across indications;</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our product candidates may be larger than anticipated, enrollment in these clinical trials may be slower than anticipated or participants may drop out of these clinical trials or fail to return for post-treatment follow-up at a higher rate than anticipated;</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may fail to comply with regulatory requirements, fail to maintain adequate quality controls, be unable to provide us</w:t>
      </w:r>
    </w:p>
    <w:p>
      <w:pPr>
        <w:spacing w:after="0" w:line="27" w:lineRule="exact"/>
        <w:rPr>
          <w:sz w:val="20"/>
          <w:szCs w:val="20"/>
          <w:color w:val="auto"/>
        </w:rPr>
      </w:pPr>
    </w:p>
    <w:p>
      <w:pPr>
        <w:ind w:left="5540" w:right="3180" w:hanging="4777"/>
        <w:spacing w:after="0" w:line="260" w:lineRule="auto"/>
        <w:rPr>
          <w:sz w:val="20"/>
          <w:szCs w:val="20"/>
          <w:color w:val="auto"/>
        </w:rPr>
      </w:pPr>
      <w:r>
        <w:rPr>
          <w:rFonts w:ascii="Times New Roman" w:cs="Times New Roman" w:eastAsia="Times New Roman" w:hAnsi="Times New Roman"/>
          <w:sz w:val="18"/>
          <w:szCs w:val="18"/>
          <w:color w:val="auto"/>
        </w:rPr>
        <w:t>with sufficient product supply to conduct or complete preclinical studies or clinical trials, fail to meet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9" w:name="page40"/>
    <w:bookmarkEnd w:id="39"/>
    <w:p>
      <w:pPr>
        <w:ind w:left="760"/>
        <w:spacing w:after="0" w:line="282" w:lineRule="auto"/>
        <w:rPr>
          <w:sz w:val="20"/>
          <w:szCs w:val="20"/>
          <w:color w:val="auto"/>
        </w:rPr>
      </w:pPr>
      <w:r>
        <w:rPr>
          <w:rFonts w:ascii="Times New Roman" w:cs="Times New Roman" w:eastAsia="Times New Roman" w:hAnsi="Times New Roman"/>
          <w:sz w:val="18"/>
          <w:szCs w:val="18"/>
          <w:color w:val="auto"/>
        </w:rPr>
        <w:t>their contractual obligations to us in a timely manner, or at all, or may deviate from the clinical trial protocol or drop out of the trial, which may require that we add new clinical trial sites or investigators;</w:t>
      </w:r>
    </w:p>
    <w:p>
      <w:pPr>
        <w:spacing w:after="0" w:line="54" w:lineRule="exact"/>
        <w:rPr>
          <w:sz w:val="20"/>
          <w:szCs w:val="20"/>
          <w:color w:val="auto"/>
        </w:rPr>
      </w:pPr>
    </w:p>
    <w:p>
      <w:pPr>
        <w:jc w:val="both"/>
        <w:ind w:left="760" w:hanging="378"/>
        <w:spacing w:after="0" w:line="266"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elect to, or regulators or IRBs or ethics committees may require us or our investigators to, suspend or terminate clinical research for various reasons, including noncompliance with regulatory requirements or a finding that the participants in our clinical trials are being exposed to unacceptable health risks;</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may be greater than anticipated;</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of our product candidates may be insufficient or inadequate, and any transfer of manufacturing activities may require unforeseen manufacturing or formulation changes;</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have undesirable side effects or other unexpected characteristics, causing us, regulators or IRBs or ethics committees to suspend or terminate the trials, or reports may arise from preclinical or clinical testing of other hematologic disease therapies that raise safety or efficacy concerns about our product candidates;</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collaborators may conduct clinical trials in ways they view as advantageous to them but that are suboptimal for us;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revise the requirements for approving our product candidates, or such requirements may not be as anticipated.</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could encounter delays if a clinical trial is suspended or terminated by us, by the IRBs or ethics committees of the institutions at which such trials are being conducted or by the FDA or other regulatory authorities, or if the Data Safety Monitoring Board, or DSMB, for such trial recommends suspension or termination of the trial. Such authorities may impose or recommend such a suspension or termination or clinical hold due to a number of factors, including failure to conduct the clinical trial in accordance with regulatory requirements or our clinical protocols, adverse findings upon an inspection of the clinical trial operations or trial site by the FDA or other regulatory authorities, unforeseen safety issues or adverse side effects, failure to demonstrate a benefit from using a product, changes in governmental regulations or administrative actions or lack of adequate funding to continue the clinical trial. For example, we filed an IND in April 2022 with the FDA to initiate the AURORA Phase 2 trial of bitopertin in EPP patients, but the FDA initially placed the initiation of this trial on clinical hold; we received clearance to initiate the study in July 2022 after the study design was finalized with the FDA and initiated the study in October 2022. Many of the factors that cause, or lead to, a delay in the commencement or completion of clinical trials may also ultimately lead to the denial of regulatory approval of our product candidates. Further, the FDA may disagree with our clinical trial design or our interpretation of data from clinical trials or may change the requirements for approval even after it has reviewed and commented on the design for our clinical trials.</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Moreover, principal investigators for our current and future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the interpretation of the trial.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regulatory approval of one or more of our product candidates.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product development costs will also increase if we experience delays in testing or regulatory approvals. We do not know whether any of our future clinical trials will begin as planned, or whether any of our current or future clinical trials will need to be restructured or will be completed on schedule, if at all. Significant preclinical study or clinical trial delays also could shorten any periods during which we may have the exclusive right to commercialize our product candidates or allow our competitors to bring products to market before we do, which would impair our ability to successfully commercialize our product candidates and may significantly harm our business, operating results, financial condition and prospects.</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not be able to initiate or continue clinical trials for our product candidates if we are unable to locate and enroll a sufficient number of eligible patients to participate in these trials as required by the FDA or comparable foreign regulatory authorities, or as needed to provide appropriate statistical power for a given trial. In particular, because we are focused on patients with specific rare hematologic diseases for the development of our product candidates, our ability to enroll eligible patients may be limited or may result in slower enrollment than we anticipate.</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experience difficulties with identifying specific patient populations for any defined trial cohorts. The patient eligibility criteria defined in our trial protocols may limit the patient populations eligible for our clinical trials. We will also rely on the</w:t>
      </w: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0" w:name="page41"/>
    <w:bookmarkEnd w:id="40"/>
    <w:p>
      <w:pPr>
        <w:jc w:val="both"/>
        <w:spacing w:after="0" w:line="282" w:lineRule="auto"/>
        <w:rPr>
          <w:sz w:val="20"/>
          <w:szCs w:val="20"/>
          <w:color w:val="auto"/>
        </w:rPr>
      </w:pPr>
      <w:r>
        <w:rPr>
          <w:rFonts w:ascii="Times New Roman" w:cs="Times New Roman" w:eastAsia="Times New Roman" w:hAnsi="Times New Roman"/>
          <w:sz w:val="18"/>
          <w:szCs w:val="18"/>
          <w:color w:val="auto"/>
        </w:rPr>
        <w:t>willingness and ability of clinicians to screen their patients, such as for specific genetic hematologic conditions, to indicate which patients may be eligible for enrollment in our clinical trials.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some of our competitors have ongoing clinical trials for product candidates that are intended to treat the same indications as our product candidates, and patients who would otherwise be eligible for our clinical trials may choose instead to enroll in clinical trials of our competitors’ product candidates.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the process of finding patients may prove costly. We also may not be able to identify, recruit or enroll a sufficient number of patients to complete our clinical trials because of the small patient populations with rare hematologic diseases, the perceived risks and benefits of the product candidates under study, the availability and efficacy of competing therapies and clinical trials, the proximity and availability of clinical trial sites for prospective patients, and the patient referral practices of physicians. If patients are unwilling to participate in our studies for any reason, the timeline for recruiting patients, conducting studies and obtaining regulatory approval of potential products may be delayed.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Patient enrollment may be affected by other factors, including:</w:t>
      </w:r>
    </w:p>
    <w:p>
      <w:pPr>
        <w:spacing w:after="0" w:line="117" w:lineRule="exact"/>
        <w:rPr>
          <w:sz w:val="20"/>
          <w:szCs w:val="20"/>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under investigation;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to obtain and maintain patient consents and facilitate timely enrollment in clinical trials;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enrolled in clinical trials will drop out of the clinical trials before clinical trial completion;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recruit clinical trial investigators with the appropriate competencies and experience;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of the preliminary results of any of our clinical trials; and</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we may not be able to control, including the impacts of any public health crises, that may limit patients, principal investigators or staff or clinical site availability.</w:t>
      </w:r>
    </w:p>
    <w:p>
      <w:pPr>
        <w:spacing w:after="0" w:line="5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Results from early preclinical studies and clinical trials of our programs and product candidates are not necessarily predictive of the results of later preclinical studies and clinical trials of our programs and product candidates. If we cannot replicate the results from earlier preclinical studies and clinical trials of our programs and product candidates in our later preclinical studies and clinical trials, we may be unable to successfully develop, obtain regulatory approval for and commercialize our product candidates.</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Any results from early preclinical studies and clinical trials of bitopertin, DISC-0974, DISC-0998, DISC-3405 or our other product candidates or programs may not necessarily be predictive of the results from later preclinical studies and clinical trials. For example, we previously announced positive initial data from a Phase 1b/2 clinical trial of DISC-0974 in patients with non-dialysis dependent CKD and anemia. However, there can be no assurance that DISC-0974 will achieve the desired effects in this indication. Additionally, we announced positive results from a Phase 1 clinical trial of DISC-3405 in healthy adult volunteers in December 2024, which may not be indicative or predictive of future clinical trial results. Similarly, even if we are able to complete our planned preclinical studies and clinical trials of our product candidates according to our current development timeline, the results from such preclinical studies and clinical trials of our product candidates may not be replicated in subsequent preclinical studies or clinical trial results.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Many companies in the biopharmaceutical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findings made while clinical trials were underway, or safety or efficacy observations made in preclinical studies and clinical trials, including previously unreported adverse events. Moreover, preclinical and clinical data are often susceptible to varying interpretations and analyses and many companies that believed their product candidates performed satisfactorily in preclinical studies and clinical trials nonetheless failed to obtain regulatory approval.</w:t>
      </w:r>
    </w:p>
    <w:p>
      <w:pPr>
        <w:spacing w:after="0" w:line="7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clinical trials or those of our future collaborators may reveal significant adverse events not seen in prior preclinical studies or clinical trials and may result in a safety profile that could inhibit regulatory approval or market acceptance of any of our product candidates.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Before obtaining regulatory approvals for the commercial sale of any products, we must demonstrate through lengthy, complex and expensive preclinical studies and clinical trials that our product candidates regulated as drugs are safe and effective and our product candidates regulated as biologics are safe, pure and potent for use in each target indication. Clinical testing is expensive and can take many years to complete, and outcomes are inherently uncertain. Failure can occur at any time during the clinical trial process. Because the majority of our programs and product candidates are in an early stage of development, there is a high risk of failure, and we may never succeed in developing marketable products. There is typically an extremely high rate of attrition from the failure of product candidates proceeding through clinical trials. Product candidates in later stages of clinical trials also may fail to show the desired safety and efficacy profile despite having progressed through preclinical studies and initial clinical trials. For example, Roche had previously developed bitopertin as a potential therapy for certain symptoms of schizophrenia and obsessive-compulsive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1" w:name="page42"/>
    <w:bookmarkEnd w:id="41"/>
    <w:p>
      <w:pPr>
        <w:jc w:val="both"/>
        <w:spacing w:after="0" w:line="253" w:lineRule="auto"/>
        <w:rPr>
          <w:sz w:val="20"/>
          <w:szCs w:val="20"/>
          <w:color w:val="auto"/>
        </w:rPr>
      </w:pPr>
      <w:r>
        <w:rPr>
          <w:rFonts w:ascii="Times New Roman" w:cs="Times New Roman" w:eastAsia="Times New Roman" w:hAnsi="Times New Roman"/>
          <w:sz w:val="18"/>
          <w:szCs w:val="18"/>
          <w:color w:val="auto"/>
        </w:rPr>
        <w:t>disorder, but discontinued the program for lack of efficacy in those indications after completing over 30 clinical trials in over 4,000 individuals. If the results of our ongoing or future preclinical studies and clinical trials are inconclusive with respect to the safety and efficacy of our programs and product candidates, if we do not meet the clinical endpoints with statistical and clinically meaningful significance, or if there are safety concerns associated with our product candidates, we may be prevented from, or delayed in, obtaining regulatory approval for such product candidates. 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Results of our trials could reveal a high and unacceptable severity and prevalence of side effects. In such an event, our trials could be suspended or terminated, and the FDA or comparable foreign regulatory authorities could order us to cease further development of or deny approval of our product candidates for any or all targeted indications. Treatment-related side effects could also affect patient recruitment or the ability of enrolled patients to complete the trial or result in potential product liability claims.</w:t>
      </w:r>
    </w:p>
    <w:p>
      <w:pPr>
        <w:spacing w:after="0" w:line="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 our product candidates could cause undesirable side effects in clinical trials related to on-target toxicity. If on-target toxicity is observed, or if our product candidates have characteristics that are unexpected, we may need to abandon their development or limit development to more narrow uses or subpopulations in which the undesirable side effects or other characteristics are less prevalent, less severe or more acceptable from a risk-benefit perspective. In addition, our product candidates could cause undesirable side effects that have not yet been observed. For example, bitopertin may demonstrate toxicities in patients with hematologic diseases not previously observed by Roche when it was studied in different indications. Many compounds that initially showed promise in early-stage testing have later been found to cause side effects that prevented further development of the compound. Most product candidates that commence clinical trials are never approved as products, and there can be no assurance that any of our current or future clinical trials will ultimately be successful or support further clinical development or regulatory approval of any of our product candidates.</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is the case with many treatments for hematologic and rare diseases, it is likely that there may be side effects associated with the use of our product candidates. If significant adverse events or other side effects are observed in any of our current or future clinical trials, we may have difficulty recruiting patients to our clinical trials, patients may drop out of our trials, or we may be required to abandon the trials or development efforts of one or more product candidates altogether. We, the FDA or other applicable regulatory authorities, or an IRB may suspend or terminate clinical trials of a product candidate at any time for various reasons, including a belief that subjects in such trials are being exposed to unacceptable health risks or adverse side effects. Even if the side effects do not preclude the product from obtaining or maintaining regulatory approval, undesirable side effects may inhibit market acceptance of the approved product due to its tolerability versus other therapies. Any of these developments could materially harm our business, operating results, financial condition and prospects.</w:t>
      </w:r>
    </w:p>
    <w:p>
      <w:pPr>
        <w:spacing w:after="0" w:line="80"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Some of our product candidates modulate pathways for which there are currently no approved or effective therapies, which may result in greater research and development expenses, regulatory issues that could delay or prevent approval or discovery of unknown or unanticipated adverse effects on safety or efficacy.</w:t>
      </w:r>
    </w:p>
    <w:p>
      <w:pPr>
        <w:spacing w:after="0" w:line="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Some of our product candidates modulate pathways for which there are currently no approved or effective therapies, which may result in uncertainty. We select programs for targets based on compelling biological rationale, including evidence of expected biological effects in humans. We explore new programs based on extensive preclinical data analysis which sometimes cannot predict efficacy or safety in humans. Regulatory approval of novel product candidates such as ours can be more expensive, riskier and take longer than for other, more well-known or extensively studied pharmaceutical or biopharmaceutical product candidates due to our and regulatory agencies’ lack of experience with them. The novelty of the mechanism of action of any of our product candidates may lengthen the regulatory review process, require us to conduct additional studies or clinical trials, increase our development costs, lead to changes in regulatory positions and interpretations, delay or prevent approval and commercialization of our product candidates or lead to significant post-approval limitations or restrictions. The novel mechanism of action also means that fewer people are trained in or experienced with product candidates of this type, which may make it more difficult to find, hire and retain personnel for research, development and manufacturing positions. If our product candidates utilize a novel mechanism of action that has not been the subject of extensive study compared to more well-known product candidates, there is also an increased risk that we may discover previously unknown or unanticipated adverse effects during our preclinical studies and clinical trials. Our product candidates may achieve lower efficacy in patients than expected. Any such events could adversely impact our business prospects, operating results and financial condition.</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conducted and are currently conducting clinical trials for bitopertin in Australia and may in the future conduct additional clinical trials of our product candidates outside the United States, and the FDA and comparable foreign regulatory authorities may not accept data from such trials.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conducted BEACON, our Phase 2 open-label, parallel-dose clinical trial of bitopertin in EPP and XLP patients, at sites in Australia. All participants who complete BEACON are eligible to participate in HELIOS, an open-label, long-term extension study of bitopertin in EPP and XLP patients, that we are also conducting in Australia. We are also planning to conduct APOLLO, a randomized, double-blind, placebo-controlled clinical trial of bitopertin in EPP and XLP patients, in Canada, Europe and Australia, as well as the United States. We may in the future choose to conduct additional clinical trials of our product candidates outside the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2" w:name="page43"/>
    <w:bookmarkEnd w:id="42"/>
    <w:p>
      <w:pPr>
        <w:jc w:val="both"/>
        <w:spacing w:after="0" w:line="253" w:lineRule="auto"/>
        <w:rPr>
          <w:sz w:val="20"/>
          <w:szCs w:val="20"/>
          <w:color w:val="auto"/>
        </w:rPr>
      </w:pPr>
      <w:r>
        <w:rPr>
          <w:rFonts w:ascii="Times New Roman" w:cs="Times New Roman" w:eastAsia="Times New Roman" w:hAnsi="Times New Roman"/>
          <w:sz w:val="18"/>
          <w:szCs w:val="18"/>
          <w:color w:val="auto"/>
        </w:rPr>
        <w:t>United States, including in Europe, Australia, or other foreign jurisdictions. The acceptance of trial data from clinical trials conducted outside the United States by the FDA may be subject to certain conditions. In cases where data from clinical trials conducted outside the United States are intended to serve as the sole basis for regulatory approval in the United States, the FDA will generally not approve the application on the basis of foreign data alone unless (i) the data are applicable to the United States population and United States medical practices, (ii) the trials were performed by clinical investigators of recognized competence and (iii) the data may be considered valid without the need for an on-site inspection by the FDA or, if the FDA considers such an inspection to be necessary, the FDA is able to validate the data through an on-site inspection or other appropriate means. Additionally, the FDA’s clinical trial requirements, including sufficient size of patient populations and statistical powering, must be met. Many foreign regulatory bodies have similar approval requirements. In addition, such foreign trials will be subject to the applicable local laws of the foreign jurisdictions where the trials are conducted. There can be no assurance that the FDA or any comparable foreign regulatory authority, will accept data from trials conducted outside of the United States or the applicable jurisdiction. If the FDA or any comparable foreign regulatory authority does not accept such data, it would result in the need for additional trials, which would be costly and time-consuming and delay aspects of our business plan, and which may result in our product candidates not receiving regulatory approval or clearance for commercialization in the applicable jurisdiction.</w:t>
      </w:r>
    </w:p>
    <w:p>
      <w:pPr>
        <w:spacing w:after="0" w:line="7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Although we intend to explore other therapeutic opportunities in addition to the programs and product candidates that we are currently developing, we may fail to identify viable new product candidates for clinical development for a number of reasons. If we fail to identify additional product candidates, our business could be materially harmed.</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programs to pursue the development of our existing and planned product candidates for additional indications and to identify new product candidates and disease targets require substantial technical, financial and human resources whether or not they are ultimately successful. Our research programs may initially show promise in identifying potential indications and/or product candidates, yet fail to yield results for clinical development for a number of reasons, including:</w:t>
      </w:r>
    </w:p>
    <w:p>
      <w:pPr>
        <w:spacing w:after="0" w:line="72" w:lineRule="exact"/>
        <w:rPr>
          <w:sz w:val="20"/>
          <w:szCs w:val="20"/>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research methodology used may not be successful in identifying potential indications and/or product candidates;</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candidates may, after further study, be shown to have harmful adverse effects or other characteristics that indicate they are unlikely to be effective products; or</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take greater human and financial resources than we will possess to identify additional therapeutic opportunities for our product candidates or to develop suitable potential product candidates through internal research programs, thereby limiting our ability to develop, diversify and expand our product portfolio.</w:t>
      </w:r>
    </w:p>
    <w:p>
      <w:pPr>
        <w:spacing w:after="0" w:line="6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Because we have limited financial and human resources, we intend to initially focus on research programs and product candidates for a limited set of indications. As a result, we may forego or delay pursuit of opportunities with other product candidates or for other indications that later prove to have greater commercial potential or a greater likelihood of success. Our resource allocation decisions may cause us to fail to capitalize on viable commercial products or profitable market opportunities.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Accordingly, there can be no assurance that we will ever be able to identify additional therapeutic opportunities for our product candidates or to develop suitable product candidates through internal research programs, which could materially adversely affect our future growth and prospects. We may focus our efforts and resources on potential product candidates or other potential programs that ultimately prove to be unsuccessful.</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obtain, or if there are delays in obtaining, required regulatory approvals for any of our product candidates, we will not be able to commercialize, or will be delayed in commercializing, such product candidates, and our ability to generate revenue will be materially impaired.</w:t>
      </w:r>
    </w:p>
    <w:p>
      <w:pPr>
        <w:spacing w:after="0" w:line="5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foreign regulatory authorities. Before we can commercialize any of our product candidates, we must obtain regulatory approval. Currently, all of our product candidates are in discovery, preclinical or clinical development, and we have not received approval to market any of our product candidates from regulatory authorities in any jurisdiction. It is possible that our product candidates, including any product candidates we may seek to develop in the future, will never obtain regulatory approval. We have limited experience in filing and supporting the applications necessary to gain regulatory approvals and rely on third-party CROs and/or regulatory consultants to assist us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Our product candidates may not be effective, may be only moderately effective or may prove to have undesirable or unintended side effects, toxicities or other characteristics that may preclude us from obtaining regulatory approval or prevent or limit commercial use. In addition, regulatory authorities may find fault with our manufacturing process or facilities or that of third-party contract manufacturers. We may also face greater than expected difficulty in manufacturing our product candidates.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3" w:name="page44"/>
    <w:bookmarkEnd w:id="43"/>
    <w:p>
      <w:pPr>
        <w:jc w:val="both"/>
        <w:spacing w:after="0" w:line="254" w:lineRule="auto"/>
        <w:rPr>
          <w:sz w:val="20"/>
          <w:szCs w:val="20"/>
          <w:color w:val="auto"/>
        </w:rPr>
      </w:pPr>
      <w:r>
        <w:rPr>
          <w:rFonts w:ascii="Times New Roman" w:cs="Times New Roman" w:eastAsia="Times New Roman" w:hAnsi="Times New Roman"/>
          <w:sz w:val="18"/>
          <w:szCs w:val="18"/>
          <w:color w:val="auto"/>
        </w:rPr>
        <w:t>The process of obtaining regulatory approvals, both in the United States and abroad, is expensive and often takes many years. If the FDA or a comparable foreign regulatory authority requires that we perform additional preclinical studies or clinical trials, approval may be delayed, if obtained at all. The length of such a delay varies substantially based upon a variety of factors, including the type, complexity and novelty of the product candidate involved. Changes in regulatory approval policies during the development period, changes in or enactment of additional statutes or regulations, or changes in regulatory review policies for each submitted NDA, BLA, or equivalent application types, may cause delays in the approval or rejection of an application. The FDA and comparable foreign regulatory authorities have substantial discretion in the approval process and may refuse to accept any application or may decide that our data is insufficient for approval and require additional preclinical, clinical or other studies. Our product candidates could be delayed in receiving, or fail to receive, regulatory approval for many reasons, including the following:</w:t>
      </w:r>
    </w:p>
    <w:p>
      <w:pPr>
        <w:spacing w:after="0" w:line="84" w:lineRule="exact"/>
        <w:rPr>
          <w:sz w:val="20"/>
          <w:szCs w:val="20"/>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clinical trials;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enroll a sufficient number of patients in our clinical trials;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a product candidate is safe and effective for its proposed indication;</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comparable foreign regulatory authorities for approval;</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interpretation of data from preclinical studies or clinical trials;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support the submission of an NDA, BLA or other submission or to obtain regulatory approval in the United States or elsewhere;</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find deficiencies with or fail to approve the manufacturing processes or facilities of third-party manufacturers with which we contract for clinical and commercial supplies; and</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such that our clinical data are insufficient for approval.</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Even if we were to obtain regulatory approval, regulatory authorities may approve any of our product candidates for fewer or more limited indications than we request, thereby narrowing the commercial potential of the product candidate. In addition, regulatory authorities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experience delays in obtaining, or if we fail to obtain, approval of our product candidates, the commercial prospects for our product candidates may be harmed and our ability to generate revenue will be materially impaired.</w:t>
      </w:r>
    </w:p>
    <w:p>
      <w:pPr>
        <w:spacing w:after="0" w:line="5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public health crisis, pandemic, epidemic, or outbreak of an infectious or highly contagious disease, may materially and adversely affect our business and financial results and could cause a disruption to the development of our product candidates.</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Public health crises such as pandemics or similar outbreaks could adversely impact our business. The extent to which an outbreak of highly infectious or contagious diseases impacts our operations or those of our third-party partners, including our preclinical studies or clinical trial operations, will depend on future developments, which are highly uncertain and cannot be predicted with confidence, including the scope, severity and duration of the outbreak, actions taken to contain the outbreak or mitigate its impact, and the direct and indirect economic effects of the outbreak and containment measures, among others.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patient populations that our product candidates target may be particularly susceptible to highly infectious or contagious diseases, which may make it more difficult for us to identify patients able to enroll in our current and future clinical trials and may impact the ability of enrolled patients to complete any such trials.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products before or more successfully than we do.</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development and commercialization of new products in the biopharmaceutical and related industries is highly competitive. We compete in the segments of the pharmaceutical, biotechnology, and other related markets that develop therapies in the field of hematologic diseases. There are other companies focusing on developing therapies in the field of hematologic diseases. We also compete more broadly across the market for cost-effective and reimbursable treatments. Some of these competitive products and therapies are based on scientific approaches that are the same as or similar to our approach, and others are based on entirely different approaches. These companies include divisions of large pharmaceutical companies and biotechnology companies of various sizes.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4" w:name="page45"/>
    <w:bookmarkEnd w:id="44"/>
    <w:p>
      <w:pPr>
        <w:jc w:val="both"/>
        <w:spacing w:after="0" w:line="256" w:lineRule="auto"/>
        <w:rPr>
          <w:sz w:val="20"/>
          <w:szCs w:val="20"/>
          <w:color w:val="auto"/>
        </w:rPr>
      </w:pPr>
      <w:r>
        <w:rPr>
          <w:rFonts w:ascii="Times New Roman" w:cs="Times New Roman" w:eastAsia="Times New Roman" w:hAnsi="Times New Roman"/>
          <w:sz w:val="18"/>
          <w:szCs w:val="18"/>
          <w:color w:val="auto"/>
        </w:rPr>
        <w:t>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 See the “Business—Competition” section of our Annual Report on Form 10-K for the year ended December 31, 2024 for examples of the competition that our product candidates face.</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product candidates that we successfully develop and commercialize will compete with currently approved therapies and new therapies that may become available in the future from segments of the pharmaceutical, biotechnology and other related markets. Key product features that would affect our ability to effectively compete with other therapeutics include the efficacy, safety and convenience of our products. We believe principal competitive factors to our business include, among other things, our ability to successfully transition research programs into clinical development, ability to raise capital and the scalability of the platform, pipeline and business.</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Many of the companies that we compete against or which we may compete against in the future have significantly greater financial resources and expertise in research and development, manufacturing, preclinical and clinical testing, obtaining regulatory approvals and marketing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If these or other barriers to entry do not remain in place, other companies may be able to more directly or effectively compete with us.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safer, more effective, have fewer or less severe side effects, are more convenient or are less expensive than any products that we or our collaborators may develop. Our competitors also may obtain FDA or other regulatory approval for their products sooner than we may obtain approval for our product candidates, which could result in our competitors establishing a strong market position before we or our collaborators are able to enter the market. The key competitive factors affecting the success of all of our product candidates, if approved, are likely to be their efficacy, safety, convenience, price, level of generic competition and availability of reimbursement from government and other third-party payors.</w:t>
      </w:r>
    </w:p>
    <w:p>
      <w:pPr>
        <w:spacing w:after="0" w:line="7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our programs and product candidates are smaller than we estimate or if any regulatory approval that we obtain is based on a narrower definition of the patient population, our revenue and ability to achieve profitability could be materially adversely affected.</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incidence and prevalence for the target patient populations of our programs and product candidates have not been established with precision. Our lead heme biosynthesis modulation product candidate, bitopertin, is an oral, selective inhibitor of GlyT1. We are initially focused on developing bitopertin for the treatment of EPP and XLP, which are both diseases marked by severe photosensitivity and damage to the hepatobiliary system caused by the accumulation of PPIX. We are initially focused on developing DISC-0974 for anemia of MF, anemia of inflammatory bowel disease, or IBD, and anemia of non-dialysis dependent CKD. We are initially focused on developing DISC-3405 for the treatment of PV and sickle cell disease, or SCD. Our projections of both the number of people who have these diseases, as well as the subset of people with these diseases who have the potential to benefit from treatment with our programs and product candidates, are based on our estimates.</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total addressable market opportunity will ultimately depend upon, among other things, the diagnosis criteria included in the final label, the indications for which our product candidates are approved for sale, acceptance by the medical community and patient access, product pricing and reimbursement. The number of patients with EPP, XLP, anemias of MF, IBD or non-dialysis dependent CKD, PV, SCD, or other indications for which our product candidates may be approved as treatment may turn out to be lower than expected, patients may not be otherwise amenable to treatment with our products, or new patients may become increasingly difficult to identify or gain access to, all of which would adversely affect our results of operations and our business. We may not be successful in our efforts to identify additional product candidates. Due to our limited resources and access to capital, we must prioritize development of certain product candidates, which may prove to be the wrong choice and may adversely affect our business.</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current product candidates or any future product candidates do not achieve broad market acceptance, the revenue that we generate from our sales may be limited, and we may never become profitable.</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never commercialized a product candidate for any indication. Even if our current product candidates and any future product candidates are approved by the appropriate regulatory authorities for marketing and sale, they may not gain acceptance among physicians, patients, third-party payors, and others in the medical community. If any product candidates for which we may obtain regulatory approval do not gain an adequate level of market acceptance, we may not generate significant revenue and may not become profitable or may be significantly delayed in achieving profitability. Market acceptance of our current product candidates and any future product candidates by the medical community, patients and third-party payors will depend on a number of factors,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5" w:name="page46"/>
    <w:bookmarkEnd w:id="45"/>
    <w:p>
      <w:pPr>
        <w:jc w:val="both"/>
        <w:spacing w:after="0" w:line="256" w:lineRule="auto"/>
        <w:rPr>
          <w:sz w:val="20"/>
          <w:szCs w:val="20"/>
          <w:color w:val="auto"/>
        </w:rPr>
      </w:pPr>
      <w:r>
        <w:rPr>
          <w:rFonts w:ascii="Times New Roman" w:cs="Times New Roman" w:eastAsia="Times New Roman" w:hAnsi="Times New Roman"/>
          <w:sz w:val="18"/>
          <w:szCs w:val="18"/>
          <w:color w:val="auto"/>
        </w:rPr>
        <w:t>some of which are beyond our control. For example, physicians are often reluctant to switch their patients, and patients may be reluctant to switch, from existing therapies even when new and potentially more effective or safer treatments enter the market. If public perception is influenced by claims that the use of heme biosynthesis modulation therapies or hepcidin-targeted agents is unsafe, whether related to our or our competitors’ products, our products may not be accepted by the general public or the medical community. Future adverse events in the hematologic diseases or the biopharmaceutical industry could also result in greater governmental regulation, stricter labeling requirements and potential regulatory delays in the testing or approvals of our product candidates.</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our product candidates will depend in part on the extent to which coverage and adequate reimbursement for these products and related treatments will be available from government health administration authorities, private health insurers and other organizations. Even if coverage is provided, the approved reimbursement amount may not be high enough to allow us to establish or maintain pricing sufficient to realize a sufficient return on our investment. Government authorities and third-party payors, such as private health insurers and health maintenance organizations, decide which medications they will pay for and establish reimbursement levels.</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Efforts to educate the medical community and third-party payors on the benefits of our current product candidates and any future product candidates may require significant resources and may not be successful. If our current product candidates or any future product candidates are approved but do not achieve an adequate level of market acceptance, we could be prevented from or significantly delayed in achieving profitability. The degree of market acceptance of any of our current product candidates and any future product candidates will depend on a number of factors, including:</w:t>
      </w:r>
    </w:p>
    <w:p>
      <w:pPr>
        <w:spacing w:after="0" w:line="72" w:lineRule="exact"/>
        <w:rPr>
          <w:sz w:val="20"/>
          <w:szCs w:val="20"/>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of our current product candidates and any future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adverse events associated with our current product candidates and any future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our product candidates are approved and the approved claims that we may make for the products;</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product’s FDA-approved labeling or those of comparable foreign regulatory authorities, including potential limitations or warnings for our current product candidates and any future product candidates that may be more restrictive than other competitive products;</w:t>
      </w:r>
    </w:p>
    <w:p>
      <w:pPr>
        <w:spacing w:after="0" w:line="6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standard of care for the targeted indications for our current product candidates and any future product candidates, which could reduce the marketing impact of any claims that we could make following FDA approval or approval by comparable foreign regulatory authorities, if obtained;</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convenience and ease of administration of our current product candidates and any future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compared with the economic and clinical benefit of alternative treatments or therapies;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adequate coverage or reimbursement by third-party payors, including government healthcare programs such as Medicare and Medicaid and other healthcare payors;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concessions required by third-party payors to obtain coverage;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pay out-of-pocket in the absence of adequate coverage and reimbursement;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and strength of our marketing and distribution of our current product candidates and any future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efficacy, and other potential advantages over, and availability of, alternative treatments already used or that may later be approved;</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and use restrictions imposed by the FDA or comparable foreign regulatory authorities with respect to our current product candidates and any future product candidates or to which we agree as part of a Risk Evaluation and Mitigation Strategy, or REMS, or voluntary risk management plan;</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our current product candidates and any future product candidates, as well as competitive products;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our current product candidates and any future product candidates for sale at competitive prices;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and strength of our third-party manufacturer and supplier support;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6" w:name="page47"/>
    <w:bookmarkEnd w:id="46"/>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other new products;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about our current product candidates and any future product candidates or favorable publicity about competitive products;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claims.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is also significant uncertainty related to the insurance coverage and reimbursement of newly approved products and coverage may be more limited than the purposes for which the medicine is approved by the FDA or comparable foreign regulatory authorities. In the United States, the principal decisions about reimbursement for new medicines are typically made by the Centers for Medicare &amp; Medicaid Services, or CMS, an agency within the U.S. Department of Health and Human Services, or HHS. CMS decides whether and to what extent a new medicine will be covered and reimbursed under Medicare and private payors tend to follow CMS to a substantial degree.</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may not be successful in addressing these or other factors that might affect the market acceptance of our product candidates. Failure to achieve widespread market acceptance of our product candidates would materially harm our business, financial condition and results of operations.</w:t>
      </w:r>
    </w:p>
    <w:p>
      <w:pPr>
        <w:spacing w:after="0" w:line="5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post-market study requirements, marketing and labeling restrictions and even recall or market withdrawal if unanticipated safety issues are discovered following approval. In addition, we may be subject to penalties or other enforcement action if we fail to comply with regulatory requirements.</w:t>
      </w:r>
    </w:p>
    <w:p>
      <w:pPr>
        <w:spacing w:after="0" w:line="7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If the FDA or a comparable foreign regulatory authority approves any of our product candidates, the manufacturing processes, labeling, packaging, distribution, import, export, adverse event reporting, storage, advertising, promotion, monitoring and recordkeeping for the product will be subject to extensive and ongoing regulatory requirements. These requirements include submissions of safety and other post-marketing information and reports, establishment registration and listing, as well as continued compliance with cGMPs and GCPs for any clinical trials that we conduct post-approval. Any regulatory approvals that we receive for our product candidates may also be subject to limitations on the approved indicated uses for which the product may be marketed or to the conditions of approval, or contain requirements for potentially costly post-marketing studies, including Phase 4 clinical trials, and surveillance to monitor the safety and efficacy of the product. The FDA may also require a REMS in order to approve our product candidates, which could entail requirements for a medication guide, physician communication plans or additional elements to ensure safe use, such as restricted distribution methods, patient registries and other risk minimization tools. For certain commercial prescription drug and biological products, manufacturers and other parties involved in the supply chain must also meet chain of distribution requirements and build electronic, interoperable systems for product tracking and tracing and for notifying the FDA of counterfeit, diverted, stolen and intentionally adulterated products or other products that are otherwise unfit for distribution in the United States. Additionally, under the Food and Drug Omnibus Reform Act of 2022, or FDORA, sponsors of approved drugs and biologics must provide 6 months’ notice to the FDA of any changes in marketing status, such as the withdrawal of a drug, and failure to do so could result in the FDA placing the product on a list of discontinued products, which would revoke the product’s ability to be marketed.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87" w:lineRule="exact"/>
        <w:rPr>
          <w:sz w:val="20"/>
          <w:szCs w:val="20"/>
          <w:color w:val="auto"/>
        </w:rPr>
      </w:pPr>
    </w:p>
    <w:p>
      <w:pPr>
        <w:ind w:left="760" w:hanging="378"/>
        <w:spacing w:after="0" w:line="282"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withdrawal of the product from the market or voluntary or mandatory product recalls;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delays and supply disruptions where regulatory inspections identify observations of noncompliance requiring remediation;</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revisions to the labeling, including limitation on approved uses or the addition of additional warnings, contraindications or other safety information, including boxed warnings;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 REMS which may include distribution or use restrictions;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additional post-market clinical trials to assess the safety of the product;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holds;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other regulatory enforcement action;</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to approve pending applications or supplements to approved applications filed by us or suspension or revocation of approvals;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7" w:name="page48"/>
    <w:bookmarkEnd w:id="47"/>
    <w:p>
      <w:pPr>
        <w:jc w:val="both"/>
        <w:spacing w:after="0" w:line="256"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 regulations may be enacted that could prevent, limit or delay regulatory approval of our product candidates. In addition, the U.S. Supreme Court’s July 2024 decision to overturn established case law giving deference to regulatory agencies’ interpretations of ambiguous statutory language has introduced uncertainty regarding the extent to which the FDA’s regulations, policies and decisions may become subject to increasing legal challenges, delays, and/or changes. If we are slow or unable to adapt to changes in existing requirements or the adoption of new requirements or policies, or if we are not able to maintain regulatory compliance, we may lose any regulatory approval that we may have obtained, which would adversely affect our business, prospects and ability to achieve or sustain profitability.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11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clinical trials for our product candidates, as well as potential investigator-sponsored clinical trials of our product candidates. If these third parties do not successfully carry out their contractual duties, comply with regulatory requirements, or meet expected deadlines, we may not be able to obtain regulatory approval for or commercialize our product candidates and our business could be substantially harmed.</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do not have the ability to independently conduct clinical trials. We have relied on and expect to continue to rely on medical institutions, clinical investigators, contract laboratories and other third parties, such as CROs, to conduct or otherwise support our clinical trials for our product candidates, including our APOLLO clinical trial of bitopertin in EPP and XLP, as well as any other product candidates that we develop. We may also rely on academic and private non-academic institutions to conduct and sponsor clinical trials relating to our product candidates, such as the ongoing clinical trial of bitopertin in DBA, which is being conducted by NIH under a collaborative research and development agreement.</w:t>
      </w:r>
    </w:p>
    <w:p>
      <w:pPr>
        <w:spacing w:after="0" w:line="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will not control the design or conduct of any investigator-sponsored trials, and it is possible that the FDA or non-U.S. regulatory authorities will not view these investigator-sponsored trials as providing adequate support for future clinical trials, whether controlled by us or third parties, for any one or more reasons, including elements of the design or execution of the trials or safety concerns or other trial results. Such arrangements will likely provide us certain information rights with respect to the investigator-sponsored trials, including access to and the ability to use and reference the data, including for our own regulatory filings, resulting from the investigator-sponsored trials. However, we would not have control over the timing and reporting of the data from investigator-sponsored trials, nor would we own the data from the investigator-sponsored trials. If we are unable to confirm or replicate the results from the investigator-sponsored trials or if negative results are obtained, we would likely be further delayed or prevented from advancing further clinical development of our product candidates. Further, if investigators or institutions breach their obligations with respect to the clinical development of our product candidates, or if the data proves to be inadequate compared to the first-hand knowledge we might have gained had the investigator-sponsored trials been sponsored and conducted by us, then our ability to design and conduct any future clinical trials ourself may be adversely affected.</w:t>
      </w:r>
    </w:p>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rely and expect to continue to rely heavily on third parties for execution of clinical trials for our product candidates and control only certain aspects of our activities. Nevertheless, we are responsible for ensuring that each of our clinical trials is conducted in accordance with the applicable protocol, legal and regulatory requirements and scientific standards, and our reliance on CROs or other third parties will not relieve us of our regulatory responsibilities. For any violations of laws and regulations during the conduct of our clinical trials, we could be subject to warning letters or enforcement action that may include civil penalties up to and including criminal prosecution.</w:t>
      </w:r>
    </w:p>
    <w:p>
      <w:pPr>
        <w:spacing w:after="0" w:line="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our principal investigators and our CROs are required to comply with regulations, including GCPs,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or the EEA, and comparable foreign regulatory authorities for any products in clinical development. The FDA enforces GCP regulations through periodic inspections of clinical trial sponsors, principal investigators and trial sites. If we, our principal investigators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future clinical trials will comply with GCPs. In addition, our clinical trials must be conducted with product candidates produced under current Good Manufacturing Practice, or cGMP, regulations. Our failure or the failure of our principal investigators or CROs to comply with these regulations may require us to repeat clinical trials, which would delay the regulatory approval process, significantly increase our expenditures and could also subject us to enforcement action. We also are required to register ongoing clinical trials and post the results of completed clinical trials on a government-sponsored database, ClinicalTrials.gov, within certain timeframes. Failure to do so can result in fines, adverse publicity and civil and criminal sanctions.</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Although we designed our ongoing clinical trials of bitopertin, DISC-0974, and DISC-3405, and intend to design other future clinical trials for our product candidates, these trials are or will be conducted by CROs and we expect CROs will conduct all of our future clinical trials. As a result, many important aspects of our development programs, including their conduct and timing, are outside of our direct control. Our reliance on third parties to conduct future clinical trials also results in less direct control over the management of data developed through clinical trials than would be the case if we were relying entirely upon our own staff.</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8" w:name="page49"/>
    <w:bookmarkEnd w:id="48"/>
    <w:p>
      <w:pPr>
        <w:spacing w:after="0" w:line="282" w:lineRule="auto"/>
        <w:rPr>
          <w:sz w:val="20"/>
          <w:szCs w:val="20"/>
          <w:color w:val="auto"/>
        </w:rPr>
      </w:pPr>
      <w:r>
        <w:rPr>
          <w:rFonts w:ascii="Times New Roman" w:cs="Times New Roman" w:eastAsia="Times New Roman" w:hAnsi="Times New Roman"/>
          <w:sz w:val="18"/>
          <w:szCs w:val="18"/>
          <w:color w:val="auto"/>
        </w:rPr>
        <w:t>Communicating with outside parties can also be challenging, potentially leading to mistakes as well as difficulties in coordinating activities. Outside parties may:</w:t>
      </w:r>
    </w:p>
    <w:p>
      <w:pPr>
        <w:spacing w:after="0" w:line="54" w:lineRule="exact"/>
        <w:rPr>
          <w:sz w:val="20"/>
          <w:szCs w:val="20"/>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staffing difficulties;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comply with contractual obligations;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regulatory compliance issues;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undergo changes in priorities or become financially distressed; or</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relationships with other entities, some of which may be our competitors.</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These factors may materially adversely affect the willingness or ability of third parties to conduct our clinical trials and may subject us to unexpected cost increases that are beyond our control. If the principal investigators or CROs do not perform clinical trials in a satisfactory manner, breach their obligations to us or fail to comply with regulatory requirements, the development, regulatory approval and commercialization of our product candidates may be delayed, we may not be able to obtain regulatory approval and commercialize our product candidates or our development program may be materially and irreversibly harmed. If we are unable to rely on clinical data collected by our principal investigators or CROs, we could be required to repeat, extend the duration of, or increase the size of any clinical trials we conduct and this could significantly delay commercialization and require significantly greater expenditures.</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any of our relationships with these third-party principal investigators or CROs terminate, we may not be able to enter into arrangements with alternative CROs. If principal investigators or CROs do not successfully carry out their contractual obligations or meet expected deadlines, if they need to be replaced or if the quality or accuracy of the clinical data they obtain is compromised due to the failure to adhere to our clinical protocols, regulatory requirements or for other reasons, any clinical trials such principal investigators or CROs are associated with may be extended, delayed or terminated, and we may not be able to obtain regulatory approval for, or successfully commercialize, our product candidates. As a result, we believe that our financial results and the commercial prospects for our product candidates in the subject indication would be harmed, our costs could increase and our ability to generate revenue could be delayed.</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might not realize the anticipated benefits of our current collaborations with Mabwell or NIH, or any other collaborations we enter into in the future.</w:t>
      </w:r>
    </w:p>
    <w:p>
      <w:pPr>
        <w:spacing w:after="0" w:line="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Research, development, commercialization and/or strategic collaborations, including those that we have with Mabwell and NIH, are subject to numerous risks, which include the following:</w:t>
      </w:r>
    </w:p>
    <w:p>
      <w:pPr>
        <w:spacing w:after="0" w:line="54" w:lineRule="exact"/>
        <w:rPr>
          <w:sz w:val="20"/>
          <w:szCs w:val="20"/>
          <w:color w:val="auto"/>
        </w:rPr>
      </w:pPr>
    </w:p>
    <w:p>
      <w:pPr>
        <w:ind w:left="760" w:hanging="378"/>
        <w:spacing w:after="0" w:line="282"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have significant control or discretion in determining the efforts and resources that they will apply to a collaboration, and might not commit sufficient efforts and resources or might misapply those efforts and resources;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limited influence or control over the approaches to research, development and/or commercialization of product candidates in the territories in which our collaboration partners lead research, development and/or commercialization;</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might not pursue research, development and/or commercialization of collaboration product candidates or might elect not to continue or renew research, development and/or commercialization programs based on preclinical studies and/or clinical trial results, changes in their strategic focus, availability of funding or other factors, such as a business combination that diverts resources or creates competing priorities;</w:t>
      </w:r>
    </w:p>
    <w:p>
      <w:pPr>
        <w:spacing w:after="0" w:line="6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might delay, provide insufficient resources to, or modify or stop research or clinical development for collaboration product candidates or require a new formulation of a product candidate for clinical testing;</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with sales, marketing and distribution rights to one or more product candidates might not commit sufficient resources to sales, marketing and distribution or might otherwise fail to successfully commercialize those product candidates;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might not properly maintain or defend our intellectual property rights or might use our intellectual property improperly or in a way that jeopardizes our intellectual property or exposes us to potential liability;</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activities might result in the collaborator having intellectual property covering our activities or product candidates, which could limit our rights or ability to research, develop and/or commercialize our product candidates;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might not be in compliance with laws applicable to their activities under the collaboration, which could impact the collaboration and us;</w:t>
      </w:r>
    </w:p>
    <w:p>
      <w:pPr>
        <w:spacing w:after="0" w:line="53" w:lineRule="exact"/>
        <w:rPr>
          <w:rFonts w:ascii="Times New Roman" w:cs="Times New Roman" w:eastAsia="Times New Roman" w:hAnsi="Times New Roman"/>
          <w:sz w:val="18"/>
          <w:szCs w:val="18"/>
          <w:color w:val="auto"/>
        </w:rPr>
      </w:pPr>
    </w:p>
    <w:p>
      <w:pPr>
        <w:ind w:left="760" w:right="20" w:hanging="378"/>
        <w:spacing w:after="0" w:line="261"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might arise between a collaborator and us that could cause a delay or termination of the collaboration or result in costly litigation that diverts management attention and resources; and</w:t>
      </w: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9" w:name="page50"/>
    <w:bookmarkEnd w:id="49"/>
    <w:p>
      <w:pPr>
        <w:ind w:left="760" w:hanging="378"/>
        <w:spacing w:after="0" w:line="282"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might be terminated, which could result in a need for additional capital to pursue further research, development and/or commercialization of our product candidates.</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funding provided by a collaborator might not be sufficient to advance product candidates under the collaboration. If a collaborator terminates a collaboration or a program under a collaboration, including by failing to exercise a license or other option under the collaboration, whether because we fail to meet a milestone or otherwise, any potential revenue from the collaboration would be significantly reduced or eliminated. In addition, we will likely need to either secure other funding to advance research, development and/or commercialization of the relevant product candidate or abandon that program, the development of the relevant product candidate could be significantly delayed, and our cash expenditures could increase significantly if we are to continue research, development and/or commercialization of the relevant product candidates.</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one or more of these risks, if realized, could reduce or eliminate future revenue from product candidates under our collaborations, and could have a material adverse effect on our business, financial condition, results of operations and/or growth prospects.</w:t>
      </w:r>
    </w:p>
    <w:p>
      <w:pPr>
        <w:spacing w:after="0" w:line="5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established collaborations with Mabwell and NIH and may seek to establish additional collaborations, and, if we are not able to establish them on commercially reasonable terms, or at all, we may have to alter our development and commercialization plans.</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product development programs and the potential commercialization of our product candidates will require substantial additional cash to fund expenses. For some of our product candidates, we may decide to collaborate with pharmaceutical and biotechnology companies, such as our collaborations with Mabwell and NIH, for the development and potential commercialization of those product candidates.</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own evaluation of a potential collaboration. Such factors a potential collaborator will use to evaluate a collaboration may include the design or results of clinical trials, the likelihood of approval by the FDA or comparable foreign regulatory authorities,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The terms of any additional collaborations or other arrangements that we may establish may not be favorable to us.</w:t>
      </w:r>
    </w:p>
    <w:p>
      <w:pPr>
        <w:spacing w:after="0" w:line="8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are also restricted by Roche’s right of first negotiation under our current license agreement with them and may in the future be restricted under other license or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not be able to negotiate collaborations on a timely basis, on acceptable terms, or at all. If we are unable to do so, we may have to curtail the development of the product candidate for which we are seeking to collaborate, reduce or delay our development program or one or more of our other development programs, delay our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any future collaborations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0" w:name="page51"/>
    <w:bookmarkEnd w:id="50"/>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contract with third parties for the manufacture of our product candidates for preclinical development and clinical testing and expect to continue to do so for commercialization. This reliance on third parties increases the risk that we will not have sufficient quantities of our product candidates or products or such quantities at an acceptable cost, which could delay, prevent, or impair our development or commercialization efforts.</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do not currently own or operate, nor do we have any plans to establish in the future, any manufacturing facilities. Although we believe we have obtained sufficient material to produce bitopertin tablets to complete our ongoing HELIOS and APOLLO clinical trials, DISC-0974 vials to complete our ongoing Phase 1b/2 clinical trials, and DISC-3405 vials to complete our ongoing Phase 2 clinical trials, we cannot be sure we have correctly estimated our drug product and API requirements or that such drug product or API will not expire before we want to use it. We rely, and expect to continue to rely, on third parties such as contract development and manufacturing organizations, or CDMOs, for the manufacture of our product candidates for preclinical development and clinical testing. We also expect to rely on third parties for the commercial manufacture of our products if any of our product candidates receive regulatory approval. This reliance on third parties increases the risk that we will not have sufficient quantities of our product candidates or products or such quantities at an acceptable time, cost or quality, which could delay, prevent or impair our development or commercialization efforts.</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facilities used by our CDMOs to manufacture our product candidates must be inspected by the FDA pursuant to pre-approval inspections that will be conducted after we submit our marketing applications to the FDA. We do not control the manufacturing process of, and will be completely dependent on, our CDMOs for compliance with cGMPs in connection with the manufacture of our product candidates. If our CDMOs cannot successfully manufacture material that conforms to our specifications and the strict regulatory requirements of the FDA or others, they will not be able to pass regulatory inspections and/or maintain regulatory compliance. In addition, we have no control over the ability of our CDMOs to maintain adequate quality control, quality assurance and qualified personnel. If the FDA or a comparable foreign regulatory authority finds deficiencies with or does not approve these facilities for the manufacture of our product candidates or if it finds deficiencies or withdraws any such approval in the future, we may need to find alternative manufacturing facilities, which would significantly impact our ability to develop, obtain regulatory approval for or market our product candidates, if approved.</w:t>
      </w:r>
    </w:p>
    <w:p>
      <w:pPr>
        <w:spacing w:after="0" w:line="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any CDMO with whom we contract fails to perform its obligations, we may be forced to enter into an agreement with a different CDMO, which we may not be able to do on reasonable terms, if at all. In such a scenario, our clinical trials supply could be delayed significantly as we establish alternative supply sources. In some cases, the technical skills required to manufacture our product candidates may be unique or proprietary to the original CDMO and we may have difficulty, or there may be contractual restrictions prohibiting us from, transferring such skills to a back-up or alternate supplier, or we may be unable to transfer such skills at all. In addition, if we are required to change CDMOs for any reason, we will be required to verify that the new CDMO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another regulatory authority. The delays associated with the verification of a new CDMO could negatively affect our ability to develop product candidates or commercialize our products in a timely manner or within budget.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w:t>
      </w:r>
    </w:p>
    <w:p>
      <w:pPr>
        <w:spacing w:after="0" w:line="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our failure, or the failure of our CDMOs, to comply with applicable regulations could result in sanctions, including clinical holds, fines, injunctions, civil penalties, delays, suspension or withdrawal of approvals, license revocation, seizures or recalls of product candidates or products, if approved, operating restrictions and criminal prosecutions, any of which could significantly and adversely affect our business and supplies of our product candidates.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be unable to establish any additional agreements with CDMOs or do so on acceptable terms. Reliance on CDMOs entails additional risks, including:</w:t>
      </w:r>
    </w:p>
    <w:p>
      <w:pPr>
        <w:spacing w:after="0" w:line="54" w:lineRule="exact"/>
        <w:rPr>
          <w:sz w:val="20"/>
          <w:szCs w:val="20"/>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 party for regulatory compliance and quality assurance;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the manufacturing agreement by the third party;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agreement by the third party at a time that is costly or inconvenient for us.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product candidates and any products that we may develop may compete with other product candidates and approved products for access to manufacturing facilities. There are a limited number of CDMOs that operate under cGMP regulations and that might be capable of manufacturing for us.</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Any performance failure on the part of our existing or future manufacturers could delay clinical development or regulatory approval. If our current CDMOs cannot perform as agreed, we may be required to replace such CDMOs. In addition, there has been increased governmental focus in the U.S. on contracting with Chinese companies for the development or manufacturing of pharmaceutical products. For example, legislation pending in Congress would prohibit U.S. federal funding in connection with biotechnology equipment or services produced or provided by certain named Chinese “biotechnology companies of concern” and loans and grants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1" w:name="page52"/>
    <w:bookmarkEnd w:id="51"/>
    <w:p>
      <w:pPr>
        <w:jc w:val="both"/>
        <w:spacing w:after="0" w:line="253" w:lineRule="auto"/>
        <w:rPr>
          <w:sz w:val="20"/>
          <w:szCs w:val="20"/>
          <w:color w:val="auto"/>
        </w:rPr>
      </w:pPr>
      <w:r>
        <w:rPr>
          <w:rFonts w:ascii="Times New Roman" w:cs="Times New Roman" w:eastAsia="Times New Roman" w:hAnsi="Times New Roman"/>
          <w:sz w:val="18"/>
          <w:szCs w:val="18"/>
          <w:color w:val="auto"/>
        </w:rPr>
        <w:t>to, and federal contracts with any entity that uses biotechnology equipment or services from one of these entities. The legislation would also give the federal government the authority to name additional “biotechnology companies of concern” that are engaged in research activities with the Chinese government and that pose a risk of U.S. national security. In addition, in 2025, the United States imposed substantial tariffs on imports from China as well as on other trading partners, including Canada, Mexico, and the EU. We currently rely on certain foreign or foreign-owned third-party vendors to manufacture certain materials used in clinical trials of our product candidates or to provide services in connection with certain clinical trials or certain discovery activities. Our engagement with these foreign and foreign-owned vendors may be subject to additional U.S. legislation, investigations, sanctions, further escalation of tariffs, trade restrictions and other foreign regulatory requirements, which could cause us to need to identify alternate service providers, increase the cost or reduce the supply of materials available to us, delay the procurement or supply of these materials, delay or impact clinical trials, or have an adverse effect on our ability to secure significant commitments from governments to purchase our potential therapies, any of which could adversely affect our financial condition and business prospects. We continue to assess the legislation and the tariffs as they develop to determine the effect, if any, on our contractual relationships.</w:t>
      </w:r>
    </w:p>
    <w:p>
      <w:pPr>
        <w:spacing w:after="0" w:line="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our product candidates or products may adversely affect our future profit margins and our ability to commercialize any products that receive regulatory approval on a timely and competitive basis.</w:t>
      </w:r>
    </w:p>
    <w:p>
      <w:pPr>
        <w:spacing w:after="0" w:line="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third parties upon whom we rely for the supply of the active pharmaceutical ingredients used in our product candidates are our sole sources of supply, and the loss of any of these suppliers could significantly harm our business.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active pharmaceutical ingredients, or API, used in certain of our product candidates are supplied to us from single-source suppliers. Our ability to successfully develop our product candidates, and to ultimately supply our commercial products in quantities sufficient to meet the market demand, depends in part on our ability to obtain the API for these products in accordance with regulatory requirements and in sufficient quantities for clinical testing and commercialization. We do not currently have arrangements in place for a redundant or second-source supply of any such API in the event any of our current suppliers of such API cease their operations for any reason. We are also unable to predict how changing global economic conditions or potential global health concerns or crises will affect our third-party suppliers and manufacturers. Regional issues may in some cases accentuate these risks. For example, the pharmaceutical industry generally, and in some instances we or other third parties on which we rely, depend on China-based suppliers or service providers for certain raw materials, products and services, or other activities. Our ability or the ability of our collaborators or such other third parties to continue to engage these China-based suppliers or service providers for certain preclinical research programs and clinical development programs could be restricted due to geopolitical developments between the United States and China, including as a result of the further escalation of tariffs or other trade restrictions or if the proposed federal legislation that would prohibit U.S. federal funding in connection with biotechnology equipment or services produced or provided by certain named Chinese “biotechnology companies of concern” or a similar law were to be enacted. Any negative impact of such matters on our third-party suppliers and manufacturers may also have an adverse impact on our results of operations or financial condition.</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all of our product candidates, we intend to identify and qualify additional manufacturers to provide such API. We are not certain, however, that our single-source suppliers will be able to meet our demand for their products, either because of the nature of our agreements with those suppliers, our limited experience with those suppliers or our relative importance as a customer to those suppliers. It may be difficult for us to assess our ability to timely meet our demand in the future based on past performance. While our suppliers have generally met our demand for their products on a timely basis in the past, they may subordinate our needs in the future to their other customers.</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Establishing additional or replacement suppliers for the API used in our product candidates, if required, may not be accomplished quickly. If we are able to find a replacement supplier, such replacement supplier would need to be qualified and may require additional regulatory inspection or approval, which could result in further delay. While we seek to maintain adequate inventory of the API used in our product candidates, any interruption or delay in the supply of components or materials, or our inability to obtain such API from alternate sources at acceptable prices in a timely manner could impede, delay, limit or prevent our development efforts, which could harm our business, results of operations, financial condition and prospects.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2" w:name="page53"/>
    <w:bookmarkEnd w:id="52"/>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manufacture of biologics is complex and our third-party manufacturers may encounter difficulties in production. If any of our third-party manufacturers encounter such difficulties, our ability to provide supply of product candidates for clinical trials or products for patients, if approved, could be delayed or prevented.</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DISC-0974, DISC-0998, and DISC-3405 are monoclonal antibodies. Manufacturing biologics, like monoclonal antibodies, especially in large quantities, is often complex and may require the use of innovative technologies to handle living cells. Each lot of an approved biologic must undergo thorough testing for identity, strength, quality, purity and potency. Manufacturing biologics requires facilities specifically designed for and validated for this purpose, and sophisticated quality assurance and quality control procedures are necessary. Slight deviations anywhere in the manufacturing process, including filling, labeling, packaging, storage and shipping and quality control and testing, may result in lot failures, product recalls or spoilage. When changes are made to the manufacturing process, we may be required to provide preclinical and clinical data showing the comparable identity, strength, quality, purity or potency of the products before and after such changes. If microbial, viral or other contaminations are discovered at the facilities of our manufacturers, such facilities may need to be closed for an extended period of time to investigate and remedy the contamination, which could delay clinical trials and adversely harm our business.</w:t>
      </w:r>
    </w:p>
    <w:p>
      <w:pPr>
        <w:spacing w:after="0" w:line="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components and raw materials. Even if we obtain regulatory approval for any of our current product candidates or any future product candidates, there is no assurance that our manufacturers will be able to manufacture the approved product to specifications acceptable to the FDA or other comparable foreign regulatory authorities, to produce it in sufficient quantities to meet the requirements for the potential commercial launch of the product or to meet potential future demand. If our manufacturers are unable to produce sufficient quantities for clinical trials or for commercialization, our development and commercialization efforts would be impaired, which would have an adverse effect on our business, financial condition, results of operations and growth prospects.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and other intellectual property protection for our technology and product candidates, or if the scope of the intellectual property protection obtained is not sufficiently broad, our competitors could develop and commercialize technology and drugs similar or identical to ours, and our ability to successfully commercialize our technology and drugs may be impaired, and we may not be able to compete effectively in our market.</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commercial success depends in part on our ability to obtain and maintain proprietary or intellectual property protection in the U.S. and other countries for our current or future product candidates, including our current lead product candidates, bitopertin, DISC-0974 and DISC-3405, and our other current or future programs, including DISC-0998, as well as for their respective compositions, formulations, methods used to manufacture them and methods of treatment, in addition to successfully defending these patents against third-party challenges. We seek to protect our proprietary and intellectual property position by, among other methods, filing patent applications in the U.S. and abroad related to our proprietary technology, inventions, and improvements that are important to the development and implementation of our business. Our ability to stop unauthorized third parties from making, using, selling, offering to sell, or importing our product candidates is dependent upon the extent to which we have rights under valid and enforceable patents or trade secrets that cover these activities. We also rely on trade secrets, know-how and continuing technological innovation to develop and maintain our proprietary and intellectual property position.</w:t>
      </w:r>
    </w:p>
    <w:p>
      <w:pPr>
        <w:spacing w:after="0" w:line="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in-licensed, and may in the future in-license, a portion of our intellectual property, and, if we fail to comply with our obligations under these license arrangements, we could lose such intellectual property rights or owe damages to the licensor of such intellectual property. In particular, we have exclusively licensed intellectual property rights from Roche to develop and commercialize bitopertin, including certain back-up compounds and derivatives, for all prophylactic and therapeutic uses. The Roche license covers know-how, and certain specified Roche patent rights, including a composition of matter patent for bitopertin that expires in 2025. We also have exclusively licensed intellectual property rights from AbbVie Deutschland GmbH &amp; Co. KG, or AbbVie, to develop and commercialize DISC-0974 and DISC-0998. The AbbVie license covers know-how, and certain specified AbbVie patent rights, including composition of matter and methods of use patents and patent applications for DISC-0974 and DISC-0998. We also have exclusively licensed intellectual property rights from Mabwell to develop and commercialize antibody products containing Mabwell’s MWTX-001, MWTX-002, and MWTX-003 antibodies. The Mabwell license covers know-how and certain specified Mabwell patent rights, including composition of matter and methods of use patents and patent applications for MWTX-001, MWTX-002 and MWTX-003.</w:t>
      </w:r>
    </w:p>
    <w:p>
      <w:pPr>
        <w:spacing w:after="0" w:line="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 The degree of patent protection we require to successfully commercialize our current or future product candidates may be unavailable or severely limited in some cases and may not adequately protect our rights or permit us to gain or keep any competitive advantage. We cannot provide any assurances that any of our patents have, or that any of our pending patent applications that mature into issued patents will include, claims with a scope sufficient to protect bitopertin, DISC-0974, DISC-3405 or our other current or future product candidates. In addition, if the breadth or strength of protection provided by our patent applications or any patents we may own or in-license is threatened, we could dissuade companies from collaborating with us to license, develop or commercialize current or future product candidates.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3" w:name="page54"/>
    <w:bookmarkEnd w:id="53"/>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the laws of foreign countries may not protect our rights to the same extent as the laws of the U.S. For example, in jurisdictions outside the U.S., a license may not be enforceable unless all the owners of the intellectual property agree or consent to the license. Accordingly, any actual or purported co-owner of our patent rights could seek monetary or equitable relief requiring us to pay it compensation for, or refrain from, exploiting these patents due to such co-ownership. Furthermore, patents have a limited lifespan. In the U.S., and most other jurisdictions in which we have undertaken patent filings, the natural expiration of a patent is generally twenty years after it is filed, assuming all maintenance fees are paid. Various extensions may be available, on a jurisdiction-by-jurisdiction basis; however, the life of a patent, and thus the protection it affords, is limited. Additionally, our product candidates may or may not be eligible for such extensions or we may not be able to obtain such protections due to procedural or other reasons. Given the amount of time required for the development, testing and regulatory review of new product candidates, patents protecting such candidates might expire before or shortly after such candidates are commercialized. As a result, patents we may own or in-license may not provide us with adequate and continuing patent protection sufficient to exclude others from commercializing drugs similar or identical to our current or future product candidates, including generic versions of such drugs.</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with respect to either the same compounds, methods, formulations or other subject matter, in either case that we may rely upon to dominate our patent position in the market. Publications of discoveries in the scientific literature often lag behind the actual discoveries, and patent applications in the U.S. and other jurisdictions are typically not published until at least 18 months after the earliest priority date of the patent filing, or, in some cases, not at all. Therefore, we cannot know with certainty whether we were the first to make the inventions claimed in patents we may own or in-license patents or pending patent applications, or that we were the first to file for patent protection of such inventions. As a result, the issuance, scope, validity, enforceability and commercial value of our patent rights cannot be predicted with any certainty.</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the patent prosecution process is expensive and time-consuming, and we may not be able to file and prosecute all necessary or desirable patent applications at a reasonable cost or in a timely manner. Further, with respect to certain pending patent applications covering our current or future product candidates, prosecution has yet to commence. Patent prosecution is a lengthy process, during which the scope of the claims initially submitted for examination by the relevant patent office(s) may be significantly narrowed by the time they issue, if they ever do. It is also possible that we will fail to identify patentable aspects of our research and development output before it is too late to obtain patent protection. Prosecution could require that claim scope narrow such that a clinical or product candidate or program is not adequately protected by the patent. Moreover, in some circumstances, we may not have the right to control the preparation, filing and prosecution of patent applications, or to maintain the patents, covering technology that we license from or to third parties. Therefore, these patents and applications may not be prosecuted and enforced in a manner consistent with the best interests of our business.</w:t>
      </w:r>
    </w:p>
    <w:p>
      <w:pPr>
        <w:spacing w:after="0" w:line="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Even if we acquire patent protection that we expect should enable us to establish and/or maintain a competitive advantage, third parties may challenge the validity, enforceability or scope thereof, which may result in such patents being narrowed, invalidated or held unenforceable. The issuance of a patent is not conclusive as to its inventorship, scope, validity or enforceability, and our patents may be challenged in the courts or patent offices in the U.S. and abroad. We may become involved in post-grant proceedings such as opposition, derivation,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invalidation, or interference proceedings challenging our patent rights or the patent rights of others from whom we may in the future obtain licenses to such rights, in the U.S. Patent and Trademark Office, or USPTO, the European Patent Office, or EPO, or in other countries. In addition, we may be subject to a third-party submission to the USPTO, the EPO, or elsewhere, that may reduce the scope or preclude the granting of claims from our pending patent applications. Competitors may allege that they invented the inventions claimed in our issued patents or patent applications prior to us, or may file patent applications before we do. Competitors may also claim that we are infringing their patents and that we therefore cannot practice our technology as claimed under our patents or patent applications. Competitors may also contest our patents by claiming to an administrative patent authority or judge that the invention was not patent-eligible, was not original, was not novel, was obvious, and/or lacked inventive step, and/or that the patent application filing failed to meet relevant requirements relating to description, basis, enablement, clarity, and/or support; in litigation, a competitor could claim that our patents, if issued, are not valid or are unenforceable for a number of reasons. If a court or administrative patent authority agrees, we would lose our protection of those challenged patents.</w:t>
      </w:r>
    </w:p>
    <w:p>
      <w:pPr>
        <w:spacing w:after="0" w:line="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we may in the future be subject to claims by our former employees or consultants asserting an ownership right in our patents or patent applications, as a result of the work they performed on our behalf. Although we generally require all of our employees, consultants and advisors and any other third parties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it, or could limit the duration of the patent protection covering our technology and current or future product candidates. Such challenges may also result in our inability to manufacture or commercialize our current or future product candidates without infringing third-party patent rights. In addition, if</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4" w:name="page55"/>
    <w:bookmarkEnd w:id="54"/>
    <w:p>
      <w:pPr>
        <w:jc w:val="both"/>
        <w:spacing w:after="0" w:line="282" w:lineRule="auto"/>
        <w:rPr>
          <w:sz w:val="20"/>
          <w:szCs w:val="20"/>
          <w:color w:val="auto"/>
        </w:rPr>
      </w:pPr>
      <w:r>
        <w:rPr>
          <w:rFonts w:ascii="Times New Roman" w:cs="Times New Roman" w:eastAsia="Times New Roman" w:hAnsi="Times New Roman"/>
          <w:sz w:val="18"/>
          <w:szCs w:val="18"/>
          <w:color w:val="auto"/>
        </w:rPr>
        <w:t>the breadth or strength of protection provided by our patents and patent applications is threatened, it could dissuade companies from collaborating with us to license, develop or commercialize current or future product candidates.</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Even if they are unchallenged, our issued patents and our pending patent applications, if issued, may not provide us with any meaningful protection or prevent competitors from designing around our patent claims to circumvent patents we may own or in-license by developing similar or alternative technologies or products in a non-infringing manner. For example, a third-party may develop a competitive product that provides benefits similar to one or more of our current or future product candidates but that has a different composition that falls outside the scope of our patent protection. If the patent protection provided by the patents and patent applications we hold or pursue with respect to our current or future product candidates is not sufficiently broad to impede such competition, our ability to successfully commercialize our current or future product candidates could be negatively affected, which would harm our business.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Furthermore, even if we are able to issue patents with claims of valuable scope in one or more jurisdictions, we may not be able to secure such claims in all relevant jurisdictions, or in a sufficient number to meaningfully reduce competition. Our competitors may be able to develop and commercialize their products, including products identical to ours, in any jurisdiction in which we are unable to obtain, maintain or enforce such patent claims. Furthermore, generic manufacturers may develop, seek approval for and launch generic versions of our products, and may challenge the scope, validity or enforceability of our patents, requiring us to engage in complex, lengthy and costly litigation or other proceedings.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intend to rely on regulatory exclusivity for protection of our product candidates, if approved for commercial sale. Implementation and enforcement of regulatory exclusivity, which may consist of regulatory data protection and market protection, varies widely from country to country. Failure to qualify for regulatory exclusivity or failure to obtain or to maintain the extent or duration of such protections that we expect for our product candidates, if approved, could affect our decision on whether to market the products in a particular country or countries or could otherwise have an adverse impact on our revenue or results of operations.</w:t>
      </w:r>
    </w:p>
    <w:p>
      <w:pPr>
        <w:spacing w:after="0" w:line="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deadlines, fee payment and other requirements imposed by governmental patent agencies, and our patent protection could be reduced or eliminated if we fail to comply with these requirements. We may miss a filing deadline for patent protection on these inventions.</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USPTO and foreign governmental patent agencies require compliance with a number of procedural, documentary, fee payment and other similar provisions during the patent application process and after issuance of any patent. In addition, periodic maintenance fees, renewal fees, annuity fees and/or various other government fees are required to be paid periodically. While an inadvertent lapse can, in some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include, but are not limited to, failure to respond to official actions within prescribed time limits, non-payment of fees and failure to properly legalize and submit formal documents. In such an event, our competitors might be able to enter the market with similar or identical products or platforms, which could have a material adverse effect on our business prospects and financial condition.</w:t>
      </w:r>
    </w:p>
    <w:p>
      <w:pPr>
        <w:spacing w:after="0" w:line="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for our products or company name are not adequately protected in one or more countries where we intend to market our products, we may delay the launch of product brand names, use different trademarks or tradenames in different countries, or face other potentially adverse consequences to building our product brand recognition.</w:t>
      </w:r>
    </w:p>
    <w:p>
      <w:pPr>
        <w:spacing w:after="0" w:line="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trademarks or trade names may be challenged, infringed, diluted, circumvented or declared generic or determined to be infringing on other marks. We intend to rely on both registration and common law protection for our trademarks. We may not be able to protect our rights to these trademarks and trade names or may be forced to stop using these names, which we need for name recognition by potential partners or customers in our markets of interest. During the trademark registration process, we may receive Office Actions from the USPTO or from comparable agencies in foreign jurisdictions objecting to the registration of our trademark. Although we would be given an opportunity to respond to those objections, we may be unable to overcome such rejections. In addition, in the USPTO and in comparable agencies in many foreign jurisdictions, third parties are given an opportunity to oppose pending trademark applications and/or to seek the cancellation of registered trademarks. Opposition or cancellation proceedings may be filed against our trademark applications or registrations, and our trademark applications or registrations may not survive such proceedings. If we are unable to obtain a registered trademark or establish name recognition based on our trademarks and trade names, we may not be able to compete effectively and our business may be adversely affected.</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adequately protect and enforce our trade secrets, our business and competitive position would be harmed.</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the protection afforded by patents we may own or in-license, we seek to rely on trade secret protection, confidentiality agreements, and license agreements to protect proprietary know-how that may not be patentable, processes for which patents are difficult to enforce and any other elements of our product discovery and development processes that involve proprietary know-how, information or technology that may not be covered by patents. Although we require all of our employees, consultants, advisors and any third parties who have access to our proprietary know-how, information, or technology to enter into confidentiality agreements, trade secrets can be difficult to protect and we have limited control over the protection of trade secrets used by our collaborators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5" w:name="page56"/>
    <w:bookmarkEnd w:id="55"/>
    <w:p>
      <w:pPr>
        <w:jc w:val="both"/>
        <w:spacing w:after="0" w:line="282" w:lineRule="auto"/>
        <w:rPr>
          <w:sz w:val="20"/>
          <w:szCs w:val="20"/>
          <w:color w:val="auto"/>
        </w:rPr>
      </w:pPr>
      <w:r>
        <w:rPr>
          <w:rFonts w:ascii="Times New Roman" w:cs="Times New Roman" w:eastAsia="Times New Roman" w:hAnsi="Times New Roman"/>
          <w:sz w:val="18"/>
          <w:szCs w:val="18"/>
          <w:color w:val="auto"/>
        </w:rPr>
        <w:t>and suppliers. We cannot be certain that we have or will obtain these agreements in all circumstances and we cannot guarantee that we have entered into such agreements with each party that may have or have had access to our trade secrets or proprietary information.</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Moreover, any of these parties might breach the agreements and intentionally or inadvertently disclose our trade secret information and we may not be able to obtain adequate remedies for such breaches. In addition, competitors may otherwise gain access to our trade secrets or independently develop substantially equivalent information and techniques. Furthermore, the laws of some foreign countries do not protect proprietary rights and trade secrets to the same extent or in the same manner as the laws of the U.S. As a result, we may encounter significant problems in protecting and defending our intellectual property both in the U.S. and abroad. If we are unable to prevent unauthorized material disclosure of our intellectual property to third parties, we will not be able to establish or maintain a competitive advantage in our market, which could materially adversely affect our business, financial condition, results of operations and future prospects.</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Enforcing a claim that a party illegally disclosed or misappropriated a trade secret is difficult, expensive and time-consuming, and the outcome is unpredictable. If we choose to go to court to stop a third party from using any of our trade secrets, we may incur substantial costs. These lawsuits may consume our time and other resources even if we are successful.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If any of our trade secrets were to be lawfully obtained or independently developed by a competitor or other third party, we would have no right to prevent them from using that technology or information to compete with us.</w:t>
      </w:r>
    </w:p>
    <w:p>
      <w:pPr>
        <w:spacing w:after="0" w:line="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is to be kept confidential and not disclosed to third parties except in specific circumstances. In addition, we take other appropriate precautions, such as physical and technological security measures, to guard against misappropriation of our proprietary technology by third parties.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Although we require all of our employees to assign their inventions to us, we may be unsuccessful in executing such an agreement with each party who, in fact, conceives or develops intellectual property that we regard as our own. The assignment of intellectual property rights may not be self-executing, or the assignment agreements may be ineffective or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7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initiate, become a defendant in or otherwise become party to lawsuits to protect or enforce our intellectual property rights, which could be expensive, time-consuming, and unsuccessful.</w:t>
      </w:r>
    </w:p>
    <w:p>
      <w:pPr>
        <w:spacing w:after="0" w:line="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Competitors may infringe any patents we may own or in-license. In addition, any patents we may own or in-license also may become involved in inventorship, priority, validity or unenforceability disputes. To counter infringement or unauthorized use, we may be required to file infringement claims, which can be expensive and time-consuming. We may not prevail in any lawsuits that we initiate, and the damages or other remedies awarded, if any, may not be commercially meaningful. In addition, in an infringement proceeding, a court may decide that one or more of any patents we may own or in-license is not valid or is unenforceable or that the other party’s use of our technology that may be patented falls under the safe harbor to patent infringement under 35 U.S.C. § 271(e)(1). There is also the risk that, even if the validity of these patents is upheld, the court may refuse to stop the other party from using the technology at issue on the grounds that any patents we may own or in-license do not cover the technology in question or that such third-party’s activities do not infringe our patent applications or any patents we may own or in-license. An adverse result in any litigation or defense proceedings could put one or more of any patents we may own or in-license at risk of being invalidated, held unenforceable, or interpreted narrowly and could put our patent applications at risk of not issuing. Such litigation or proceedings could substantially increase our operating losses and reduce the resources available for development activities or any future sales, marketing, patient support or distribution activities. We may not have sufficient financial or other resources to conduct such litigation or proceedings adequately. Some of our competitors may be able to sustain the costs of such litigation or proceedings more effectively than we can because of its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Post-grant proceedings provoked by third parties or brought by or before the USPTO or other patent granting authority may be necessary to determine the validity or priority of inventions with respect to our patent applications or any patents we may own or in-license. These proceedings are expensive and an unfavorable outcome could result in a loss of our current patent rights and could require us to cease using the related technology or to attempt to license rights to us from the prevailing party. Our business could be harmed if the prevailing party does not offer us a license on commercially reasonable terms. In addition to potential USPTO</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6" w:name="page57"/>
    <w:bookmarkEnd w:id="56"/>
    <w:p>
      <w:pPr>
        <w:jc w:val="both"/>
        <w:spacing w:after="0" w:line="255" w:lineRule="auto"/>
        <w:rPr>
          <w:sz w:val="20"/>
          <w:szCs w:val="20"/>
          <w:color w:val="auto"/>
        </w:rPr>
      </w:pPr>
      <w:r>
        <w:rPr>
          <w:rFonts w:ascii="Times New Roman" w:cs="Times New Roman" w:eastAsia="Times New Roman" w:hAnsi="Times New Roman"/>
          <w:sz w:val="18"/>
          <w:szCs w:val="18"/>
          <w:color w:val="auto"/>
        </w:rPr>
        <w:t>post-grant proceedings, we may become a party to patent opposition proceedings in the EPO, or similar proceedings in other foreign patent offices or courts where our patents may be challenged. The costs of these proceedings could be substantial, and may result in a loss of scope of some claims or a loss of the entire patent. An unfavorable result in a post-grant challenge proceeding may result in the loss of our right to exclude others from practicing one or more of our inventions in the relevant country or jurisdiction, which could have a material adverse effect on our business. Litigation or post-grant proceedings within patent offices may result in a decision adverse to our interests and, even if we are successful, may result in substantial costs and distract our management and other employees. We may not be able to prevent, misappropriation of our trade secrets or confidential information, particularly in countries where the laws may not protect those rights as fully as in the U.S.</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not be able to detect infringement against any patents we may own or in-license. Even if we detect infringement by a third party of any patents we may own or in-license, we may choose not to pursue litigation against or settlement with the third party. If we later sue such third-party for patent infringement, the third-party may have certain legal defenses available to it, which otherwise would not be available except for the delay between when the infringement was first detected and when the suit was brought. Such legal defenses may make it impossible for us to enforce any patents we may own or in-license against such third party.</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and administrative patent office patent validity challenges in one or more countries could cause us to spend substantial resources and distract our personnel from their normal responsibilities.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patient support or distribution activities. We may not have sufficient financial or other resources to conduct such litigation or proceedings adequately. As noted above,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including compromising our ability to raise the funds necessary to continue our clinical trials, continue our research programs, license necessary technology from third parties, or enter into development collaborations that would help us commercialize our current or future product candidates, if approved. Any of the foregoing events would harm our business, financial condition, results of operations and prospects.</w:t>
      </w:r>
    </w:p>
    <w:p>
      <w:pPr>
        <w:spacing w:after="0" w:line="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damages or settlement costs resulting from claims that we or our employees have violated the intellectual property rights of third parties, or are in breach of our agreements. We may be accused of, allege or otherwise become party to lawsuits or disputes alleging wrongful disclosure of third-party confidential information by us or by another party, including current or former employees, contractors or consultants. In addition to diverting attention and resources to such disputes, such disputes could adversely impact our business reputation and/or protection of our proprietary technology.</w:t>
      </w:r>
    </w:p>
    <w:p>
      <w:pPr>
        <w:spacing w:after="0" w:line="7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The intellectual property landscape relevant to our product candidates and programs is crowded, and third parties may initiate legal proceedings alleging that we are infringing, misappropriating or otherwise violating their intellectual property rights, the outcome of which would be uncertain and could have a material adverse effect on the success of our business. Our commercial success depends upon our ability to develop, manufacture, market and sell our current and future product candidates and use our proprietary technologies without infringing, misappropriating or otherwise violating the intellectual property rights of third parties. There is a substantial amount of litigation involving patents and other intellectual property rights in the biotechnology and pharmaceutical industries, as well as administrative proceedings for challenging patents, including derivation, interference,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post grant review proceedings before the USPTO or oppositions and other comparable proceedings in foreign jurisdictions. We or any of our current or future licensors or strategic partners may be party to, exposed to, or threatened with, future adversarial proceedings or litigation by third parties having patent or other intellectual property rights alleging that our current or future product candidates and/or proprietary technologies infringe, misappropriate or otherwise violate their intellectual property rights. We cannot assure you that our current or future product candidates and other technologies that we have developed, are developing or may develop in the future do not or will not infringe, misappropriate or otherwise violate existing or future patents or other valid intellectual property rights owned by third parties. For example, many of our employees were previously employed at other biotechnology or pharmaceutical companies.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former employer. We may also be subject to claims that patents and applications we have filed to protect inventions of</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7" w:name="page58"/>
    <w:bookmarkEnd w:id="57"/>
    <w:p>
      <w:pPr>
        <w:jc w:val="both"/>
        <w:spacing w:after="0" w:line="282" w:lineRule="auto"/>
        <w:rPr>
          <w:sz w:val="20"/>
          <w:szCs w:val="20"/>
          <w:color w:val="auto"/>
        </w:rPr>
      </w:pPr>
      <w:r>
        <w:rPr>
          <w:rFonts w:ascii="Times New Roman" w:cs="Times New Roman" w:eastAsia="Times New Roman" w:hAnsi="Times New Roman"/>
          <w:sz w:val="18"/>
          <w:szCs w:val="18"/>
          <w:color w:val="auto"/>
        </w:rPr>
        <w:t>our employees, consultants and advisors, even those related to one or more of our current or future product candidates, are rightfully owned by their former or concurrent employer. Litigation may be necessary to defend against these claims.</w:t>
      </w:r>
    </w:p>
    <w:p>
      <w:pPr>
        <w:spacing w:after="0" w:line="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While certain activities related to development and clinical testing of our current or future product candidates may be subject to safe harbor of patent infringement, such as under 35 U.S.C. §271(e)(1), upon receiving regulatory approval for such candidates we or any of our current or future licensors or strategic partners may immediately become party to, exposed to or threatened with, future adversarial proceedings or litigation by third parties having patent or other intellectual property rights alleging that such product candidates infringe, misappropriate or otherwise violate their intellectual property rights. Numerous U.S. and foreign issued patents and pending patent applications, which are owned by third parties, exist in the fields in which we are developing our current or future product candidates. As the biotechnology and pharmaceutical industries expand and more patents are issued, the risk increases that our current or future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current or future product candidates, technologies or methods.</w:t>
      </w:r>
    </w:p>
    <w:p>
      <w:pPr>
        <w:spacing w:after="0" w:line="8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a third party claims that we infringe, misappropriate or otherwise violate its intellectual property rights, we may face a number of issues, including, but not limited to:</w:t>
      </w:r>
    </w:p>
    <w:p>
      <w:pPr>
        <w:spacing w:after="0" w:line="54" w:lineRule="exact"/>
        <w:rPr>
          <w:sz w:val="20"/>
          <w:szCs w:val="20"/>
          <w:color w:val="auto"/>
        </w:rPr>
      </w:pPr>
    </w:p>
    <w:p>
      <w:pPr>
        <w:ind w:left="760" w:hanging="378"/>
        <w:spacing w:after="0" w:line="282"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misappropriation and other intellectual property claims which, regardless of merit, may be expensive and time-consuming to litigate and may divert our management’s attention from our core business and may impact our reputation;</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damages for infringement, misappropriation or other violations, which we may have to pay if a court decides that the product candidate or technology at issue infringes, misappropriates or violates the third party’s rights, and, if the court finds that the infringement was willful, we could be ordered to pay treble damages and the patent owner’s attorneys’ fees;</w:t>
      </w:r>
    </w:p>
    <w:p>
      <w:pPr>
        <w:spacing w:after="0" w:line="6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prohibiting us from developing, manufacturing, marketing or selling our current product candidates, including bitopertin, DISC-0974 and DISC-3405, or future product candidates, or from using our proprietary technologies, unless the third-party licenses its product rights to us, which we are not required to do, on commercially reasonable terms or at all;</w:t>
      </w:r>
    </w:p>
    <w:p>
      <w:pPr>
        <w:spacing w:after="0" w:line="6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license is available from a third party, we may have to pay substantial royalties, upfront fees and other amounts, and/or grant cross-licenses to intellectual property rights for our products, or the license to us may be non-exclusive, which would permit third parties to use the same intellectual property to compete with us;</w:t>
      </w:r>
    </w:p>
    <w:p>
      <w:pPr>
        <w:spacing w:after="0" w:line="6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redesigning our current or future product candidates or processes so they do not infringe, misappropriate or violate third-party intellectual property rights, which may not be possible or may require substantial monetary expenditures and time; and</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The occurrence of any of the foregoing could have a material adverse effect on our business, financial condition, results of operations or prospects.</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may choose to challenge the patentability of claims in a third party’s U.S. patent by requesting that the USPTO review the patent claims in an ex-parte re-exam,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or post-grant review proceedings. These proceedings are expensive and may consume our time or other resources. We may choose to challenge a third party’s patent in patent opposition proceedings in the EPO, or other foreign patent office. 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current or future product candidates or proprietary technologies.</w:t>
      </w:r>
    </w:p>
    <w:p>
      <w:pPr>
        <w:spacing w:after="0" w:line="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Third parties may assert that we are employing their proprietary technology without authorization. Patents issued in the U.S. by law enjoy a presumption of validity that can be rebutted in U.S. courts only with evidence that is “clear and convincing,” a heightened standard of proof. There may be issued third-party patents of which we are currently unaware with claims to compositions, formulations, methods of manufacture or methods for treatment related to the use or manufacture of our current or future product candidates. Patent applications can take many years to issue. In addition, because some patent applications in the U.S. may be maintained in secrecy until the patents are issued, patent applications in the U.S. and many foreign jurisdictions are typically not published until 18 months after their earliest priority filing date, and publications in the scientific literature often lag behind actual</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8" w:name="page59"/>
    <w:bookmarkEnd w:id="58"/>
    <w:p>
      <w:pPr>
        <w:jc w:val="both"/>
        <w:spacing w:after="0" w:line="252" w:lineRule="auto"/>
        <w:rPr>
          <w:sz w:val="20"/>
          <w:szCs w:val="20"/>
          <w:color w:val="auto"/>
        </w:rPr>
      </w:pPr>
      <w:r>
        <w:rPr>
          <w:rFonts w:ascii="Times New Roman" w:cs="Times New Roman" w:eastAsia="Times New Roman" w:hAnsi="Times New Roman"/>
          <w:sz w:val="18"/>
          <w:szCs w:val="18"/>
          <w:color w:val="auto"/>
        </w:rPr>
        <w:t>discoveries, we cannot be certain that others have not filed patent applications covering our current or future product candidates or technology. If any such patent applications issue as patents, and if such patents have priority over our patent applications or patents we may own or in-license, we may be required to obtain rights to such patents owned by third parties which may not be available on commercially reasonable terms or at all, or may only be available on a non-exclusive basis. There may be currently pending third-party patent applications which may later result in issued patents that our current or future product candidates may infringe. It is also possible that patents owned by third parties of which we are aware, but which we do not believe are relevant to our current or future product candidates or other technologies, could be found to be infringed by our current or future product candidates or other technologies. In addition, third parties may obtain patents in the future and claim that use of our technologies infringes upon these patents. Moreover, we may fail to identify relevant patents or incorrectly conclude that a patent is invalid, not enforceable, exhausted or not infringed by our activities. If any third-party patents were held by a court of competent jurisdiction to cover the manufacturing process of our current or future product candidates, molecules used in or formed during the manufacturing process, or any final product itself, the holders of any such patents may be able to block our ability to commercialize the product candidate unless we obtained a license under the applicable patents, or until such patents expire or they are finally determined to be held invalid or unenforceable. Similarly, if any third-party patent were held by a court of competent jurisdiction to cover aspects of our formulations, processes for manufacture or methods of use, including patient selection methods,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current or future product candidates may be impaired or delayed, which could in turn significantly harm our business. Even if we obtain a license, it may be nonexclusive, thereby giving our competitors access to the same technologies licensed to us.</w:t>
      </w:r>
    </w:p>
    <w:p>
      <w:pPr>
        <w:spacing w:after="0" w:line="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Parties making claims against us may seek and obtain injunctive or other equitable relief, which could effectively block our ability to further develop and commercialize our current or future product candidates. Defense of these claims, regardless of their merit, could involve substantial litigation expense and would be a substantial diversion of employee resources from our business. In the event of a successful claim of infringement, misappropriation or other violation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or may choose to obtain licenses from third parties to advance our research or allow commercialization of our current or future product candidates. We may fail to obtain any of these licenses at a reasonable cost or on reasonable terms, if at all. In that event, we would be unable to further develop and commercialize our current or future product candidates, which could harm our business significantly.</w:t>
      </w:r>
    </w:p>
    <w:p>
      <w:pPr>
        <w:spacing w:after="0" w:line="8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obtain patent or other intellectual property protection for our current or future product candidates or our future products, if any, in all jurisdictions throughout the world, and we may not be able to adequately enforce our intellectual property rights even in the jurisdictions where we seek protection.</w:t>
      </w:r>
    </w:p>
    <w:p>
      <w:pPr>
        <w:spacing w:after="0" w:line="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not be able to pursue patent coverage of our current or future product candidates in all countries. Filing, prosecuting and defending patents on current or future product candidates in all countries throughout the world would be prohibitively expensive, and intellectual property rights in some countries outside the U.S. can be less extensive than those in the U.S. In addition, the laws of some foreign countries do not protect intellectual property rights to the same extent as federal and state laws in the U.S. Consequently, we may not be able to prevent third parties from practicing our inventions in all countries outside the U.S., or from selling or importing products made using our inventions in and into the U.S.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U.S. These products may compete with our current or future product candidates and in jurisdictions where we do not have any issued patents, our patent applications or other intellectual property rights may not be effective or sufficient to prevent them from competing. Much of our patent portfolio is at the very early stage. We will need to decide whether and in which jurisdictions to pursue protection for the various inventions in our portfolio prior to applicable deadlines.</w:t>
      </w:r>
    </w:p>
    <w:p>
      <w:pPr>
        <w:spacing w:after="0" w:line="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and/or methods of using biopharmaceutical products, which could make it difficult for us to stop the infringement of any patents we may own or in-license or marketing of competing products in violation of our proprietary rights generally. Proceedings to enforce any rights we may have in our patent applications or any patents we may own or in-license in foreign jurisdictions could result in substantial costs and divert our efforts and attention from other aspects of our business, could put any patents we may own or in-license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9" w:name="page60"/>
    <w:bookmarkEnd w:id="59"/>
    <w:p>
      <w:pPr>
        <w:jc w:val="both"/>
        <w:spacing w:after="0" w:line="258"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we may own or license that are relevant to our business, our competitive position may be impaired, and our business, financial condition, results of operations, and prospects may be adversely affected.</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obtain or grant licenses or sublicenses to intellectual property rights in all markets on equally or sufficiently favorable terms with third parties.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It may be necessary for us to use the patented or proprietary technology of third parties to commercialize our products, in which case we would be required to obtain a license from these third parties. The licensing of third-party intellectual property rights is a competitive area, and more established companies may pursue strategies to license or acquire third-party intellectual property rights that we may consider attractive or necessary. More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license such technology, or if we are forced to license such technology on unfavorable terms, our business could be materially harmed. If we are unable to obtain a necessary license, we may be unable to develop or commercialize the affected current or future product candidates, which could materially harm our business, and the third parties owning such intellectual property rights could seek either an injunction prohibiting our sales, or, with respect to our sales, an obligation on our part to pay royalties or other forms of compensation. Even if we are able to obtain a license, it may be non-exclusive, thereby giving our competitors access to the same technologies licensed to us. Any of the foregoing could harm our competitive position, business, financial condition, results of operations and prospects.</w:t>
      </w:r>
    </w:p>
    <w:p>
      <w:pPr>
        <w:spacing w:after="0" w:line="7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in any agreements under which we may license intellectual property rights from third parties or otherwise experience disruptions to our business relationships with our licensors, we could lose license rights that are important to our business.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party to license agreements with Roche, AbbVie and Mabwell and we may from time to time in the future be party to other license and collaboration agreements with third parties to advance our research or allow commercialization of current or future product candidates. Such agreements may impose numerous obligations, such as development, diligence, payment, commercialization, funding, milestone, royalty, sublicensing, insurance, patent prosecution, enforcement and other obligations on us and may require us to meet development timelines, or to exercise commercially reasonable efforts to develop and commercialize licensed products, in order to maintain the licenses. See “Business-Collaborations and License Agreement” of our Annual Report on Form 10-K for the year ended December 31, 2024 for more information regarding our license agreements with Roche, AbbVie and Mabwell. In spite of our best efforts, our licensors might conclude that we have materially breached our license agreements and might therefore terminate the license agreements, thereby removing or limiting our ability to develop and commercialize products and technologies covered by these license agreements.</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termination of these licenses, or if the underlying patents fail to provide the intended exclusivity, could result in the loss of significant rights and could harm our ability to commercialize our current or future product candidates, and competitors or other third parties would have the freedom to seek regulatory approval of, and to market, products identical to ours and we may be required to cease our development and commercialization of certain of our current or future product candidates. Any of the foregoing could have a material adverse effect on our competitive position, business, financial conditions, results of operations, and prospects.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Disputes may also arise between us and our licensors regarding intellectual property subject to a license agreement, including:</w:t>
      </w:r>
    </w:p>
    <w:p>
      <w:pPr>
        <w:spacing w:after="0" w:line="117" w:lineRule="exact"/>
        <w:rPr>
          <w:sz w:val="20"/>
          <w:szCs w:val="20"/>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technology and processes infringe, misappropriate or otherwise violate intellectual property rights of the licensor that is not subject to the licensing agreement;</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patent and other rights to third parties under collaborative development relationships;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with respect to the use of the licensed technology in relation to our development and commercialization of our current or future product candidates, and what activities satisfy those diligence obligations;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any patented technology; and</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our current or future licensors and us and our partners.</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the agreements under which we may license intellectual property or technology from third parties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0" w:name="page61"/>
    <w:bookmarkEnd w:id="60"/>
    <w:p>
      <w:pPr>
        <w:jc w:val="both"/>
        <w:spacing w:after="0" w:line="261" w:lineRule="auto"/>
        <w:rPr>
          <w:sz w:val="20"/>
          <w:szCs w:val="20"/>
          <w:color w:val="auto"/>
        </w:rPr>
      </w:pPr>
      <w:r>
        <w:rPr>
          <w:rFonts w:ascii="Times New Roman" w:cs="Times New Roman" w:eastAsia="Times New Roman" w:hAnsi="Times New Roman"/>
          <w:sz w:val="18"/>
          <w:szCs w:val="18"/>
          <w:color w:val="auto"/>
        </w:rPr>
        <w:t>which could have a material adverse effect on our business, financial condition, results of operations and prospects. Moreover, if disputes over intellectual property that we may license prevent or impair our ability to maintain future licensing arrangements on acceptable terms, we may be unable to successfully develop and commercialize the affected current or future product candidates, which could have a material adverse effect on our business, financial conditions, results of operations and prospects.</w:t>
      </w:r>
    </w:p>
    <w:p>
      <w:pPr>
        <w:spacing w:after="0" w:line="6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Any granted patents we may own or in-license covering our current or future product candidates or other valuable technology could be narrowed or found invalid or unenforceable if challenged in court or before administrative bodies in the U.S. or abroad, including the USPTO and the EPO. A patent asserted in a judicial court could be found invalid or unenforceable during the enforcement proceeding. Administrative or judicial proceedings challenging the validity of our patents or individual patent claims could take months or years to resolve.</w:t>
      </w:r>
    </w:p>
    <w:p>
      <w:pPr>
        <w:spacing w:after="0" w:line="7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If we or our licensors or strategic partners initiate legal proceedings against a third party to enforce a patent covering one of our current or future product candidates, the defendant could counterclaim that the patent covering our product candidate, as applicable, is invalid and/or unenforceable. In patent litigation in the U.S., defendant counterclaims alleging invalidity and/or unenforceability are commonplace, and there are numerous grounds upon which a third party can assert invalidity or unenforceability of a patent. Grounds for a validity challenge could be an alleged failure to meet any of several statutory requirements, including lack of patentable subject matter, lack of written description, lack of novelty, obviousness, or non-enablement. Grounds for an unenforceability assertion could be an allegation that someone connected with prosecution of the patent withheld relevant information from the USPTO that was material to patentability, or made a misleading statement, in the process of obtaining the patent during patent prosecution. Third parties may also raise similar claims before administrative bodies in the U.S. or abroad, even outside the context of litigation. Such mechanisms include re-examination, </w:t>
      </w:r>
      <w:r>
        <w:rPr>
          <w:rFonts w:ascii="Times New Roman" w:cs="Times New Roman" w:eastAsia="Times New Roman" w:hAnsi="Times New Roman"/>
          <w:sz w:val="18"/>
          <w:szCs w:val="18"/>
          <w:i w:val="1"/>
          <w:iCs w:val="1"/>
          <w:color w:val="auto"/>
        </w:rPr>
        <w:t xml:space="preserve">inter partes </w:t>
      </w:r>
      <w:r>
        <w:rPr>
          <w:rFonts w:ascii="Times New Roman" w:cs="Times New Roman" w:eastAsia="Times New Roman" w:hAnsi="Times New Roman"/>
          <w:sz w:val="18"/>
          <w:szCs w:val="18"/>
          <w:color w:val="auto"/>
        </w:rPr>
        <w:t>review, post grant review and equivalent proceedings in foreign jurisdictions (such as opposition proceedings). Such proceedings could result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revocation or amendment to our patent applications or any patents we may own or in-license in such a way that they no longer cover our current or future product candidates. The outcome following legal assertions of invalidity and unenforceability is unpredictable. An adverse determination in any such submission, proceeding or litigation could reduce the scope of, or invalidate or render unenforceable, any rights we may have from our patent applications or any patents we may own or in-license, allow third parties to commercialize our current or future product candidates or other technologies and compete directly with us, without payment to us or result in our inability to manufacture or commercialize products without infringing third-party patent rights. Moreover, we may have to participate in interference proceedings declared by the USPTO to determine priority of invention or in post-grant challenge proceedings, such as oppositions in a foreign patent office, that challenge our or our current or future licensors’ priority of invention or other features of patentability with respect to our patent applications and any patents we may own or in-license.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current or future product candidates and other technologies. With respect to the validity question, for example, we cannot be certain that there is no invalidating prior art, of which we or our current or future licensing partners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current or future product candidates. Such a loss of patent protection could have a material adverse impact on our business and our ability to commercialize or license our technology and current or future product candidates.</w:t>
      </w:r>
    </w:p>
    <w:p>
      <w:pPr>
        <w:spacing w:after="0" w:line="9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Such proceedings also may result in substantial cost and require significant time from our scientists and management, even if the eventual outcome is favorable to us. If we are unsuccessful in any such proceeding or other priority or inventorship dispute, we may be required to obtain and maintain licenses from third parties, including parties involved in any such interference proceedings or other priority or inventorship disputes. Such licenses may not be available on commercially reasonable terms or at all, or may be non-exclusive. If we are unable to obtain and maintain such licenses, we may need to cease the development, manufacture, and commercialization of one or more of the current or future product candidates we may develop. The loss of exclusivity or the narrowing of our patent application claims could limit our ability to stop others from using or commercializing similar or identical technology and products. Any of the foregoing could have a material adverse effect on our business, results of operations, financial condition and prospects.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patent law could diminish the value of patents in general, thereby impairing our ability to protect our current or future product candidates.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is the case with other biopharmaceutical companies, our success is heavily dependent on intellectual property, particularly patents. Obtaining and enforcing patents in the biopharmaceutical industry involve both technological and legal complexity and is therefore costly, time consuming and inherently uncertain. Recent patent reform legislation in the U.S. and other countries, including the Leahy-Smith America Invents Act, or Leahy-Smith Act, signed into law on September 16, 2011, could increase those uncertainties and costs.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In addition, the Leahy-Smith Act has transformed the U.S. patent system into a “first inventor to file” system. The first-inventor-to-file provisions, however, only became effective on March 16, 2013. Accordingly, it is not yet clear what, if any, impact the Leahy-Smith Act will have on the operation of our business. However, the Leahy-Smith Act and its implementation could make it more difficult to obtain patent protection for our inventions and increase the uncertainties and costs surrounding the prosecution of our patent applications and the enforcement or defense of our issued patents, all of which could harm our business, results of operations and financial condition.</w:t>
      </w:r>
    </w:p>
    <w:p>
      <w:pPr>
        <w:spacing w:after="0" w:line="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U.S. and other countries that, if adopted, could impact our ability to obtain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7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third-party patents or may incorrectly interpret the relevance, scope or expiration of a third-party patent, which might subject us to infringement claims or adversely affect our ability to develop and market our current or future product candidates.</w:t>
      </w:r>
    </w:p>
    <w:p>
      <w:pPr>
        <w:spacing w:after="0" w:line="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cannot guarantee that any of our or our licensors’ patent searches or analyses, including the identification of relevant patents, the scope of patent claims or the expiration of relevant patents, are complete or thorough, nor can we be certain that we have identified each and every third-party patent and pending patent application in the U.S. and abroad that is relevant to or necessary for the commercialization of our current or future product candidates in any jurisdiction. For example, U.S. patent applications filed before November 29, 2000 and certain U.S. patent applications filed after that date that will not be filed outside the U.S. remain confidential until patents issue. As mentioned above, patent applications in the U.S. and elsewhere are published approximately 18 months after the earliest filing for which priority is claimed, with such earliest filing date being commonly referred to as the priority date. Therefore, patent applications covering our current or future product candidates could have been filed by third parties without our knowledge. Additionally, pending patent applications that have been published can, subject to certain limitations, be later amended in a manner that could cover our current or future product candidates or the use of our current or future product candidates. The scope of a patent claim is determined by an interpretation of the law, the written disclosure in a patent and the patent’s prosecution history. Our interpretation of the relevance or the scope and/or validity of a patent or a pending application may be incorrect, which may negatively impact our ability to market our current or future product candidates. We may incorrectly determine that our current or future product candidates are not covered by a third-party patent or may incorrectly predict whether a third party’s pending application will issue with claims of relevant scope. Our determination of the expiration date of any patent in the U.S. or abroad that we consider relevant may be incorrect, which may negatively impact our ability to develop and market our current or future product candidates. Our failure to identify and correctly interpret relevant patents may negatively impact our ability to develop and market our current or future product candidates.</w:t>
      </w:r>
    </w:p>
    <w:p>
      <w:pPr>
        <w:spacing w:after="0" w:line="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we fail to identify and correctly interpret relevant patents, we may be subject to infringement claims. We cannot guarantee that we will be able to successfully settle or otherwise resolve such infringement claims. If we fail in any such dispute, in addition to being forced to pay damages, which may be significant, we may be temporarily or permanently prohibited from commercializing any of our current or future product candidates that are held to be infringing. We might, if possible, also be forced to redesign current or future product candidates so that we no longer infringes the third-party intellectual property rights. Any of these events, even if we were ultimately to prevail, could require us to divert substantial financial and management resources that we would otherwise be able to devote to our business and could adversely affect our business, financial condition, results of operations and prospects.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2" w:name="page63"/>
    <w:bookmarkEnd w:id="62"/>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guarantee commercial success of current or future product candidates or other business activities. Numerous factors may limit any potential competitive advantage provided by our intellectual property rights.</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whether owned or in-licensed,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spacing w:after="0" w:line="72" w:lineRule="exact"/>
        <w:rPr>
          <w:sz w:val="20"/>
          <w:szCs w:val="20"/>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applications that we own or may in-license may not lead to issued patents;</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should they issue, that we may own or in-license, may not provide us with any competitive advantages, may be narrowed in scope, or may be challenged and held invalid or unenforceable;</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develop and/or practice technology, including compounds that are similar to the chemical compositions of our current or future product candidates, that is similar to our technology or aspects of our technology but that is not covered by the claims of any patents we may own or in-license, should any patents issue;</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compete with us in jurisdictions where we do not pursue and obtain patent protection;</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current or future licensors or collaborators, might not have been the first to make the inventions covered by a patent application that we own or may in-license;</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current or future licensors or collaborators, might not have been the first to file patent applications covering a particular invention;</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without infringing, misappropriating or otherwise violating our intellectual property rights;</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the U.S. and other countries that provide a safe harbor from patent infringement claims for certain research and development activities, as well as in countries where we do not have patent rights, and may then use the information learned from such activities to develop competitive products for sale in our major commercial markets;</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obtain and/or maintain necessary licenses on reasonable terms or at all;</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assert an ownership interest in our intellectual property and, if successful, such disputes may preclude us from exercising exclusive rights, or any rights at all, over that intellectual property;</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in order to maintain certain trade secrets or know-how, and a third-party may subsequently file a patent covering such trade secrets or know-how;</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maintain the confidentiality of our trade secrets or other proprietary information;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or in-license additional proprietary technologies that are patentable;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Should any of these events occur, they could significantly harm our business, financial condition, results of operations and prospects.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regulatory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trials conducted in one jurisdiction may not be accepted by regulatory authorities in other jurisdictions. In short, the foreign regulatory approval process involves all of the risks associated with FDA approval. In many jurisdictions outside the United States, a product candidate must be approved for reimbursement before it can be approved for sale in that jurisdiction. In some cases, the price that we may intend to charge for our products will also be subject to approval.</w:t>
      </w:r>
    </w:p>
    <w:p>
      <w:pPr>
        <w:spacing w:after="0" w:line="8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may also submit marketing applications in other countries. Regulatory authorities in jurisdictions outside of the United States have requirements for approval of product candidates with which we must comply prior to marketing in those jurisdictions.</w:t>
      </w: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3" w:name="page64"/>
    <w:bookmarkEnd w:id="63"/>
    <w:p>
      <w:pPr>
        <w:jc w:val="both"/>
        <w:spacing w:after="0" w:line="261" w:lineRule="auto"/>
        <w:rPr>
          <w:sz w:val="20"/>
          <w:szCs w:val="20"/>
          <w:color w:val="auto"/>
        </w:rPr>
      </w:pPr>
      <w:r>
        <w:rPr>
          <w:rFonts w:ascii="Times New Roman" w:cs="Times New Roman" w:eastAsia="Times New Roman" w:hAnsi="Times New Roman"/>
          <w:sz w:val="18"/>
          <w:szCs w:val="18"/>
          <w:color w:val="auto"/>
        </w:rPr>
        <w:t>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regulatory approvals, our target market will be reduced and our ability to realize the full market potential of our product candidates will be harmed.</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priority review designation for one or more of our product candidates, but we might not receive such designation, and even if we do, such designation may not lead to a faster regulatory review or approval process.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the FDA determines that a product candidate offers a treatment for a serious condition and, if approved, the product would provide a significant improvement in safety or effectiveness, the FDA may designate the product candidate for priority review. A priority review designation means that the goal for the FDA to review an application is six months, rather than the standard review period of ten months. We have requested priority review for our NDA for bitopertin for EPP and XLP, and may request priority review of applications for our other product candidates. The FDA has broad discretion with respect to whether or not to grant priority review status to a product candidate, so even if we believe a particular product candidate is eligible for such designation or status, the FDA may decide not to grant it. Moreover, a priority review designation does not necessarily result in an expedited regulatory review or approval process or necessarily confer any advantage with respect to approval compared to conventional FDA procedures. Receiving priority review from the FDA does not guarantee approval within the six-month review cycle or at all.</w:t>
      </w:r>
    </w:p>
    <w:p>
      <w:pPr>
        <w:spacing w:after="0" w:line="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orphan drug designation for certain of our product candidates, and we may be unsuccessful or may be unable to maintain the benefits associated with orphan drug designation, including the potential for market exclusivity.</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received orphan drug designation from the FDA for bitopertin for the treatment of EPP and for DISC-3405 for the treatment of PV. As part of our business strategy, we may seek orphan drug designation for certain of our product candidates and indications, as appropriate. Regulatory authorities in some jurisdictions, including the United States and Europe, may designate drugs for relatively small patient populations as orphan drugs. Under the Orphan Drug Act, the FDA may designate a drug or biologic as an orphan drug if it is a product intended to treat a rare disease or condition, which is generally defined as a patient population of fewer than 200,000 individuals annually in the United States, or a patient population of 200,000 or more in the United States where there is no reasonable expectation that the cost of developing the product will be recovered from sales in the United States. In the United States, orphan drug designation entitles a party to financial incentives such as opportunities for grant funding towards clinical trial costs, tax advantages and user-fee waivers.</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Similarly, in the European Union, the European Commission, upon the recommendation of the EMA’s Committee for Orphan Medicinal Products, grants orphan designation in respect of products that are intended for the diagnosis, prevention or treatment of life-threatening or chronically debilitating conditions affecting no more than 5 in 10,000 persons in the European Union. Additionally, designation may be granted for products intended for the diagnosis, prevention, or treatment of a life-threatening, seriously debilitating or serious and chronic condition when, without incentives, it is unlikely that sales of the product in the European Union would generate sufficient return to justify the necessary investment in developing the product. In each case, there must be no satisfactory method of diagnosis, prevention, or treatment of the applicable condition which is authorized for marketing in the European Union (or, if such a method exists, the applicable product would be of significant benefit to those affected by the condition). In the European Union, orphan designation entitles a party to financial incentives such as reduction of fees or fee waivers. The European Committee for Orphan Medical Products adopted a positive opinion on Orphan Designation for bitopertin for treatment of EPP.</w:t>
      </w:r>
    </w:p>
    <w:p>
      <w:pPr>
        <w:spacing w:after="0" w:line="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Generally, if a product with an orphan designation subsequently receives the first regulatory approval for the indication for which it has such designation, the product is entitled to a period of marketing exclusivity, which precludes the FDA or the EMA from approving another marketing application for the same product and indication for that time period, except in limited circumstances. The applicable period is seven years in the United States and ten years in the European Union. The European Union market exclusivity period can be reduced to six years if, at the end of the fifth year, it is determined that a product no longer meets the criteria for orphan designation, including if the product is sufficiently profitable so that market exclusivity is no longer justified.</w:t>
      </w:r>
    </w:p>
    <w:p>
      <w:pPr>
        <w:spacing w:after="0" w:line="7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Even if we obtain orphan drug exclusivity for one of our product candidates, that exclusivity may not effectively protect our product candidate from competition because different products can be approved for the same condition.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product to meet the needs of patients with the rare disease or condition or if another product with the same active moiety is determined to be safer, more effective, or represents a major contribution to patient care. Orphan drug designation neither shortens the development time or regulatory review time of a product nor gives the product any advantage in the regulatory review or approval process. While we may seek orphan drug designation for our product candidates, we may never receive such designations. Even if we do receive such designations, there is no guarantee that we will enjoy the benefits of those designations.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4" w:name="page65"/>
    <w:bookmarkEnd w:id="64"/>
    <w:p>
      <w:pPr>
        <w:jc w:val="both"/>
        <w:spacing w:after="0" w:line="266" w:lineRule="auto"/>
        <w:rPr>
          <w:sz w:val="20"/>
          <w:szCs w:val="20"/>
          <w:color w:val="auto"/>
        </w:rPr>
      </w:pPr>
      <w:r>
        <w:rPr>
          <w:rFonts w:ascii="Times New Roman" w:cs="Times New Roman" w:eastAsia="Times New Roman" w:hAnsi="Times New Roman"/>
          <w:sz w:val="18"/>
          <w:szCs w:val="18"/>
          <w:color w:val="auto"/>
        </w:rPr>
        <w:t>The FDA may further reevaluate its regulations and policies under the Orphan Drug Act. We do not know if, when or how the FDA may change its orphan drug regulations and policies in the future, and it is uncertain how any changes might affect our business. Depending on what changes the FDA may make to its orphan drug regulations and policies, our business could be adversely impacted.</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received rare pediatric disease designation for bitopertin. However, a marketing application for bitopertin, if approved, may not meet the eligibility criteria for a rare pediatric disease priority review voucher.</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May 2024, we received rare pediatric disease designation for bitopertin in patients with EPP and XLP. The FDA defines “rare pediatric disease” as a (i) serious or life-threatening disease in which the serious or life-threatening manifestations primarily affect ages from birth to 18 years, including age groups often called neonates, infants, children and adolescents; and (ii) a rare disease or condition within the meaning of the Orphan Drug Act. Designation of a product candidate as a product for a rare pediatric disease does not guarantee that a marketing application for such product candidate will meet the eligibility criteria for a rare pediatric disease priority review voucher at the time the application is approved. The FDA may determine that a marketing application for bitopertin, if approved, does not meet the eligibility criteria for a priority review voucher.</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current statutory sunset provisions, the FDA may only award a priority review voucher for an approved rare pediatric disease product application if the sponsor has rare pediatric disease designation for the drug or biologic that is the subject of such application, and that designation was granted by December 20, 2024. After September 30, 2026, the FDA may not award any rare pediatric disease priority review vouchers. As such, if we do not obtain approval of a marketing application for bitopertin in patients with EPP and XLP on or before September 30, 2026, we may not receive a priority review voucher. However, it is possible that the FDA's authority to grant rare pediatric disease designation or award rare pediatric disease priority review vouchers will be further extended by Congress.</w:t>
      </w:r>
    </w:p>
    <w:p>
      <w:pPr>
        <w:spacing w:after="0" w:line="7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breakthrough therapy designation and fast track designation by the FDA, even if granted for any of our product candidates, may not lead to a faster development, regulatory review or approval process, and each designation does not increase the likelihood that any of our product candidates will receive regulatory approval in the United States.</w:t>
      </w:r>
    </w:p>
    <w:p>
      <w:pPr>
        <w:spacing w:after="0" w:line="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seek a breakthrough therapy designation for certain of our product candidates. 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Products designated as breakthrough therapies by the FDA may also be eligible for priority review and accelerated approval. 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are designated as breakthrough therapies, the FDA may later withdraw the designation if it determines that such product candidates no longer meet the conditions for such designation.</w:t>
      </w:r>
    </w:p>
    <w:p>
      <w:pPr>
        <w:spacing w:after="0" w:line="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were granted fast track designation by the FDA for DISC-3405 for the treatment of PV in September 2023 and for DISC-0974 for the treatment of anemia in non-dialysis dependent chronic kidney disease in February 2024, and we may seek fast track designation for certain of our product candidates. If a drug or biologic is intended for the treatment of a serious or life-threatening condition and the drug or biologic demonstrates the potential to address unmet medical needs for this condition, the sponsor may apply for fast track designation. The FDA has broad discretion whether or not to grant this designation, so even if we believe a particular product candidate is eligible for this designation, the FDA may disagree and instead decide not to grant it. Even if we do receive fast track designation, we may not experience a faster development process, review or approval compared to conventional FDA procedures. The FDA may withdraw fast track designation if it believes that the designation no longer meets the conditions for such designation. Fast track designation alone does not guarantee qualification for the FDA’s priority review procedures.</w:t>
      </w:r>
    </w:p>
    <w:p>
      <w:pPr>
        <w:spacing w:after="0" w:line="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are seeking approval from the FDA for bitopertin for EPP and XLP, and we may seek approval for any of our other current or future product candidates, under the Accelerated Approval Program. If we are not able to use such program, we may be required to conduct additional clinical trials beyond those that are contemplated, which would increase the expense of obtaining, and delay the receipt of, necessary marketing approvals, if we receive them at all. In addition, even if the Accelerated Approval Program is available to us, it may not lead to expedited approval of our product candidates, or approval at all.</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seeking accelerated approval of bitopertin for EPP and XLP, and we may seek accelerated approval for any of our other current or future product candidates. A product may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or on a clinical endpoint that can be measured earlier than irreversible morbidity or mortality, or IMM, that is reasonably likely to predict an effect on IMM or other clinical benefit. It is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5" w:name="page66"/>
    <w:bookmarkEnd w:id="65"/>
    <w:p>
      <w:pPr>
        <w:jc w:val="both"/>
        <w:spacing w:after="0" w:line="266" w:lineRule="auto"/>
        <w:rPr>
          <w:sz w:val="20"/>
          <w:szCs w:val="20"/>
          <w:color w:val="auto"/>
        </w:rPr>
      </w:pPr>
      <w:r>
        <w:rPr>
          <w:rFonts w:ascii="Times New Roman" w:cs="Times New Roman" w:eastAsia="Times New Roman" w:hAnsi="Times New Roman"/>
          <w:sz w:val="18"/>
          <w:szCs w:val="18"/>
          <w:color w:val="auto"/>
        </w:rPr>
        <w:t>possible that at the time of submission of a marketing application, the FDA may determine that our product candidate is not eligible for accelerated approval or that accelerated approval is not warranted. Moreover, FDA may revise how it implements accelerated approval, which could negatively affect the development of our current or future product candidates.</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condition of approval, the FDA generally requires that a sponsor of a drug or biologic receiving accelerated approval perform adequate and well-controlled post-marketing clinical trials. These confirmatory trials must be completed with due diligence. Under FDORA, the FDA is permitted to require, that a post-approval confirmatory trial or trials be underway prior to approval or within a specified time period after the date accelerated approval is granted. FDORA also requires sponsors to send updates to the FDA every 180 days on the status of such trials, including progress toward enrollment targets, and the FDA must promptly post this information publicly. FDORA also gives the FDA increased authority to withdraw approval of a drug or biologic granted accelerated approval on an expedited basis if the sponsor fails to conduct confirmatory studies in a timely manner, send the necessary updates to the FDA, or if such post-approval trials fail to verify the product’s predicted clinical benefit. Under FDORA, the FDA is empowered to take action, such as issuing fines, against companies that fail to conduct with due diligence any post-approval confirmatory trial or submit timely reports to the agency on their progress. In addition, the FDA currently requires, unless the sponsor is otherwise informed by the agency, submission of launch promotional materials during the pre-approval period, which could adversely impact the timing of the commercial launch of the product.</w:t>
      </w:r>
    </w:p>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are not able to obtain accelerated approval for a product candidate, we may be required to conduct additional clinical trials beyond those that are contemplated, which would increase the expense of obtaining, and delay the receipt of, full FDA approval, if received at all.</w:t>
      </w:r>
    </w:p>
    <w:p>
      <w:pPr>
        <w:spacing w:after="0" w:line="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November 2024, we announced that, based on discussions with the FDA, reduction in protoporphyrin IX, or PPIX, may be sufficient to serve as a surrogate endpoint supportive of submitting an NDA for bitopertin in EPP and XLP under the FDA’s Accelerated Approval Program based on our existing data. In January 2025, we announced that we had aligned with the FDA on the design of our planned APOLLO trial, which in the setting of an accelerated approval would serve as a post-marketing confirmatory trial. We initiated the APOLLO clinical trial in May 2025, and on September 29, 2025 we submitted an NDA for accelerated approval of bitopertin in EPP and XLP in the United States based on our existing data. However, the FDA could change its position regarding the sufficiency of PPIX as a surrogate endpoint or the design of our APOLLO clinical trial. Further, even if the FDA continues to agree that reduction of PPIX may be sufficient to serve as a surrogate endpoint supportive of submitting an NDA for accelerated approval of bitopertin in EPP and XLP and remains aligned with the design of APOLLO as a post-marketing confirmatory trial, the FDA may not accept the NDA for filing, may not grant this approval on a timely basis, or may not grant approval at all. Receiving accelerated approval does not provide assurance of ultimate full FDA approval. Even if the Accelerated Approval Program does result in a faster approval process, there is no guarantee that we will be able to begin commercialization of our product at the time of such approval, that the APOLLO trial will confirm and verify clinical benefit, or that we will be otherwise able to maintain such approval.</w:t>
      </w:r>
    </w:p>
    <w:p>
      <w:pPr>
        <w:spacing w:after="0" w:line="7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received a Commissioner’s National Priority Voucher for bitopertin. We may not be able to fully realize the benefits of such a voucher, including a potentially accelerated timeline for review of our NDA submission for bitopertin in EPP and XLP by the FDA.</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June 2025, the FDA announced the creation of a new program, the Commissioner’s National Priority Voucher, or CNPV, program, to expedite the development and approval of drug products with potential to address a major national priority, such as addressing a large unmet medical need, reducing downstream health care utilization, addressing a public health crisis, boosting domestic manufacturing, or increasing medication affordability. The FDA has stated that voucher recipients will receive a decision with respect to a drug application on an accelerated basis, as well as enhanced communication with review staff throughout the development process prior to final submission of the application and during the review period.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FDA expects the CNPV program to accelerate the standard application review timeline after NDA acceptance from 10 months to 1-2 months by convening a multidisciplinary team of physicians and scientists for a team-based review, interacting frequently with the sponsor to clarify questions, and completing review of the application concurrently. Following completion of these steps, the multidisciplinary team will convene for a one-day “tumor board style” decision meeting.</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October 16, 2025, the FDA announced that bitopertin for porphyria was one of the first nine recipients of a CNPV. As a result, the NDA for bitopertin for EPP and XLP is eligible for the benefits of this program. We therefore plan to accelerate activities to support a potential US approval and launch of bitopertin in late 2025 or early 2026 based on the accelerated review timeline associated with receipt of the CNPV. However, receipt of the CNPV does not guarantee that the NDA will be approved on an expedited basis or at all. The FDA has stated that the review time for an application of a CNPV recipient may be extended, including because the application is incomplete, there are manufacturing violations, or for other reasons deemed appropriate by the FDA. The CNPV program is in pilot stage, so its implementation, operation, and ultimate impact are subject to uncertainty. In addition, even if the CNPV program does result in a faster approval process, there is no guarantee that we will be able to begin commercialization of our product at the time of such approval or that we will be otherwise able to maintain such approval.</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6" w:name="page67"/>
    <w:bookmarkEnd w:id="66"/>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drug product candidates or any of our future drug product candidates obtain regulatory approval, additional competitors could enter the market with generic versions of such products, which may result in a material decline in sales of our competing products.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Drug Price Competition and Patent Term Restoration Act of 1984, or the Hatch-Waxman Amendments to the Federal Food, Drug, and Cosmetic Act, or the FDCA, a company may file an abbreviated new drug application, or ANDA, seeking approval of a generic version of an approved innovator product. Under the Hatch-Waxman Amendments, a company may also submit an NDA under section 505(b)(2) of the FDCA that references the FDA’s prior approval of the innovator product or preclinical studies and/or clinical trials that were not conducted by, or for, the applicant and for which the applicant has not obtained a right of reference. A 505(b)(2) NDA product may be for a new or improved version of the original innovator product. The Hatch-Waxman Amendments also provide for certain periods of regulatory exclusivity, which preclude FDA approval (or in some circumstances, FDA filing and review) of an ANDA or 505(b)(2) NDA. In addition to the benefits of regulatory exclusivity, an innovator NDA holder may have patents claiming the active ingredient, product formulation or an approved use of the drug, which would be listed with the product in the FDA publication “Approved Drug Products with Therapeutic Equivalence Evaluations,” known as the Orange Book. If there are patents listed in the Orange Book for the applicable, approved innovator product, a generic or 505(b)(2) applicant that seeks to market our product before expiration of the patents must include in their applications what is known as a “Paragraph IV” certification, challenging the validity or enforceability, or claiming non-infringement, of the listed patent or patents. Notice of the certification must be given to the patent owner and NDA holder and if, within 45 days of receiving notice, either the patent owner or NDA holder sues for patent infringement, approval of the ANDA or 505(b)(2) NDA is stayed for up to 30 months.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Accordingly, if any of our product candidates that are regulated as drugs are approved, competitors could file ANDAs for generic versions of these products or 505(b)(2) NDAs that reference our products. If there are patents listed for such drug products in the Orange Book, those ANDAs and 505(b)(2) NDAs would be required to include a certification as to each listed patent indicating whether the ANDA applicant does or does not intend to challenge the patent. We cannot predict which, if any, patents in our current portfolio or patents we may obtain in the future will be eligible for listing in the Orange Book, how any generic competitor would address such patents, whether we would sue on any such patents or the outcome of any such suit.</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not be successful in securing or maintaining proprietary patent protection for products and technologies we develop or licenses, despite expending a significant amount of resources that could have been focused on other areas of our business. Moreover, if any of our owned or in-licensed patents that are listed in the Orange Book are successfully challenged by way of a Paragraph IV certification and subsequent litigation, the affected product could immediately face generic competition and our sales would likely decline rapidly and materially.</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approved, our investigational products regulated as biologics may face competition from biosimilars or interchangeable products approved through an abbreviated regulatory pathway.</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Biologics Price Competition and Innovation Act of 2009, or BPCIA, created an abbreviated approval pathway for biologic products that are biosimilar to or interchangeable with an FDA-licensed reference biologic product. Under the BPCIA, an application for a biosimilar or interchangeable product may not be submitted to the FDA until four years following the date that the reference product was first licensed by the FDA. In addition, the approval of a biosimilar or interchangeable product may not be made effective by the FDA until 12 years from the date on which the reference product was first licensed. During this 12-year period of exclusivity, another company may still market a competing version of the reference product if the FDA approves a BLA for the competing product containing the sponsor’s own preclinical data and data from adequate and well-controlled clinical trials to demonstrate the safety, purity, and potency of the other company’s product. The law is complex and is still being interpreted and implemented by the FDA. As a result, its ultimate impact, implementation, and meaning are subject to uncertainty.</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that any of our product candidates approved as a biologic product under a BLA should qualify for the 12-year period of exclusivity. However, there is a risk that this exclusivity could be shortened due to congressional action or otherwise, or that the FDA will not consider our investigational medicines to be reference products, potentially creating the opportunity for biosimilar competition sooner than anticipated. Other aspects of the BPCIA, some of which may impact the BPCIA exclusivity provisions, have also been the subject of litigation. Moreover, the extent to which a biosimilar or interchangeable product, once licensed, will be substituted for any one of our reference products in a way that is similar to traditional generic substitution for non-biologic products is not yet clear, and will depend on a number of marketplace and regulatory factors that are still developing. If competitors are able to obtain regulatory approval for biosimilars or interchangeable products referencing our products, our products may become subject to competition from such biosimilars or interchangeable products, with the attendant competitive pressure and consequences.</w:t>
      </w:r>
    </w:p>
    <w:p>
      <w:pPr>
        <w:spacing w:after="0" w:line="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 the EMA and other regulatory authorities may implement additional regulations or restrictions on the development and commercialization of our product candidates, and such changes can be difficult to predict.</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FDA, the EMA and regulatory authorities in other countries have each expressed interest in further regulating biotechnology products. Agencies at both the federal and state level in the United States, as well as the U.S. Congressional committees and other governments or governing agencies, have also expressed interest in further regulating the biotechnology industry. Such action may delay or prevent commercialization of some or all of our product candidates. Adverse developments in clinical trials of products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7" w:name="page68"/>
    <w:bookmarkEnd w:id="67"/>
    <w:p>
      <w:pPr>
        <w:jc w:val="both"/>
        <w:spacing w:after="0" w:line="254" w:lineRule="auto"/>
        <w:rPr>
          <w:sz w:val="20"/>
          <w:szCs w:val="20"/>
          <w:color w:val="auto"/>
        </w:rPr>
      </w:pPr>
      <w:r>
        <w:rPr>
          <w:rFonts w:ascii="Times New Roman" w:cs="Times New Roman" w:eastAsia="Times New Roman" w:hAnsi="Times New Roman"/>
          <w:sz w:val="18"/>
          <w:szCs w:val="18"/>
          <w:color w:val="auto"/>
        </w:rPr>
        <w:t>conducted by others may cause the FDA or other oversight bodies to change the requirements for approval of any of our product candidates. These regulatory review agencies and committees and the new requirements or guidelines they promulgate may lengthen the regulatory review process, require us to perform additional studies or trials, increase our development costs, lead to changes in regulatory positions and interpretations, delay or prevent approval and commercialization of our product candidates or lead to significant post-approval limitations or restrictions. As we advance our product candidates, we will be required to consult with these regulatory agencies and comply with applicable requirements and guidelines. If we fail to do so, we may be required to delay or discontinue development of such product candidates. These additional processes may result in a review and approval process that is longer than we otherwise would have expected. Delays as a result of an increased or lengthier regulatory approval process or further restrictions on the development of our product candidates can be costly and could negatively impact our ability to complete clinical trials and commercialize our current and future product candidates in a timely manner, if at all.</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FDA and other regulatory agencies actively enforce the laws and regulations prohibiting the promotion of off-label uses.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any of our product candidates are approved and we are found to have improperly promoted off-label uses of those products, we may become subject to significant liability. The FDA and other regulatory agencies strictly regulate the promotional claims that may be made about prescription products, if approved. In particular, while the FDA permits the dissemination of truthful and non-misleading information about an approved product, a manufacturer may not promote a product for uses that are not approved by the FDA or such other regulatory agencies as reflected in the product’s approved labeling. The federal government has levied large civil and criminal fines against companies for alleged improper promotion of off-label use and has enjoined several companies from engaging in off-label promotion. The FDA has also requested that companies enter into consent decrees, corporate integrity agreements or permanent injunctions under which specified promotional conduct must be changed or curtailed. If we cannot successfully manage the promotion of our product candidates, if approved, we could become subject to significant liability, which would materially adversely affect our business and financial condition.</w:t>
      </w:r>
    </w:p>
    <w:p>
      <w:pPr>
        <w:spacing w:after="0" w:line="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NIH, CMS, FDA, the SEC and other government agencies, including from government shut downs, or other disruptions to these agencies’ operations, including significant leadership, personnel, or policy changes, could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ability of the FDA to review and approve new products, NIH’s ability to conduct and partner with industry on important research, and CMS’s ability to operate efficiently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example, over the last several years the U.S. government has shut down several times, including beginning in October 2025, and certain regulatory agencies, such as the FDA and the SEC, have had to furlough critical FDA, SEC and other government employees and stop critical activities. If a prolonged government shutdown or a widespread freeze on federal funding continues or occurs in the future, it could significantly impact the ability of the FDA to timely review and process our regulatory submissions, NIH to conduct research or provide grants, or other agencies to slow their work, which could have a material adverse effect on our business. Further, the ongoing or future government shutdowns could impact our ability to access the public markets and obtain necessary capital in order to properly capitalize and continue our operations. In addition, the current administration is seeking to reduce the NIH budget for funding of medical research, which could decrease the ability of facilities that rely on NIH funding to enroll and conduct clinical trials or increase the costs to us of conducting clinical trials.</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disruptions at the FDA and other federal agencies, including substantial leadership departures, personnel cuts, and policy changes, could result in delays in the FDA’s responsiveness or in its ability to review and/or approve new drug submissions or applications, issue regulations or guidance, or implement or enforce regulatory requirements in a timely fashion, any of which could adversely affect our business. For example, during 2025, certain federal agencies, including the FDA, have conducted significant layoffs and it is currently unclear whether and how such staff reductions may impact our business.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there is substantial uncertainty as how the current administration's modifications to the requirements and policies of the FDA and other relevant regulatory agencies may affect our product candidates and any products for which we obtain approval. This uncertainty could present new challenges as we navigate development and approval of our product candidates. The current administration could also issue or promulgate executive orders, regulations, policies or guidance that adversely affect us or create a more challenging or costly environment to pursue the development of new therapeutic candidates.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 measures may have a material adverse effect on our business and results of operations.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U.S. and many foreign jurisdictions have enacted or proposed legislative and regulatory changes affecting the U.S. and global healthcare systems that could prevent or delay regulatory approval of our current or future product candidates or any future product candidates, restrict or regulate post-approval activities and affect our ability to profitably sell a product for which we obtain regulatory approval. Changes in regulations, statutes or the interpretation of existing regulations could impact our business in the future by requiring, for example: (i) changes to our manufacturing arrangements, (ii) additions or modifications to product labeling,</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8" w:name="page69"/>
    <w:bookmarkEnd w:id="68"/>
    <w:p>
      <w:pPr>
        <w:jc w:val="both"/>
        <w:ind w:firstLine="8"/>
        <w:spacing w:after="0" w:line="253" w:lineRule="auto"/>
        <w:tabs>
          <w:tab w:leader="none" w:pos="34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recall or discontinuation of our products or (iv) additional record-keeping requirements. If any such changes were to be imposed, they could adversely affect the operation of our business. In the U.S., there have been and continue to be, on-going legislative initiatives to contain healthcare costs. For example, the Patient Protection and Affordable Care Act, or the ACA, as amended by the Health Care and Education Reconciliation Act of 2010, substantially changed the way healthcare is financed by both governmental and private insurers, and significantly impacted the U.S. pharmaceutical industry. The ACA, among other things, subjects biological products to potential competition by lower-cost biosimilars, increases the minimum Medicaid rebates owed by manufacturers under the Medicaid Drug Rebate Program, and extends the rebate program to individuals enrolled in Medicaid managed care organizations, establishes annual fees and taxes on manufacturers of certain branded prescription drugs, creates a new Medicare Part D coverage gap discount program, in which manufacturers must agree to offer 70% point-of-sale discounts off negotiated prices of applicable brand drugs to eligible beneficiaries during their coverage gap period, as a condition for the manufacturer’s outpatient drugs to be covered under Medicare Part D, and provided incentives to programs that increase the federal government’s comparative effectiveness research. Since then, the ACA risk adjustment program payment parameters have been updated annually.</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Since the ACA’s enactment, there have been numerous judicial, administrative, executive and legislative challenges to certain aspects of the ACA and we expect that there will be additional challenges and amendments to the ACA in the future. On June 17, 2021, for example, the U.S. Supreme Court dismissed a judicial challenge to the ACA brought by several states without specifically ruling on the constitutionality of the ACA. In addition, multiple executive orders have been issued that seek to reduce prescription drug costs. Although a number of these and other proposed measures may require authorization through additional legislation to become effective, and the current administration may reverse or otherwise change these measures, both the current administration and Congress have indicated that they will continue to seek new measures to control drug costs. It is unclear how healthcare reform measures or other efforts, if any, to challenge repeal or replace the ACA, will impact our business.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other legislative and regulatory changes have been proposed and adopted in the United States since the ACA was enacted:</w:t>
      </w:r>
    </w:p>
    <w:p>
      <w:pPr>
        <w:spacing w:after="0" w:line="117" w:lineRule="exact"/>
        <w:rPr>
          <w:sz w:val="20"/>
          <w:szCs w:val="20"/>
          <w:color w:val="auto"/>
        </w:rPr>
      </w:pPr>
    </w:p>
    <w:p>
      <w:pPr>
        <w:ind w:left="760" w:hanging="378"/>
        <w:spacing w:after="0" w:line="282"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Budget Control Act of 2011, for example, included aggregate reductions of Medicare payments to providers of 2% per fiscal year that will remain in effect through fiscal year 2032, absent additional action from Congress.</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the Statutory Pay-As-You-Go Act of 2010, estimated budget deficit increases resulting from the American Rescue Plan Act of 2021, and subsequent legislation, Medicare payments to providers will be further reduced starting in 2025 absent further legislation. Because the One Big Beautiful Bill Act of 2025 is expected to add to the federal deficit over the next decade, it is unclear whether this will trigger automatic spending cuts as part of the statutory Pay-As-You-Go Act’s requirements.</w:t>
      </w:r>
    </w:p>
    <w:p>
      <w:pPr>
        <w:spacing w:after="0" w:line="7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American Taxpayer Relief Act of 2012 further reduced Medicare payments to several types of providers and increased the statute of limitations period for the government to recover overpayments to providers from three to five years.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American Rescue Plan Act of 2021 eliminated the statutory Medicaid drug rebate cap, previously set at 100% of a drug’s average manufacturer price, for single source and innovator multiple source drugs, effective January 1, 2024.</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One Big Beautiful Bill Act of 2025 also added work requirements and more frequent eligibility enrollment reverifications for Medicaid enrollees, which is expected to have the effect of reducing the number of Medicaid enrollees.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has been increasing legislative and enforcement interest in the U.S. with respect to specialty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w:t>
      </w:r>
    </w:p>
    <w:p>
      <w:pPr>
        <w:spacing w:after="0" w:line="7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Inflation Reduction Act of 2022, or the IRA, includes several provisions that may impact our business, depending on how various aspects of the IRA are implemented. Provisions that may impact our business include a $2,000 out-of-pocket cap for Medicare Part D beneficiaries, the imposition of new manufacturer financial liability on most drugs in Medicare Part D, permitting the U.S. government to negotiate Medicare Part B and Part D pricing for certain high-cost drugs and biologics without generic or biosimilar competition, requiring companies to pay rebates to Medicare for drug prices that increase faster than inflation, and delay until January 1, 2032 the implementation of the HHS rebate rule that would have limited the fees that pharmacy benefit managers can charge. Previously, under the IRA, orphan drugs were exempted from the Medicare drug price negotiation program only if they have one orphan designation and for which the only approved indication is for that disease or condition. If a product received multiple orphan designations or had multiple approved indications, it would not qualify for the orphan drug exemption. The One Big Beautiful Bill Act of 2025 eliminated this restriction, which serves to exempt all orphan drugs from the Medicare drug price negotiation program, regardless of the number of orphan designations or indications. The implementation of the IRA is currently subject to ongoing litigation challenging the constitutionality of the IRA’s Medicare drug price negotiation program. CMS has announced the results of the first round of negotiated prices between CMS and participating drug manufacturers for the ten selected drugs under the IRA’s Medicare drug price negotiation program. These prices go into effect in 2026. CMS has also commenced negotiations for the next 15 drugs selected for the IRA’s Medicare drug price negotiation program; negotiated prices for these drugs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9" w:name="page70"/>
    <w:bookmarkEnd w:id="69"/>
    <w:p>
      <w:pPr>
        <w:jc w:val="both"/>
        <w:spacing w:after="0" w:line="266" w:lineRule="auto"/>
        <w:rPr>
          <w:sz w:val="20"/>
          <w:szCs w:val="20"/>
          <w:color w:val="auto"/>
        </w:rPr>
      </w:pPr>
      <w:r>
        <w:rPr>
          <w:rFonts w:ascii="Times New Roman" w:cs="Times New Roman" w:eastAsia="Times New Roman" w:hAnsi="Times New Roman"/>
          <w:sz w:val="18"/>
          <w:szCs w:val="18"/>
          <w:color w:val="auto"/>
        </w:rPr>
        <w:t>go into effect in 2027. It is unclear whether ongoing litigation will be successful in challenging the constitutionality of the IRA’s Medicare drug price negotiation program and, if so, may provide a mechanism to block the implementation of the program. The effects of the IRA on our business and the healthcare industry in general is not yet known.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Multiple recent executive orders have also been issued that have sought to address high prescription drug costs. For example:</w:t>
      </w:r>
    </w:p>
    <w:p>
      <w:pPr>
        <w:spacing w:after="0" w:line="117" w:lineRule="exact"/>
        <w:rPr>
          <w:sz w:val="20"/>
          <w:szCs w:val="20"/>
          <w:color w:val="auto"/>
        </w:rPr>
      </w:pPr>
    </w:p>
    <w:p>
      <w:pPr>
        <w:jc w:val="both"/>
        <w:ind w:left="760" w:hanging="378"/>
        <w:spacing w:after="0" w:line="253"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order, “Delivering Most-Favored-Nation Prescription Drug Pricing,” issued on May 12, 2025, directs the Secretary of HHS to set and communicate most-favored-nation price targets to manufacturers and propose a rulemaking plan to impose most-favored-nation pricing if “significant progress” is not made towards achieving such pricing. It also directs the federal government to support regulatory paths to allow direct-to-patient sales for companies that meet these targets. It also states that the current administration will take additional aggressive action (for example, examining whether marketing approvals should be modified or rescinded or opening the door for individual drug importation waivers) should manufacturers fail to offer American consumers the most-favored-nation lowest price. Notably, a rule enacted under the first term of the current administration, also known as the “Most Favored Nations” rule, would have set Medicare Part B reimbursement at an amount no higher than the lowest price that a drug manufacturer receives on a particular product in an index of foreign countries. This rule was the subject of litigation and was formally rescinded by the former administration in August 2021. FDA Commissioner Makary also announced in July 2025 that FDA is contemplating a fast-track priority review voucher for drugs whose manufacturers commit to setting a price in line with drug pricing offered in economically similarly situated countries around the world. The effects of these proposals and how these proposals will be implemented are not yet known.</w:t>
      </w:r>
    </w:p>
    <w:p>
      <w:pPr>
        <w:spacing w:after="0" w:line="81" w:lineRule="exact"/>
        <w:rPr>
          <w:rFonts w:ascii="Times New Roman" w:cs="Times New Roman" w:eastAsia="Times New Roman" w:hAnsi="Times New Roman"/>
          <w:sz w:val="18"/>
          <w:szCs w:val="18"/>
          <w:color w:val="auto"/>
        </w:rPr>
      </w:pPr>
    </w:p>
    <w:p>
      <w:pPr>
        <w:jc w:val="both"/>
        <w:ind w:left="760" w:hanging="378"/>
        <w:spacing w:after="0" w:line="258"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order, “Lowering Drug Prices by Once Again Putting Americans First,” issued on April 15, 2025, included a multitude of directives to the federal government to lower drug prices. This includes directing HHS to issue updated IRA drug price negotiation guidance, including eliminating the so-called “pill penalty” under the IRA that creates a distinction between small molecule and large molecule products for purposes of determining when a drug may be eligible for drug price negotiation. Among other provisions, the executive order also directs the government to evaluate the role of pharmacy benefit managers.</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that additional state and federal healthcare reform measures will be adopted in the future, any of which could limit the amounts that federal and state governments will pay for healthcare products and services, or the frequency with which any such product candidate is prescribed or used, which could result in reduced demand for our current or future product candidates or additional pricing pressures. In particular any policy changes through CMS as well as local state Medicaid programs could have a significant impact on our business.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revenue prospects could be affected by changes in healthcare spending and policy in the U.S.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have been, and likely will continue to be, legislative and regulatory proposals at the foreign, federal and state levels directed at broadening the availability of healthcare and containing or lowering the cost of healthcare. We cannot predict the initiatives that may be adopted in the future, including repeal, replacement or significant revisions to the ACA. The continuing efforts of the government, insurance companies, managed care organizations and other payors of healthcare services to contain or reduce costs of healthcare and/or impose price controls may adversely affect:</w:t>
      </w:r>
    </w:p>
    <w:p>
      <w:pPr>
        <w:spacing w:after="0" w:line="72" w:lineRule="exact"/>
        <w:rPr>
          <w:sz w:val="20"/>
          <w:szCs w:val="20"/>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our current or future product candidates, if we obtain regulatory approval;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set a price that we believe is fair for our products;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coverage and reimbursement approval for a product;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and achieve or maintain profitability;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taxes that we are required to pay;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w:t>
      </w:r>
    </w:p>
    <w:p>
      <w:pPr>
        <w:spacing w:after="0" w:line="11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Any reduction in reimbursement from Medicare or other government programs may result in a similar reduction in payments from private payors, which may adversely affect our future profitability.</w:t>
      </w: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0" w:name="page71"/>
    <w:bookmarkEnd w:id="70"/>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customers, healthcare providers, physicians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future profits and earnings.</w:t>
      </w:r>
    </w:p>
    <w:p>
      <w:pPr>
        <w:spacing w:after="0" w:line="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Although we do not currently have any products on the market, once we begin commercializing our product candidates, we will be subject to additional healthcare statutory and regulatory requirements and enforcement by the federal government and the states and foreign governments in which we conduct our business. Healthcare providers, physicians and third-party payors will play a primary role in the recommendation and prescription of any product candidates for which we obtain regulatory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 candidates for which we obtain regulatory approval. Restrictions under applicable federal and state healthcare laws and regulations, include the following:</w:t>
      </w:r>
    </w:p>
    <w:p>
      <w:pPr>
        <w:spacing w:after="0" w:line="81" w:lineRule="exact"/>
        <w:rPr>
          <w:sz w:val="20"/>
          <w:szCs w:val="20"/>
          <w:color w:val="auto"/>
        </w:rPr>
      </w:pPr>
    </w:p>
    <w:p>
      <w:pPr>
        <w:jc w:val="both"/>
        <w:ind w:left="760" w:hanging="378"/>
        <w:spacing w:after="0" w:line="253"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Anti-Kickback Statute, which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 Violations are subject to civil and criminal fines and penalties for each violation, plus up to three times the remuneration involved, imprisonment of up to ten years, and exclusion from government healthcare programs. In addition, the government may assert that a claim including items or services resulting from a violation of the federal Anti-Kickback Statute constitutes a false or fraudulent claim for purposes of the federal False Claims Act or federal civil money penalties. The Anti-Kickback Statute has been interpreted to apply to arrangements between pharmaceutical manufacturers, on the one hand, and prescribers, purchasers and formulary managers, on the other. The HHS, Office of Inspector General, or OIG, heavily scrutinizes relationships between pharmaceutical companies and persons in a position to generate referrals for or the purchase of their products, such as physicians, other healthcare providers, and pharmacy benefit managers, among others. However, there are a number of statutory exceptions and regulatory safe harbors protecting some common activities from prosecution;</w:t>
      </w:r>
    </w:p>
    <w:p>
      <w:pPr>
        <w:spacing w:after="0" w:line="81" w:lineRule="exact"/>
        <w:rPr>
          <w:rFonts w:ascii="Times New Roman" w:cs="Times New Roman" w:eastAsia="Times New Roman" w:hAnsi="Times New Roman"/>
          <w:sz w:val="18"/>
          <w:szCs w:val="18"/>
          <w:color w:val="auto"/>
        </w:rPr>
      </w:pPr>
    </w:p>
    <w:p>
      <w:pPr>
        <w:jc w:val="both"/>
        <w:ind w:left="760" w:hanging="378"/>
        <w:spacing w:after="0" w:line="254"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and civil monetary penalties laws, including the federal False Claims Act, or FCA, which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Manufacturers can be held liable under the FCA even when they do not submit claims directly to government payors if they are deemed to “cause” the submission of false or fraudulent claims. In addition, the government may assert that a claim including items and services resulting from a violation of the federal Anti-Kickback Statute constitutes a false of fraudulent claim for purposes of the False Claims Act. The federal False Claims Act also permits a private individual acting as a “whistleblower” to bring actions on behalf of the federal government alleging violations of the federal False Claims Act and to share in any monetary recovery;</w:t>
      </w:r>
    </w:p>
    <w:p>
      <w:pPr>
        <w:spacing w:after="0" w:line="83" w:lineRule="exact"/>
        <w:rPr>
          <w:rFonts w:ascii="Times New Roman" w:cs="Times New Roman" w:eastAsia="Times New Roman" w:hAnsi="Times New Roman"/>
          <w:sz w:val="18"/>
          <w:szCs w:val="18"/>
          <w:color w:val="auto"/>
        </w:rPr>
      </w:pPr>
    </w:p>
    <w:p>
      <w:pPr>
        <w:jc w:val="both"/>
        <w:ind w:left="760" w:hanging="378"/>
        <w:spacing w:after="0" w:line="258"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which imposes criminal and civil liability for executing a scheme to defraud any healthcare benefit program (e.g. public or private),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75" w:lineRule="exact"/>
        <w:rPr>
          <w:rFonts w:ascii="Times New Roman" w:cs="Times New Roman" w:eastAsia="Times New Roman" w:hAnsi="Times New Roman"/>
          <w:sz w:val="18"/>
          <w:szCs w:val="18"/>
          <w:color w:val="auto"/>
        </w:rPr>
      </w:pPr>
    </w:p>
    <w:p>
      <w:pPr>
        <w:jc w:val="both"/>
        <w:ind w:left="760" w:hanging="378"/>
        <w:spacing w:after="0" w:line="258"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 transparency requirements, sometimes referred to as the “Sunshine Act” under the ACA, which require manufacturers of drugs, devices, biologics and medical supplies that are reimbursable under Medicare, Medicaid, or the Children’s Health Insurance Program to report to HHS information related to transfers of value made to physicians, nurse practitioners, certified nurse anesthetists, physician assistants, clinical nurse specialists, and certified nurse midwives as well as teaching hospitals. Manufacturers are also required to disclose ownership and investment interests held by physicians and their immediate family members;</w:t>
      </w:r>
    </w:p>
    <w:p>
      <w:pPr>
        <w:spacing w:after="0" w:line="7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consumers; and</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price reporting laws, which require manufacturers to calculate and report complex pricing metrics to government programs, where such reported prices may be used in the calculation of reimbursement and/or discounts on approved products.</w:t>
      </w:r>
    </w:p>
    <w:p>
      <w:pPr>
        <w:spacing w:after="0" w:line="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may also be subject to state and foreign equivalents of each of the healthcare laws and regulations described above, among others, some of which may be broader in scope and may apply regardless of the payor. Many U.S. states have adopted laws similar</w:t>
      </w: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1" w:name="page72"/>
    <w:bookmarkEnd w:id="71"/>
    <w:p>
      <w:pPr>
        <w:jc w:val="both"/>
        <w:spacing w:after="0" w:line="253" w:lineRule="auto"/>
        <w:rPr>
          <w:sz w:val="20"/>
          <w:szCs w:val="20"/>
          <w:color w:val="auto"/>
        </w:rPr>
      </w:pPr>
      <w:r>
        <w:rPr>
          <w:rFonts w:ascii="Times New Roman" w:cs="Times New Roman" w:eastAsia="Times New Roman" w:hAnsi="Times New Roman"/>
          <w:sz w:val="18"/>
          <w:szCs w:val="18"/>
          <w:color w:val="auto"/>
        </w:rPr>
        <w:t>to the federal Anti-Kickback Statute and False Claims Act, and may apply to our business practices, including, but not limited to, research, distribution, sales or marketing arrangements and claims involving healthcare items or services reimbursed by non-governmental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and require the registration of pharmaceutical sales representatives. State and foreign laws, including for example the European Union General Data Protection Regulation, also govern the privacy and security of health information in some circumstances, many of which differ from each other in significant ways and often are not preempted by HIPAA, thus complicating compliance efforts. There are ambiguities as to what is required to comply with these state requirements and if we fail to comply with an applicable state law requirement we could be subject to penalties. Finally, there are state and foreign laws governing the privacy and security of health information, many of which differ from each other in significant ways and often are not preempted by HIPAA, thus complicating compliance efforts.</w:t>
      </w:r>
    </w:p>
    <w:p>
      <w:pPr>
        <w:spacing w:after="0" w:line="8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the U.S., to help patients afford our approved product, we may utilize programs to assist them, including patient assistance programs and co-pay coupon programs for eligible patients. Government enforcement agencies have shown increased interest in pharmaceutical companies’ product and patient assistance programs, including reimbursement support services, and a number of investigations into these programs have resulted in significant civil and criminal settlements. In addition, at least one insurer has directed its network pharmacies to no longer accept co-pay coupons for certain specialty drugs the insurer identified. Our co-pay coupon programs could become the target of similar insurer actions. In addition, in November 2013, the CMS issued guidance to the issuers of qualified health plans sold through the ACA’s marketplaces encouraging such plans to reject patient cost-sharing support from third parties and indicating that the CMS intends to monitor the provision of such support and may take regulatory action to limit it in the future. The CMS subsequently issued a rule requiring individual market qualified health plans to accept third-party premium and cost-sharing payments from certain government-related entities. In September 2014, the OIG of the HHS issued a Special Advisory Bulletin warning manufacturers that they may be subject to sanctions under the federal anti-kickback statute and/or civil monetary penalty laws if they do not take appropriate steps to exclude Part D beneficiaries from using co-pay coupons. Accordingly, companies exclude these Part D beneficiaries from using co-pay coupons. It is possible that changes in insurer policies regarding co-pay coupons and/or the introduction and enactment of new legislation or regulatory action could restrict or otherwise negatively affect these patient support programs, which could result in fewer patients using affected products, and therefore could have a material adverse effect on our sales, business, and financial condition.</w:t>
      </w:r>
    </w:p>
    <w:p>
      <w:pPr>
        <w:spacing w:after="0" w:line="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Third party patient assistance programs that receive financial support from companies have become the subject of enhanced government and regulatory scrutiny. The OIG has established guidelines that suggest that it is lawful for pharmaceutical manufacturers to make donations to charitable organizations who provide co-pay assistance to Medicare patients, provided that such organizations, among other things, are bona fide charities, are entirely independent of and not controlled by the manufacturer, provide aid to applicants on a first-come basis according to consistent financial criteria and do not link aid to use of a donor’s product. However, donations to patient assistance programs have received some negative publicity and have been the subject of multiple government enforcement actions, related to allegations regarding their use to promote branded pharmaceutical products over other less costly alternatives. Specifically, in recent years, there have been multiple settlements resulting out of government claims challenging the legality of their patient assistance programs under a variety of federal and state laws. It is possible that we may make grants to independent charitable foundations that help financially needy patients with their premium, co-pay, and co-insurance obligations. If we choose to do so, and if we or our vendors or donation recipients are deemed to fail to comply with relevant laws, regulations or evolving government guidance in the operation of these programs, we could be subject to damages, fines, penalties, or other criminal, civil or administrative sanctions or enforcement actions. We cannot ensure that our compliance controls, policies, and procedures will be sufficient to protect against acts of our employees, business partners or vendors that may violate the laws or regulations of the jurisdictions in which we operate. Regardless of whether we have complied with the law, a government investigation could impact our business practices, harm our reputation, divert the attention of management, increase our expenses and reduce the availability of foundation support for our patients who need assistance.</w:t>
      </w:r>
    </w:p>
    <w:p>
      <w:pPr>
        <w:spacing w:after="0" w:line="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w:t>
      </w:r>
    </w:p>
    <w:p>
      <w:pPr>
        <w:spacing w:after="0" w:line="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to be found to be in violation of any of these laws or any other governmental regulations that may apply to us, we may be subject to significant civil, criminal and administrative penalties, damages, fines, disgorgement, imprisonment, the exclusion from participation in federal and state government funded healthcare programs, such as Medicare and Medicaid, reputational harm, and the curtailment or restructuring of our operations. It may also subject us to additional reporting obligations and oversight, if we become subject to a corporate integrity agreement,</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2" w:name="page73"/>
    <w:bookmarkEnd w:id="72"/>
    <w:p>
      <w:pPr>
        <w:jc w:val="both"/>
        <w:spacing w:after="0" w:line="266" w:lineRule="auto"/>
        <w:rPr>
          <w:sz w:val="20"/>
          <w:szCs w:val="20"/>
          <w:color w:val="auto"/>
        </w:rPr>
      </w:pPr>
      <w:r>
        <w:rPr>
          <w:rFonts w:ascii="Times New Roman" w:cs="Times New Roman" w:eastAsia="Times New Roman" w:hAnsi="Times New Roman"/>
          <w:sz w:val="18"/>
          <w:szCs w:val="18"/>
          <w:color w:val="auto"/>
        </w:rPr>
        <w:t>deferred prosecution agreement, or other agreement to resolve allegations of non-compliance with these laws. If any of the physicians or other providers or entities with whom we expect to do business is found not to be in compliance with applicable laws, they may be subject to similar criminal, civil or administrative sanctions, including exclusions from government funded healthcare programs.</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 In addition, we may incur substantial costs in order to comply with current or future environmental, health and safety laws and regulations. Current or future environmental laws and regulations may impair our research, development and production efforts, which could harm our business, prospects, financial condition or results of operations.</w:t>
      </w:r>
    </w:p>
    <w:p>
      <w:pPr>
        <w:spacing w:after="0" w:line="7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Compliance with U.S. and global privacy and security requirements could result in additional costs and liabilities to us or inhibit our ability to collect and process data globally, and the failure to comply with such requirements could expose us to criminal sanctions, civil penalties, contractual damages, reputational harm, administrative burdens and diminished profits and future earnings.</w:t>
      </w:r>
    </w:p>
    <w:p>
      <w:pPr>
        <w:spacing w:after="0" w:line="6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regulatory framework for the collection, use, safeguarding, sharing, transfer and other processing of information worldwide is rapidly evolving and is likely to remain uncertain for the foreseeable future. We possess and process sensitive information, including patient health information. In the U.S., there are numerous federal and state privacy and data security laws and regulations governing the collection, use, disclosure and protection of personal information, including health information privacy laws, security breach notification laws and consumer protection laws. These federal and state laws, in many cases, are not preempted by HIPAA and may be subject to varying interpretations by the courts and government agencies. These varying interpretations can create complex compliance issues for us and our partners and potentially expose us to additional expense, adverse publicity and liability, any of which could adversely affect our business. There is ongoing concern from privacy advocates, regulators and others regarding data privacy and security issues, and the number of jurisdictions with data privacy and security laws has been increasing. Also, there are ongoing public policy discussions regarding whether the standards for de-identification, anonymization or pseudonymization of health information are sufficient, and the risk of re-identification sufficiently small, to adequately protect patient privacy. We expect that there will continue to be new proposed and amended laws, regulations and industry standards concerning privacy, data protection and information security in the United States. For example, California enacted the California Consumer Privacy Act, or CCPA, a comprehensive privacy law that broadly defines personal information, gives California residents expanded rights to access and delete their personal information, and places stringent privacy and security obligations on businesses covered by the law, including obligations to provide detailed disclosures to California consumers about their data collection, use and sharing practices, and to provide such consumers with ways to opt out of certain sales or transfers of personal information. It also provides for civil penalties for violations, and allows for a private right of action for data breaches that is expected to increase data breach litigation. In addition, the CCPA was amended by the California Privacy Rights Act, or CPRA, which as of January 1, 2023, significantly modified the CCPA by expanding consumer rights with respect to certain sensitive information, and creating a new state agency that is vested with authority to implement and enforce the CCPA.</w:t>
      </w:r>
    </w:p>
    <w:p>
      <w:pPr>
        <w:spacing w:after="0" w:line="8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Comprehensive laws similar to the CCPA have been passed in numerous other states outside of California. These laws are substantially similar in scope and contain many of the same requirements and exceptions as the CCPA, including a general exemption for clinical trial data and limited obligations for entities regulated by HIPAA. However, we cannot yet determine the full impact these laws or other such future laws, regulations and standards may have on our current or future business. Any of these laws may broaden their scope in the future, and similar laws have been proposed on both a federal level and in more than half of the states in the U.S. In addition, a number of other states have proposed new privacy laws, some of which are similar to the above discussed recently passed laws. Such proposed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 Furthermore, in addition to comprehensive privacy laws, certain states have enacted laws to focus on particular more limited privacy laws. For example, the state of Washington has passed a law to protect medical and health information not subject to HIPAA. This law has a private right of action, which further increases the relevant compliance risk. Connecticut and Nevada</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3" w:name="page74"/>
    <w:bookmarkEnd w:id="73"/>
    <w:p>
      <w:pPr>
        <w:jc w:val="both"/>
        <w:spacing w:after="0" w:line="255" w:lineRule="auto"/>
        <w:rPr>
          <w:sz w:val="20"/>
          <w:szCs w:val="20"/>
          <w:color w:val="auto"/>
        </w:rPr>
      </w:pPr>
      <w:r>
        <w:rPr>
          <w:rFonts w:ascii="Times New Roman" w:cs="Times New Roman" w:eastAsia="Times New Roman" w:hAnsi="Times New Roman"/>
          <w:sz w:val="18"/>
          <w:szCs w:val="18"/>
          <w:color w:val="auto"/>
        </w:rPr>
        <w:t>have also passed similar laws regulating consumer health data. In addition, other states have proposed and/or passed legislation that regulates the privacy and/or security of certain specific types of information. For example, a small number of states have passed laws that regulate biometric information. The existence of comprehensive privacy laws in different states in the country would make our compliance obligations more complex and costly and may increase the likelihood that we may be subject to enforcement actions or otherwise incur liability for noncompliance. These various privacy and security laws may impact our business activities, including our identification of research subjects, relationships with business partners and ultimately the marketing and distribution of our products. State laws are changing rapidly and there have been proposals for a new comprehensive federal data privacy law to which we may likely become subject, if enacted.</w:t>
      </w:r>
    </w:p>
    <w:p>
      <w:pPr>
        <w:spacing w:after="0" w:line="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collection, use, storage, disclosure, transfer or other processing of personal data regarding individuals in the EEA and UK, including personal health data, is subject to the EU General Data Protection Regulation 2016/679, or EU GDPR, with respect to individuals in the EEA and the UK General Data Protection Regulation (following the incorporation of the EU GDPR into UK law), or UK GDPR, with respect to individuals in the UK, and together with the EU GDPR, GDPR. The GDPR is wide-ranging in scope and imposes numerous requirements on companies that process personal data, including requirements relating to having a legal basis or condition for processing personal data, stricter requirements relating to processing sensitive data (such as health data), where required by GDPR obtaining consent of the individuals to whom the personal data relates, providing information to individuals regarding data processing activities, implementing safeguards to protect the security and confidentiality of personal data, providing notification of data breaches, requiring data protection impact assessments for high risk processing and taking certain measures when engaging third-party processors. The GDPR permits data protection authorities to impose large penalties for violations of the GDPR, including potential fines of up to €20 million (£17.5 million for the UK)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The GDPR increased our responsibility and liability in relation to personal data that we process where such processing is subject to the GDPR, and we may be required to put in place additional mechanisms to ensure compliance with the GDPR, including as implemented by individual countries. Compliance with the GDPR is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w:t>
      </w:r>
    </w:p>
    <w:p>
      <w:pPr>
        <w:spacing w:after="0" w:line="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GDPR provides that EEA Member States may make their own further laws and regulations in relation to the processing of genetic, biometric or health data, which could result in differences between Member States, limit our ability to use and share personal data or could cause our costs to increase, and harm our business and financial condition.</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GDPR also imposes strict rules on the transfer of personal data to countries outside the EEA and UK not deemed adequate for the transfer of such personal data by competent data protection authorities, or third countries, including the United States in certain circumstances unless a derogation exists or we may need to incorporate a GDPR transfer mechanism (such as the European Commission approved standard contractual clauses, or SCCs or the UK International Data Transfer Addendum, or IDTA) into our agreements with third parties to govern such transfers of personal data and carry out transfer impact assessments. Further, the European Union and United States have adopted its adequacy decision for the EU-U.S. Data Privacy Framework, or the Framework, which entered into force on July 11, 2023. This Framework provides that the protection of personal data transferred between the European Union and the United States is comparable to that offered in the European Union. This provides a further avenue to ensuring transfers to the United States are carried out in line with GDPR. There has been an extension to the Framework to cover UK transfers to the United States. The Framework could be challenged like its predecessor frameworks. The international transfer obligations under the EEA and UK data protection regimes will require effort and cost and may result in us needing to make strategic considerations around where EEA/UK personal data is located and which service providers we can utilize for the processing of EEA/UK personal data.</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Although the UK is regarded as a third country under the EU GDPR, the European Commission has issued an “Adequacy Decision” recognizing the UK as providing adequate protection under the EU GDPR and, therefore, transfers of personal data subject to the EU GDPR to the UK remain unrestricted. The UK government has confirmed that personal data transfers from the UK to the EEA remain free flowing. The UK Government introduced the Data Protection and Digital Information Bill, which failed in the UK legislative process. A new Data (Use and Access) Bill, or the UK Bill, has been introduced into parliament. If passed, the final version of the UK Bill may have the effect of further altering the similarities between the UK and EU data protection regime and threaten the UK Adequacy Decision from the EU Commission. This may lead to additional compliance costs and could increase our overall risk.</w:t>
      </w:r>
    </w:p>
    <w:p>
      <w:pPr>
        <w:spacing w:after="0" w:line="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EEA, the NIS 2 Directive, or NIS 2, is replacing the cybersecurity legal framework under the current NIS framework, aiming to ensure a high level of cybersecurity in the region. NIS 2 expands on the scope of the current NIS framework, extending to additional sectors and expanding the list of in-scope healthcare organisations providing services in the EEA, including to certain providers engaged in research and development of medicinal products. To the extent applicable, the new regime imposes direct obligations on management regarding compliance with NIS 2, requiring covered organisations to put in place certain cyber risk management measures, and strengthens incident reporting requirements and provides supervisory authorities with greater oversight. The majority of these obligations will not come into force until national legislation implementing NIS 2 becomes effective in the relevant EU Member State. EU Member States had until October 17, 2024 to transpose NIS 2 into national legislation, although</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4" w:name="page75"/>
    <w:bookmarkEnd w:id="74"/>
    <w:p>
      <w:pPr>
        <w:jc w:val="both"/>
        <w:spacing w:after="0" w:line="266" w:lineRule="auto"/>
        <w:rPr>
          <w:sz w:val="20"/>
          <w:szCs w:val="20"/>
          <w:color w:val="auto"/>
        </w:rPr>
      </w:pPr>
      <w:r>
        <w:rPr>
          <w:rFonts w:ascii="Times New Roman" w:cs="Times New Roman" w:eastAsia="Times New Roman" w:hAnsi="Times New Roman"/>
          <w:sz w:val="18"/>
          <w:szCs w:val="18"/>
          <w:color w:val="auto"/>
        </w:rPr>
        <w:t>many countries have still not completed this process. As such, the cybersecurity regulatory landscape in the EU is currently fragmented and uncertain. To the extent we become subject to NIS 2, we may need to increase investment in our cybersecurity compliance programs. Under NIS 2, companies may be subject to administrative fines of up to the higher amount of €10 million or 2% of worldwide annual revenue.</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All of these evolving compliance and operational requirements impose potentially significant costs, such as costs related to organizational changes, implementing additional protection technologies, training employees and engaging consultants and legal advisors, which are likely to increase over time. In addition, such requirements may require us to modify our data processing practices and policies, utilize management’s time and/or divert resources from other initiatives and projects. If we or third-party CDMOs, CROs or other contractors or consultants fail to comply with U.S. and international data protection laws and regulations, it could result in government enforcement actions (which could include civil or criminal penalties), private litigation, and/or adverse publicity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 financial condition, results of operations and prospects.</w:t>
      </w:r>
    </w:p>
    <w:p>
      <w:pPr>
        <w:spacing w:after="0" w:line="8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use of new and evolving technologies, such as artificial intelligence, in our business may result in spending material resources and presents risks and challenges that can impact our business including by posing security and other risks to our confidential and/or proprietary information, including personal information, and as a result we may be exposed to reputational harm and liability.</w:t>
      </w:r>
    </w:p>
    <w:p>
      <w:pPr>
        <w:spacing w:after="0" w:line="6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may use and integrate artificial intelligence, or AI, into our business processes, and this innovation presents risks and challenges that could affect its adoption, and therefore our business. If we enable or offer solutions that draw controversy due to perceived or actual negative societal impact, we may experience brand or reputational harm, competitive harm or legal liability. The use of certain AI technology can give rise to intellectual property risks, including compromises to proprietary intellectual property and intellectual property infringement. To the extent we develop our own AI systems, then the risk of intellectual property infringement could arise from third party data sources being used to train our AI models, and from the output of AI systems reproducing or incorporating third party intellectual property rights, in each case without the right to do so. Further, a risk of our proprietary intellectual property rights being compromised through the use of AI could arise through third party vendors using our data to train their models and/or to generate output for other users of their systems. If our third party vendors use our data (which includes personal data) to train their AI models and/or to generate output for other users of their systems, this could also give rise to regulatory risks. Additionally, we expect to see increasing government and supranational regulation related to AI use and ethics, which may also significantly increase the burden and cost of research, development and compliance in this area. For example, the European Union’s Artificial Intelligence Act, or the AI Act, the world’s first comprehensive AI law, entered into force in August 2024 and, with some exceptions, became effective in August 2025. This legislation imposes significant obligations on providers and deployers of high risk AI systems, and encourages providers and deployers of AI systems to account for European Union ethical principles in their development and use of these systems. If we develop or use AI systems that are governed by the AI Act, it may necessitate ensuring higher standards of data quality, transparency, and human oversight, as well as adhering to specific and potentially burdensome and costly ethical, accountability, and administrative requirements. The rapid evolution of AI will require the application of significant resources to design, develop, test and maintain our products and services to help ensure that AI is implemented in accordance with applicable law and regulation and in a socially responsible manner and to minimize any real or perceived unintended harmful impacts. Our vendors may in turn incorporate AI tools into their offerings, and the providers of these AI tools may not meet existing or rapidly evolving regulatory or industry standards, including with respect to privacy and data security. Further, bad actors around the world use increasingly sophisticated methods, including the use of AI, to engage in illegal activities involving the theft and misuse of personal information, confidential information and intellectual property. Any of these effects could damage our reputation, result in the loss of valuable property and information, cause us to breach applicable laws and regulations, and adversely impact our business.</w:t>
      </w:r>
    </w:p>
    <w:p>
      <w:pPr>
        <w:spacing w:after="0" w:line="9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Laws and regulations governing any international operations we may have in the future may preclude us from developing, manufacturing and selling certain products outside of the United States and require us to develop and implement costly compliance programs.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we expand our operations outside of the United States, we must dedicate additional resources to comply with numerous laws and regulations in each jurisdiction in which we plan to operate. The Foreign Corrupt Practices Act, or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5" w:name="page76"/>
    <w:bookmarkEnd w:id="75"/>
    <w:p>
      <w:pPr>
        <w:jc w:val="both"/>
        <w:spacing w:after="0" w:line="261" w:lineRule="auto"/>
        <w:rPr>
          <w:sz w:val="20"/>
          <w:szCs w:val="20"/>
          <w:color w:val="auto"/>
        </w:rPr>
      </w:pPr>
      <w:r>
        <w:rPr>
          <w:rFonts w:ascii="Times New Roman" w:cs="Times New Roman" w:eastAsia="Times New Roman" w:hAnsi="Times New Roman"/>
          <w:sz w:val="18"/>
          <w:szCs w:val="18"/>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Employee Matters and Managing Growth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executives and experienced scientists and to attract, retain, and motivate qualified personnel.</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highly dependent on many of our key employees and members of our executive management team as well as the other principal members of our management, scientific and clinical teams. Although we have entered into employment letter agreements with certain of our executive officers, each of them may terminate their employment with us at any time. We do not maintain “key person” insurance for any of our executives or other employees.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Recruiting and retaining qualified scientific, clinical, manufacturing and sales and marketing personnel will also be critical to our success. The loss of the services of our executive officers or other key employees, including temporary loss due to illness,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Failure to succeed in clinical trials may make it more challenging to recruit and retain qualified scientific personnel.</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particular, we have experienced a very competitive hiring environment in the greater Boston area of Massachusetts, where we are headquartered. 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with which we can discover and develop product candidates and our business will be limited.</w:t>
      </w:r>
    </w:p>
    <w:p>
      <w:pPr>
        <w:spacing w:after="0" w:line="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adequately protect our information systems and infrastructure from cyberattacks or security compromises, cybersecurity incidents or data breaches, which could result in the disclosure of confidential or proprietary information, including personal data, damage our reputation, and subject us to significant financial and legal exposure.</w:t>
      </w:r>
    </w:p>
    <w:p>
      <w:pPr>
        <w:spacing w:after="0" w:line="6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rely on information technology systems and infrastructure that we or our third-party providers operate to process, transmit and store electronic information in our day-to-day operations. In connection with our product discovery efforts, we may collect and use a variety of personal data and other confidential and/or proprietary data, such as names, mailing addresses, email addresses, phone numbers and clinical trial information. A successful cyberattack could result in the theft, destruction or misuse of intellectual property, data, or other misappropriation of assets, or otherwise compromise our confidential or proprietary information and disrupt our operations. Cyberattacks generally are increasing in their frequency, sophistication and intensity, and have become increasingly difficult to detect. Cyberattacks could include wrongful conduct by hostile foreign governments, insiders such as employees, contractors or other third-parties and industrial espionage, wire fraud and other forms of cyber fraud, the deployment of harmful malware, ransomware, denial-of-service, social engineering fraud (including phishing attacks) or other means to threaten or compromise the security, confidentiality, integrity and availability of systems and information. A successful cyberattack could cause serious negative consequences for us, including, without limitation, the disruption of operations, the misappropriation of protected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6" w:name="page77"/>
    <w:bookmarkEnd w:id="76"/>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or confidential business information, including personal data, financial information, trade secrets, financial loss and the disclosure of corporate strategic plans.</w:t>
      </w:r>
    </w:p>
    <w:p>
      <w:pPr>
        <w:spacing w:after="0" w:line="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Like other companies in our industry, we, and our third party vendors, have experienced, and will continue to experience, cybersecurity threats and incidents relating to our information technology systems and infrastructure. Although we devote resources designed to protect our information systems and infrastructure, we realize that cyberattacks are a threat, and there can be no assurance that our efforts will prevent or adequately address information security compromises, incidents or breaches that would result in business, legal, financial or reputational harm to it, or would have a material adverse effect on our results of operations and financial condition. Any failure to prevent or mitigate cybersecurity incidents, data breaches, compromises or other improper access to, use of, or disclosure of protected information, including our clinical data or patients’ personal data could require us to notify impacted stakeholders (including affected individuals, regulators and investors) and result in significant liability through litigation and regulatory investigations and enforcement actions, including under state (e.g., state breach notification and consumer protection laws), federal (e.g., HIPAA, as amended by the Health Information Technology for Economic and Clinical Health Act of 2009 ("HITECH")), and international law (e.g., the GDPR), and may cause a material adverse impact to our reputation, affect our ability to conduct new studies and potentially disrupt our business.</w:t>
      </w:r>
    </w:p>
    <w:p>
      <w:pPr>
        <w:spacing w:after="0" w:line="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rely on our third-party providers to implement effective security measures and identify and correct for any such failures, deficiencies, vulnerabilities, compromises, cybersecurity incidents or data breaches. We also rely on our employees and consultants to safeguard their security credentials and follow our policies and procedures regarding use and access of computers and other devices that may contain protected information and our sensitive information. If we or our third-party providers fail to maintain or protect our information technology systems, infrastructure and data integrity effectively or fail to anticipate, plan for or manage significant disruptions to our information technology systems and infrastructure, we or our third-party providers could have difficulty preventing, detecting and controlling such cyber-attacks, and any such attacks could result in the losses described above as well as disputes with physicians, patients and our partners, regulatory sanctions or penalties, increases in operating expenses, expenses or lost revenue or other adverse consequences, any of which could have a material adverse effect on our business, results of operations, financial condition, prospects and cash flows. Any failure by such third parties to prevent or adequately mitigate cybersecurity incidents, data breaches, compromises or other improper access to or disclosure of such information could have similarly adverse consequences for us. If we are unable to prevent or adequately mitigate the impact of such cybersecurity incidents, compromises or data breaches, we could be exposed to litigation and governmental investigations, inquiries, orders, penalties or fines, which could lead to a potential disruption to our business and financial penalties or losses. By way of example, the CCPA, which was modified by the CPRA, creates individual privacy rights for California consumers and increases the privacy and security obligations of entities handling certain personal data. The CCPA provides for civil penalties of up to $7,500 per violation, as well as a private right of action for data breaches that has, and is expected to continue to, increase the volume of data breach related litigation filed in California. Our contracts may not contain limitations of liability, and even where they do, there can be no assurance that limitations of liability in our contracts are sufficient to protect us from liabilities, damages, or claims related to our privacy and data security obligations. Further, although we maintain cyber liability insurance, this insurance may not provide adequate coverage against potential liabilities related to any experienced cybersecurity incident or data breach.</w:t>
      </w:r>
    </w:p>
    <w:p>
      <w:pPr>
        <w:spacing w:after="0" w:line="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September 30, 2025, we had 142 full-time employees and no part-time employees. We expect to experience significant growth in the number of our employees and the scope of our operations, particularly as we mature as a public company and in the areas of product development, regulatory affairs and, in anticipation of the potential regulatory approval of bitopertin,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acquired, and in the future may acquire additional, businesses or products, and we may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the Company’s current and projected business operations and its financial condition and results of operations.</w:t>
      </w: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7" w:name="page78"/>
    <w:bookmarkEnd w:id="77"/>
    <w:p>
      <w:pPr>
        <w:jc w:val="both"/>
        <w:spacing w:after="0" w:line="253" w:lineRule="auto"/>
        <w:rPr>
          <w:sz w:val="20"/>
          <w:szCs w:val="20"/>
          <w:color w:val="auto"/>
        </w:rPr>
      </w:pPr>
      <w:r>
        <w:rPr>
          <w:rFonts w:ascii="Times New Roman" w:cs="Times New Roman" w:eastAsia="Times New Roman" w:hAnsi="Times New Roman"/>
          <w:sz w:val="18"/>
          <w:szCs w:val="18"/>
          <w:color w:val="auto"/>
        </w:rPr>
        <w:t>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Silicon Valley Bank, or SVB, was closed by the California Department of Financial Protection and Innovation, which appointed the Federal Deposit Insurance Corporation, or FDIC, as receiver. Similarly, on March 12, 2023, Signature Bank and Silvergate Capital Corp. were each placed into receivership. Although a statement by the Department of the Treasury, the Federal Reserve and the FDIC indicated that all depositors of SVB (such as our Company) would have access to all of their money after only one business day of closure, including funds held in uninsured deposit accounts, borrowers under credit agreements, letters of credit and certain other financial instruments with SVB, Signature Bank or any other financial institution that is placed into receivership by the FDIC may be unable to access undrawn amounts thereunder. Subsequent to these events, additional financial institutions have experienced similar failures and have been placed into receivership. It is possible that other banks will face similar difficulty in the future.</w:t>
      </w:r>
    </w:p>
    <w:p>
      <w:pPr>
        <w:spacing w:after="0" w:line="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Although we assess our banking relationships as we believe necessary or appropriate, our access to funding sources and other credit arrangements in amounts adequate to finance or capitalize our current and projected future business operations could be significantly impaired by factors that affect the Company, the financial institutions with which the Company has credit agreements or arrangements directly, such as Hercules Capital,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the Company has financial or business relationships, but could also include factors involving financial markets or the financial services industry generally.</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 may adversely affect us or our investors.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rules dealing with U.S. federal, state and local income taxation are constantly under review by persons involved in the legislative process and by the Internal Revenue Service, or IRS, and the U.S. Treasury Department. Changes to tax laws (which changes may have retroactive application) could adversely affect us or holders of our common stock. In recent years, many such changes have been made and changes are likely to continue to occur in the future. For example, on July 4, 2025, President Donald Trump signed the “One Big Beautiful Bill Act,” or OBBBA, into law, which is considered the enactment date under U.S. GAAP. Key corporate tax provisions include the restoration of 100% bonus depreciation, immediate expensing for domestic research and experimental expenditures, changes to Section 163(j) interest limitations, updates to GILTI and FDII rules, amendments to energy credits, and expanded Section 162(m) aggregation requirements. In accordance with ASC 740, the effects of the new tax law will be recognized in the period of enactment. The Company is currently evaluating the impact of the OBBBA, and does not expect the legislation to have a material financial statement effect. It cannot be predicted whether, when, in what form or with what effective dates tax laws, regulations and rulings may be enacted, promulgated or issued, which could result in an increase in our or our stockholders’ tax liability or require changes in the manner in which we operate in order to minimize or mitigate any adverse effects of changes in tax law. Prospective investors should consult their tax advisors regarding the potential consequences of changes in tax law on our business and on the ownership and disposition of our common stock.</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taxable income may be subject to certain limitations.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of December 31, 2024, we had federal and state net operating loss carryforwards of $117.9 million and $133.8 million, respectively. Substantially all of the federal NOLs are not subject to expiration and the state NOLs begin to expire in 2037. As of December 31, 2024, we also had federal and state research and development tax credit carryforwards of $19.0 million and $2.8 million, respectively, which begin to expire in 2034. These net operating loss and tax credit carryforwards could expire unused and be unavailable to offset future income tax liabilities. Under current law, unused U.S. federal and certain state net operating losses generated for tax years beginning after December 31, 2017 are not subject to expiration and may be carried forward indefinitely. Such U.S. federal net operating losses generally may not be carried back to prior taxable years, except that, net operating losses generated in 2019, 2020 and 2021 may be carried back to each of the five tax years preceding the tax years of such losses. For taxable years beginning after December 31, 2020, the deductibility of U.S. federal net operating losses generated for tax years beginning after December 31, 2017 is limited to 80% of our taxable income in any future taxable year. In addition, in general, under Sections 382 and 383 of the Internal Revenue Code of 1986, as amended, or the Code, a corporation that undergoes an “ownership change” is subject to limitations on its ability to utilize its pre-change net operating losses or tax credits, or NOLs or credits, to</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8" w:name="page79"/>
    <w:bookmarkEnd w:id="78"/>
    <w:p>
      <w:pPr>
        <w:jc w:val="both"/>
        <w:spacing w:after="0" w:line="255" w:lineRule="auto"/>
        <w:rPr>
          <w:sz w:val="20"/>
          <w:szCs w:val="20"/>
          <w:color w:val="auto"/>
        </w:rPr>
      </w:pPr>
      <w:r>
        <w:rPr>
          <w:rFonts w:ascii="Times New Roman" w:cs="Times New Roman" w:eastAsia="Times New Roman" w:hAnsi="Times New Roman"/>
          <w:sz w:val="18"/>
          <w:szCs w:val="18"/>
          <w:color w:val="auto"/>
        </w:rPr>
        <w:t>offset future taxable income or taxes. For these purposes, an ownership change generally occurs when one or more stockholders or groups of stockholders who each owns at least 5% of a corporation’s stock increase their aggregate stock ownership by more than 50 percentage points over their lowest ownership percentage within a specified testing period. Our existing NOLs or credits may be subject to limitations arising from previous ownership changes, and if we undergo an ownership change, our ability to utilize NOLs or credits could be further limited by Sections 382 and 383 of the Code. In addition, future changes in our stock ownership, many of which are outside of our control, could result in an ownership change under Sections 382 and 383 of the Code. Our NOLs or credits may also be impaired under state law. Accordingly, we may not be able to utilize a material portion of our NOLs or credits.</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Among other matters, U.S. and foreign anti-corruption, anti-money laundering, export control, sanctions and other trade laws and regulations, which are collectively referred to as Trade Laws, prohibit companies and their employees, agents, CROs,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currently engage, and expect to continue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spacing w:after="0" w:line="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Significant political, trade or regulatory developments, unfavorable global economic conditions, and other circumstances beyond our control, could have a material adverse effect on our business, financial condition or results of operations.</w:t>
      </w:r>
    </w:p>
    <w:p>
      <w:pPr>
        <w:spacing w:after="0" w:line="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For example, in 2008, the global financial crisis caused extreme volatility and disruptions in the capital and credit markets and the COVID-19 pandemic caused significant volatility and uncertainty in U.S. and international markets. See “Risks Related to the Discovery and Development of Our Product Candidates-A pandemic, epidemic, or outbreak of an infectious or highly contagious disease may materially and adversely affect our business and financial results and could cause a disruption to the development of our product candidates.” Interest rates in the U.S. have recently increased to levels not seen in decades. In addition, the impact of geopolitical tension, such as a deterioration in the bilateral relationship between the United States and China or an escalation in conflict between Russia and Ukraine and between Israel and Hamas, including any resulting sanctions, export controls or other restrictive actions, also could lead to disruption, instability and volatility in the global markets. For example, in 2025, the United States imposed tariffs on imports on its trading partners, including Canada, Mexico, the EU and China. Historically, tariffs have led to increased political and trade tensions. In response to tariffs, other countries have implemented retaliatory tariffs on U.S. goods. Political tensions as a result of trade policies could reduce trade volume, investment, technological exchange and other economic activities between major international economies, resulting in a material adverse effect on global economic conditions and the stability of global financial markets. A severe or prolonged economic downturn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products. Any of the foregoing could harm our business and we cannot anticipate all of the ways in which the current economic climate and financial market conditions could adversely impact our business.</w:t>
      </w:r>
    </w:p>
    <w:p>
      <w:pPr>
        <w:spacing w:after="0" w:line="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principal investigators, CROs and consultants may engage in misconduct or other improper activities, including non-compliance with regulatory standards and requirements or insider trading.</w:t>
      </w:r>
    </w:p>
    <w:p>
      <w:pPr>
        <w:spacing w:after="0" w:line="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exposed to the risk that our employees,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other regulatory authorities, including those laws requiring the reporting of true, complete and accurate information to such authorities; healthcare fraud and abuse laws and regulations in the United States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Other activities subject to these laws include the improper use of information obtained in the course of clinical trials or creating fraudulent data in our preclinical studies or clinical trials, which could result in regulatory sanctions and cause serious harm to our reputation. We have adopted a code of conduct applicable to all of our employees,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9" w:name="page80"/>
    <w:bookmarkEnd w:id="79"/>
    <w:p>
      <w:pPr>
        <w:jc w:val="both"/>
        <w:spacing w:after="0" w:line="261" w:lineRule="auto"/>
        <w:rPr>
          <w:sz w:val="20"/>
          <w:szCs w:val="20"/>
          <w:color w:val="auto"/>
        </w:rPr>
      </w:pPr>
      <w:r>
        <w:rPr>
          <w:rFonts w:ascii="Times New Roman" w:cs="Times New Roman" w:eastAsia="Times New Roman" w:hAnsi="Times New Roman"/>
          <w:sz w:val="18"/>
          <w:szCs w:val="18"/>
          <w:color w:val="auto"/>
        </w:rPr>
        <w:t>successful in defending ourself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is expected to be volatile.</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market price of our common stock could be subject to significant fluctuations. Some of the factors that may cause the market price of our common stock to fluctuate include:</w:t>
      </w:r>
    </w:p>
    <w:p>
      <w:pPr>
        <w:spacing w:after="0" w:line="54" w:lineRule="exact"/>
        <w:rPr>
          <w:sz w:val="20"/>
          <w:szCs w:val="20"/>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and preclinical studies of our product candidates, or those of our competitors or our existing or future collaborators;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financial and development projections we may provide to the public;</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the financial and development projections of the investment community;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significant acquisitions, strategic collaborations, joint ventures or capital commitments by us or our competitors;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regulatory agencies with respect to our product candidates, clinical studies, manufacturing process or sales and marketing terms;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patent protection for our technologies;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patent or stockholder litigation;</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do not publish research or reports about our business, or if they issue adverse or misleading opinions regarding our business and stock;</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similar companies;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or macroeconomic conditions or market conditions in the pharmaceutical and biotechnology sectors;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securities by us or our securityholders in the future;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raise an adequate amount of capital to fund our operations and continued development of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competitors of new commercial products, clinical progress or lack thereof, significant contracts, commercial relationships or capital commitments;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relating to precision medicine product candidates, including with respect to other products in such markets;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technological innovations or new therapies that compete with our products and services;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fluctuations in our financial results.</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Moreover, the stock markets in general have experienced substantial volatility that has often been unrelated to the operating performance of individual companies. These broad market fluctuations may also adversely affect the trading price of our common stock. In addition, a recession, depression or other sustained adverse market event could materially and adversely affect our business and the value of our common stock. In the past, following periods of volatility in the market price of a company’s securities, stockholders have often instituted class action securities litigation against such companies. Furthermore, market volatility may lead to increased shareholder activism if we experience a market valuation that activists believe is not reflective of our intrinsic value. Activist campaigns that contest or conflict with our strategic direction or seek changes in the composition of our board of directors could have an adverse effect on our operating results and financial condition.</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increased costs and increased demands upon management as a result of complying with the laws and regulations affecting public companies.</w:t>
      </w:r>
    </w:p>
    <w:p>
      <w:pPr>
        <w:spacing w:after="0" w:line="5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will continue to incur significant legal, accounting and other expenses as a public company that we did not incur as a private company, including costs associated with public company reporting obligations under the Securities Exchange Act of 1934, as amended, or the Exchange Act. The Sarbanes-Oxley Act of 2002, the Dodd-Frank Wall Street Reform and Consumer Protection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0" w:name="page81"/>
    <w:bookmarkEnd w:id="80"/>
    <w:p>
      <w:pPr>
        <w:jc w:val="both"/>
        <w:spacing w:after="0" w:line="254" w:lineRule="auto"/>
        <w:rPr>
          <w:sz w:val="20"/>
          <w:szCs w:val="20"/>
          <w:color w:val="auto"/>
        </w:rPr>
      </w:pPr>
      <w:r>
        <w:rPr>
          <w:rFonts w:ascii="Times New Roman" w:cs="Times New Roman" w:eastAsia="Times New Roman" w:hAnsi="Times New Roman"/>
          <w:sz w:val="18"/>
          <w:szCs w:val="18"/>
          <w:color w:val="auto"/>
        </w:rPr>
        <w:t>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Our management and other personnel devote and will need to continue to devote a substantial amount of time to these compliance initiatives. Moreover, these rules and regulations have increased and will continue to increase our legal and financial compliance costs and will make some activities more time-consuming and costly.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the board of directors or on board committees or to serve as executive officers, or to obtain certain types of insurance, including directors’ and officers’ insurance, on acceptable terms.</w:t>
      </w:r>
    </w:p>
    <w:p>
      <w:pPr>
        <w:spacing w:after="0" w:line="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Effective internal control over financial reporting is necessary for us to provide reliable financial reports and, together with adequate disclosure controls and procedures, is designed to prevent fraud. Any failure to implement required new or improved controls, or difficulties encountered in their implementation could cause us to fail to meet our reporting obligations. As described further below, we have identified a material weakness in our internal control over financial reporting. Any testing by us conducted in connection with Section 404, or any testing by our independent registered public accounting firm, may reveal additional deficiencies in our internal control over financial reporting that are deemed to be material weaknesses or that may require prospective or retroactive changes to our financial statements or identify other areas for further attention or improvement.</w:t>
      </w:r>
    </w:p>
    <w:p>
      <w:pPr>
        <w:spacing w:after="0" w:line="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Section 404, we are required to furnish a report by our management on our internal control over financial reporting. To continue to achieve and maintain compliance with Section 404, we engage in a process to document and evaluate our internal control over financial reporting, which is both costly and challenging. In this regard, we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from time to time we may not be able to conclude that our internal control over financial reporting is effective as required by Section 404, as is the case in this Annual Report on Form 10-K, due to the material weakness identified and described below. Additionally, the material weakness in our internal control over financial reporting has resulted in our management being unable to conclude, and any additional material weakness in our internal control over financial reporting may in the future result in our management being unable to conclude, that our disclosure controls and procedures were effective for the applicable period.</w:t>
      </w:r>
    </w:p>
    <w:p>
      <w:pPr>
        <w:spacing w:after="0" w:line="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as we no longer qualify as a non-accelerated filer or an emerging growth company, we are required to include an attestation report on internal control over financial reporting issued by our independent registered public accounting firm. If we are unable to maintain effective internal control over financial reporting, we may not have adequate, accurate or timely financial information, and our independent registered public accounting firm may issue a report that is adverse. A material weakness could result in a restatement of our financial statements, failure to meet our reporting obligations in a timely manner, the imposition of sanctions, including the inability of registered broker dealers to make a market in our common stock, or investigation by regulatory authorities. Any such action or other negative results caused by our inability to meet our reporting requirements or comply with legal and regulatory requirements or by disclosure of an accounting, reporting or control issue could adversely affect the trading price of our securities and our business. Ineffective internal control over financial reporting could also reduce our ability to obtain financing or could increase the cost of any financing we obtain. Any of these could, in turn, result in an adverse reaction in the financial markets due to a loss of confidence in the reliability of our financial statements.</w:t>
      </w:r>
    </w:p>
    <w:p>
      <w:pPr>
        <w:spacing w:after="0" w:line="8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a material weakness in our internal controls over financial reporting and may identify additional material weaknesses in the future or otherwise fail to maintain an effective system of internal controls, which may result in material misstatements of our consolidated financial statements or cause us to fail to meet our periodic reporting obligations.</w:t>
      </w:r>
    </w:p>
    <w:p>
      <w:pPr>
        <w:spacing w:after="0" w:line="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 We identified a material weakness in internal control related to a lack of design and maintenance of effective Information Technology General Controls, or ITGCs, over certain key financial IT systems. As a result, the related business process controls (specifically, the IT application controls and IT-dependent manual controls) that are dependent on the ineffective ITGCs, or that use information produced from the systems impacted by the ineffective ITGCs, were also ineffective. Although the material weakness identified above did not result in any material misstatements in our consolidated financial statements for the periods presented and there were no changes to previously released financial results, our management concluded that these control deficiencies constitute a material weakness and that our internal control over financial reporting was not effective as of December 31, 2024.</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1" w:name="page82"/>
    <w:bookmarkEnd w:id="81"/>
    <w:p>
      <w:pPr>
        <w:jc w:val="both"/>
        <w:spacing w:after="0" w:line="253" w:lineRule="auto"/>
        <w:rPr>
          <w:sz w:val="20"/>
          <w:szCs w:val="20"/>
          <w:color w:val="auto"/>
        </w:rPr>
      </w:pPr>
      <w:r>
        <w:rPr>
          <w:rFonts w:ascii="Times New Roman" w:cs="Times New Roman" w:eastAsia="Times New Roman" w:hAnsi="Times New Roman"/>
          <w:sz w:val="18"/>
          <w:szCs w:val="18"/>
          <w:color w:val="auto"/>
        </w:rPr>
        <w:t>Our management, under the oversight of the Audit Committee of our Board of Directors and in consultation with outside advisors, has begun evaluating and implementing measures designed to remediate the material weakness. In particular, we are taking steps to remediate this material weakness by (i) developing and implementing additional training and awareness programs addressing ITGCs and policies, including educating control owners concerning the principles and requirements of each control, with a focus on user access; (ii) increasing the extent of oversight and verification checks included in the operation of user access and program change management controls and processes; (iii) deploying additional tools to support administration of user access and program change management; and (iv) enhancing quarterly management reporting on the remediation measures to the Audit Committee of the Board of Directors. The above controls need to operate for a sufficient period of time so that management can conclude that our controls are operating effectively. As such, the material weakness will not be considered remediated until management has concluded through the implementation of these remediation measures and additional testing that these controls are effective. Additionally, a material weakness in our internal control over financial reporting has resulted in our management being unable to conclude, and any additional material weakness in our internal control over financial reporting may in the future result in our management being unable to conclude, that our disclosure controls and procedures were effective for the applicable period.</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designing and implementing new controls and measures to remediate this material weakness as noted above. However, we cannot assure you that the measures we are taking will be sufficient to remediate the material weakness or avoid the identification of additional material weaknesses in the future. Our failure to implement and maintain effective internal control over financial reporting could result in errors in our consolidated financial statements that could result in a restatement of our financial statements and could cause us to fail to meet our periodic reporting obligations, any of which could diminish investor confidence in us and cause a decline in the price of our common stock.</w:t>
      </w:r>
    </w:p>
    <w:p>
      <w:pPr>
        <w:spacing w:after="0" w:line="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charter documents and under Delaware law could make an acquisition of us more difficult and may discourage any takeover attempts our stockholders may consider favorable, and may lead to entrenchment of management.</w:t>
      </w:r>
    </w:p>
    <w:p>
      <w:pPr>
        <w:spacing w:after="0" w:line="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Provisions of our amended and restated certificate of incorporation and amended and restated bylaws could delay or prevent changes in control or changes in management without the consent of the board of directors. These provisions will include the following:</w:t>
      </w:r>
    </w:p>
    <w:p>
      <w:pPr>
        <w:spacing w:after="0" w:line="54" w:lineRule="exact"/>
        <w:rPr>
          <w:sz w:val="20"/>
          <w:szCs w:val="20"/>
          <w:color w:val="auto"/>
        </w:rPr>
      </w:pPr>
    </w:p>
    <w:p>
      <w:pPr>
        <w:ind w:left="760" w:hanging="378"/>
        <w:spacing w:after="0" w:line="282" w:lineRule="auto"/>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board of directors divided into three classes serving staggered three-year terms, such that not all members of the board will be elected at one time;</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in the election of directors, which limits the ability of minority stockholders to elect director candidates;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means that all stockholder action must be taken at an annual or special meeting of the stockholders;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special meetings of stockholders be called only by the chairman of the board of directors, the Chief Executive Officer or by a majority of the total number of authorized directors;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stockholder proposals and nominations for election to the board of directors;</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no member of the board of directors may be removed from office by stockholders except for cause and, in addition to any other vote required by law, upon the approval of not less than two-thirds of all outstanding shares of voting stock then entitled to vote in the election of directors;</w:t>
      </w:r>
    </w:p>
    <w:p>
      <w:pPr>
        <w:spacing w:after="0" w:line="6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of approval of not less than two-thirds of all outstanding shares of voting stock to amend any bylaws by stockholder action or to amend specific provisions of the certificate of incorporation; and</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authority of the board of directors to issue preferred stock on terms determined by the board of directors without stockholder approval and which preferred stock may include rights superior to the rights of the holders of common stock.</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these provisions would apply even if we were to receive an offer that some stockholders may consider beneficial.</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also be subject to the anti-takeover provisions contained in Section 203 of the DGCL, or Section 203.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64"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and bylaws provide that the Court of Chancery of the State of Delaware is the exclusive forum for substantially all disputes between us and our stockholders, which could limit our stockholders’ ability to obtain a favorable judicial forum for disputes with us or our directors, officers or other employees.</w:t>
      </w:r>
    </w:p>
    <w:p>
      <w:pPr>
        <w:spacing w:after="0" w:line="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certificate of incorporation and bylaws provide that the Court of Chancery of the State of Delaware is the sole and exclusive forum for any derivative action or proceeding brought on our behalf, any action asserting a breach of fiduciary duty, any action asserting a claim against it arising pursuant to any provisions of the DGCL, our certificate of incorporation or our bylaws, or any action asserting a claim against us that is governed by the internal affairs doctrine. The exclusive forum provision does not apply to actions arising under the Exchange Act. Our amended and restated bylaws also provide that the federal district courts of the United States of America will be the exclusive forum for the resolution of any complaint asserting a cause of action under the Securities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2" w:name="page83"/>
    <w:bookmarkEnd w:id="82"/>
    <w:p>
      <w:pPr>
        <w:jc w:val="both"/>
        <w:spacing w:after="0" w:line="258" w:lineRule="auto"/>
        <w:rPr>
          <w:sz w:val="20"/>
          <w:szCs w:val="20"/>
          <w:color w:val="auto"/>
        </w:rPr>
      </w:pPr>
      <w:r>
        <w:rPr>
          <w:rFonts w:ascii="Times New Roman" w:cs="Times New Roman" w:eastAsia="Times New Roman" w:hAnsi="Times New Roman"/>
          <w:sz w:val="18"/>
          <w:szCs w:val="18"/>
          <w:color w:val="auto"/>
        </w:rPr>
        <w:t>Act. The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the certificate of incorporation and bylaws to be inapplicable or unenforceable in an action, we may incur additional costs associated with resolving such action in other jurisdictions, which could materially and adversely affect our business, financial condition and results of operations.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anticipate that we will pay any cash dividends in the foreseeable future.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current expectation is that we will retain our future earnings, if any, to fund the growth of our business as opposed to paying dividends. As a result, capital appreciation, if any, of our common stock will be your sole source of gain, if any, for the foreseeable future.</w:t>
      </w:r>
    </w:p>
    <w:p>
      <w:pPr>
        <w:spacing w:after="0" w:line="5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be sustained. If an active trading market is not sustained, our ability to raise capital in the future may be impaired.</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Given the limited trading history of our common stock, there is a risk that an active trading market for our shares may not be sustained, which could put downward pressure on the market price of our common stock and thereby affect your ability to sell shares you purchased. An inactive trading market for our common stock may also impair our ability to raise capital to continue to fund our operations by selling shares and impair our ability to acquire other companies or technologies by using our shares as consideration.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shares by existing stockholders could cause our stock price to decline.</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our existing securityholders sell, or indicate an intention to sell, substantial amounts of our common stock in the public market after legal restrictions on resale discussed in our Annual Report on Form 10-K for the year ended December 31, 2024 lapse, the trading price of our common stock could decline. As of September 30, 2025, we had 35,006,636 shares of common stock outstanding. All outstanding shares of common stock, other than shares held by our affiliates will be freely tradable, without restriction, in the public market. In addition, shares of common stock that are subject to outstanding options of ours will become eligible for sale in the public market to the extent permitted by the provisions of various vesting agreements and Rules 144 and 701 under the Securities Act. If these shares are sold, the trading price of our common stock could decline.</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and principal stockholders have the ability to control or significantly influence all matters submitted to our stockholders for approval.</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September 30, 2025, our executive officers, directors and principal stockholders, in the aggregate, beneficially owned approximately 38% of our outstanding shares of common stock. As a result, if these stockholders were to choose to act together, they would be able to significantly influence all matters submitted to our stockholders for approval, as well as our management and affairs. For example, these persons, if they choose to act together, would significantly influence the election of directors and approval of any merger, consolidation or sale of all or substantially all of our assets. This concentration of voting power could delay or prevent an acquisition of us on terms that other stockholders may desire.</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equity research analysts publish about us and our business. Equity research analysts may elect not to provide research coverage of our common stock, and such lack of research coverage may adversely affect the market price of our common stock. In the event we do have equity research analyst coverage, we will not have any control over the analysts or the content and opinions included in their reports. The price of our common stock could decline if one or more equity research analysts downgrade our stock or issue other unfavorable commentary or research. If one or more equity research analysts ceases coverage of us or fails to publish reports on us regularly, demand for our common stock could decrease, which in turn could cause our stock price or trading volume to decline.</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have broad discretion in the use of our cash, cash equivalents, and marketable securities and may invest or spend our cash, cash equivalents, and marketable securities in ways with which you do not agree and in ways that may not increase the value of your investment.</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will have broad discretion over the use of our cash, cash equivalents, and marketable securities. You may not agree with our decisions, and our use of our cash, cash equivalents, and marketable securities may not yield any return on your investment. Our failure to apply these resources effectively could compromise our ability to pursue our growth strategy and we might not be able to yield a significant return, if any, on our investment of these net proceeds. You will not have the opportunity to influence our decisions on how to use our cash resources.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(a) Recent Sales of Unregistered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(b) Use of Proceeds from Initial Public Offering</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 Issuer Purchases of Equity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discloses any officer (as defined in Rule 16a-1(f) under the Exchange Act) or director who entered into, modified or terminated a Rule 10b5-1 trading arrangement or non-Rule 10b5-1 trading arrangement (as such terms are defined in Item 408 of Regulation S-K) during the three months ended September 30, 2025:</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20" w:type="dxa"/>
            <w:vAlign w:val="bottom"/>
          </w:tcPr>
          <w:p>
            <w:pPr>
              <w:spacing w:after="0"/>
              <w:rPr>
                <w:sz w:val="13"/>
                <w:szCs w:val="13"/>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w:t>
            </w:r>
          </w:p>
        </w:tc>
        <w:tc>
          <w:tcPr>
            <w:tcW w:w="0" w:type="dxa"/>
            <w:vAlign w:val="bottom"/>
          </w:tcPr>
          <w:p>
            <w:pPr>
              <w:spacing w:after="0"/>
              <w:rPr>
                <w:sz w:val="1"/>
                <w:szCs w:val="1"/>
                <w:color w:val="auto"/>
              </w:rPr>
            </w:pPr>
          </w:p>
        </w:tc>
      </w:tr>
      <w:tr>
        <w:trPr>
          <w:trHeight w:val="68"/>
        </w:trPr>
        <w:tc>
          <w:tcPr>
            <w:tcW w:w="3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40" w:type="dxa"/>
            <w:vAlign w:val="bottom"/>
          </w:tcPr>
          <w:p>
            <w:pPr>
              <w:spacing w:after="0"/>
              <w:rPr>
                <w:sz w:val="5"/>
                <w:szCs w:val="5"/>
                <w:color w:val="auto"/>
              </w:rPr>
            </w:pPr>
          </w:p>
        </w:tc>
        <w:tc>
          <w:tcPr>
            <w:tcW w:w="1420" w:type="dxa"/>
            <w:vAlign w:val="bottom"/>
            <w:gridSpan w:val="2"/>
            <w:vMerge w:val="restart"/>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Action Taken</w:t>
            </w:r>
          </w:p>
        </w:tc>
        <w:tc>
          <w:tcPr>
            <w:tcW w:w="120" w:type="dxa"/>
            <w:vAlign w:val="bottom"/>
          </w:tcPr>
          <w:p>
            <w:pPr>
              <w:spacing w:after="0"/>
              <w:rPr>
                <w:sz w:val="5"/>
                <w:szCs w:val="5"/>
                <w:color w:val="auto"/>
              </w:rPr>
            </w:pPr>
          </w:p>
        </w:tc>
        <w:tc>
          <w:tcPr>
            <w:tcW w:w="1220" w:type="dxa"/>
            <w:vAlign w:val="bottom"/>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Duration or End</w:t>
            </w:r>
          </w:p>
        </w:tc>
        <w:tc>
          <w:tcPr>
            <w:tcW w:w="120" w:type="dxa"/>
            <w:vAlign w:val="bottom"/>
          </w:tcPr>
          <w:p>
            <w:pPr>
              <w:spacing w:after="0"/>
              <w:rPr>
                <w:sz w:val="5"/>
                <w:szCs w:val="5"/>
                <w:color w:val="auto"/>
              </w:rPr>
            </w:pPr>
          </w:p>
        </w:tc>
        <w:tc>
          <w:tcPr>
            <w:tcW w:w="100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060" w:type="dxa"/>
            <w:vAlign w:val="bottom"/>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Name and Title</w:t>
            </w:r>
          </w:p>
        </w:tc>
        <w:tc>
          <w:tcPr>
            <w:tcW w:w="3160" w:type="dxa"/>
            <w:vAlign w:val="bottom"/>
            <w:gridSpan w:val="2"/>
            <w:vMerge w:val="restart"/>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Type of Trading Arrangement</w:t>
            </w:r>
          </w:p>
        </w:tc>
        <w:tc>
          <w:tcPr>
            <w:tcW w:w="14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Trading</w:t>
            </w:r>
          </w:p>
        </w:tc>
        <w:tc>
          <w:tcPr>
            <w:tcW w:w="0" w:type="dxa"/>
            <w:vAlign w:val="bottom"/>
          </w:tcPr>
          <w:p>
            <w:pPr>
              <w:spacing w:after="0"/>
              <w:rPr>
                <w:sz w:val="1"/>
                <w:szCs w:val="1"/>
                <w:color w:val="auto"/>
              </w:rPr>
            </w:pPr>
          </w:p>
        </w:tc>
      </w:tr>
      <w:tr>
        <w:trPr>
          <w:trHeight w:val="68"/>
        </w:trPr>
        <w:tc>
          <w:tcPr>
            <w:tcW w:w="3060" w:type="dxa"/>
            <w:vAlign w:val="bottom"/>
            <w:vMerge w:val="continue"/>
          </w:tcPr>
          <w:p>
            <w:pPr>
              <w:spacing w:after="0"/>
              <w:rPr>
                <w:sz w:val="5"/>
                <w:szCs w:val="5"/>
                <w:color w:val="auto"/>
              </w:rPr>
            </w:pPr>
          </w:p>
        </w:tc>
        <w:tc>
          <w:tcPr>
            <w:tcW w:w="3160" w:type="dxa"/>
            <w:vAlign w:val="bottom"/>
            <w:gridSpan w:val="2"/>
            <w:vMerge w:val="continue"/>
          </w:tcPr>
          <w:p>
            <w:pPr>
              <w:spacing w:after="0"/>
              <w:rPr>
                <w:sz w:val="5"/>
                <w:szCs w:val="5"/>
                <w:color w:val="auto"/>
              </w:rPr>
            </w:pPr>
          </w:p>
        </w:tc>
        <w:tc>
          <w:tcPr>
            <w:tcW w:w="1420" w:type="dxa"/>
            <w:vAlign w:val="bottom"/>
            <w:gridSpan w:val="2"/>
            <w:vMerge w:val="restart"/>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(Date of Action)</w:t>
            </w:r>
          </w:p>
        </w:tc>
        <w:tc>
          <w:tcPr>
            <w:tcW w:w="120" w:type="dxa"/>
            <w:vAlign w:val="bottom"/>
          </w:tcPr>
          <w:p>
            <w:pPr>
              <w:spacing w:after="0"/>
              <w:rPr>
                <w:sz w:val="5"/>
                <w:szCs w:val="5"/>
                <w:color w:val="auto"/>
              </w:rPr>
            </w:pPr>
          </w:p>
        </w:tc>
        <w:tc>
          <w:tcPr>
            <w:tcW w:w="1220" w:type="dxa"/>
            <w:vAlign w:val="bottom"/>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Date</w:t>
            </w:r>
          </w:p>
        </w:tc>
        <w:tc>
          <w:tcPr>
            <w:tcW w:w="120" w:type="dxa"/>
            <w:vAlign w:val="bottom"/>
          </w:tcPr>
          <w:p>
            <w:pPr>
              <w:spacing w:after="0"/>
              <w:rPr>
                <w:sz w:val="5"/>
                <w:szCs w:val="5"/>
                <w:color w:val="auto"/>
              </w:rPr>
            </w:pPr>
          </w:p>
        </w:tc>
        <w:tc>
          <w:tcPr>
            <w:tcW w:w="100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 be</w:t>
            </w:r>
          </w:p>
        </w:tc>
        <w:tc>
          <w:tcPr>
            <w:tcW w:w="1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40" w:type="dxa"/>
            <w:vAlign w:val="bottom"/>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Arrangement</w:t>
            </w:r>
          </w:p>
        </w:tc>
        <w:tc>
          <w:tcPr>
            <w:tcW w:w="0" w:type="dxa"/>
            <w:vAlign w:val="bottom"/>
          </w:tcPr>
          <w:p>
            <w:pPr>
              <w:spacing w:after="0"/>
              <w:rPr>
                <w:sz w:val="1"/>
                <w:szCs w:val="1"/>
                <w:color w:val="auto"/>
              </w:rPr>
            </w:pPr>
          </w:p>
        </w:tc>
      </w:tr>
      <w:tr>
        <w:trPr>
          <w:trHeight w:val="109"/>
        </w:trPr>
        <w:tc>
          <w:tcPr>
            <w:tcW w:w="3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Sold</w:t>
            </w:r>
          </w:p>
        </w:tc>
        <w:tc>
          <w:tcPr>
            <w:tcW w:w="1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30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30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306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Jonathan Yu, M.B.A.</w:t>
            </w:r>
          </w:p>
        </w:tc>
        <w:tc>
          <w:tcPr>
            <w:tcW w:w="3160" w:type="dxa"/>
            <w:vAlign w:val="bottom"/>
            <w:gridSpan w:val="2"/>
            <w:shd w:val="clear" w:color="auto" w:fill="CFF0FC"/>
          </w:tcPr>
          <w:p>
            <w:pPr>
              <w:ind w:left="120"/>
              <w:spacing w:after="0" w:line="191" w:lineRule="exact"/>
              <w:rPr>
                <w:sz w:val="20"/>
                <w:szCs w:val="20"/>
                <w:color w:val="auto"/>
              </w:rPr>
            </w:pPr>
            <w:r>
              <w:rPr>
                <w:rFonts w:ascii="Times New Roman" w:cs="Times New Roman" w:eastAsia="Times New Roman" w:hAnsi="Times New Roman"/>
                <w:sz w:val="18"/>
                <w:szCs w:val="18"/>
                <w:color w:val="auto"/>
              </w:rPr>
              <w:t>Trading plan intended to satisfy the</w:t>
            </w:r>
          </w:p>
        </w:tc>
        <w:tc>
          <w:tcPr>
            <w:tcW w:w="1420" w:type="dxa"/>
            <w:vAlign w:val="bottom"/>
            <w:gridSpan w:val="2"/>
            <w:shd w:val="clear" w:color="auto" w:fill="CFF0FC"/>
          </w:tcPr>
          <w:p>
            <w:pPr>
              <w:ind w:left="120"/>
              <w:spacing w:after="0" w:line="191" w:lineRule="exact"/>
              <w:rPr>
                <w:sz w:val="20"/>
                <w:szCs w:val="20"/>
                <w:color w:val="auto"/>
              </w:rPr>
            </w:pPr>
            <w:r>
              <w:rPr>
                <w:rFonts w:ascii="Times New Roman" w:cs="Times New Roman" w:eastAsia="Times New Roman" w:hAnsi="Times New Roman"/>
                <w:sz w:val="18"/>
                <w:szCs w:val="18"/>
                <w:color w:val="auto"/>
              </w:rPr>
              <w:t>Adoption</w:t>
            </w:r>
          </w:p>
        </w:tc>
        <w:tc>
          <w:tcPr>
            <w:tcW w:w="12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End Date</w:t>
            </w:r>
          </w:p>
        </w:tc>
        <w:tc>
          <w:tcPr>
            <w:tcW w:w="120" w:type="dxa"/>
            <w:vAlign w:val="bottom"/>
            <w:shd w:val="clear" w:color="auto" w:fill="CFF0FC"/>
          </w:tcPr>
          <w:p>
            <w:pPr>
              <w:spacing w:after="0"/>
              <w:rPr>
                <w:sz w:val="16"/>
                <w:szCs w:val="16"/>
                <w:color w:val="auto"/>
              </w:rPr>
            </w:pPr>
          </w:p>
        </w:tc>
        <w:tc>
          <w:tcPr>
            <w:tcW w:w="1000" w:type="dxa"/>
            <w:vAlign w:val="bottom"/>
            <w:shd w:val="clear" w:color="auto" w:fill="CFF0FC"/>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Up to 37,941</w:t>
            </w:r>
          </w:p>
        </w:tc>
        <w:tc>
          <w:tcPr>
            <w:tcW w:w="120" w:type="dxa"/>
            <w:vAlign w:val="bottom"/>
            <w:shd w:val="clear" w:color="auto" w:fill="CFF0FC"/>
          </w:tcPr>
          <w:p>
            <w:pPr>
              <w:spacing w:after="0"/>
              <w:rPr>
                <w:sz w:val="16"/>
                <w:szCs w:val="16"/>
                <w:color w:val="auto"/>
              </w:rPr>
            </w:pPr>
          </w:p>
        </w:tc>
        <w:tc>
          <w:tcPr>
            <w:tcW w:w="1020" w:type="dxa"/>
            <w:vAlign w:val="bottom"/>
            <w:shd w:val="clear" w:color="auto" w:fill="CFF0FC"/>
          </w:tcPr>
          <w:p>
            <w:pPr>
              <w:jc w:val="center"/>
              <w:spacing w:after="0" w:line="191" w:lineRule="exact"/>
              <w:rPr>
                <w:sz w:val="20"/>
                <w:szCs w:val="20"/>
                <w:color w:val="auto"/>
              </w:rPr>
            </w:pPr>
            <w:r>
              <w:rPr>
                <w:rFonts w:ascii="Times New Roman" w:cs="Times New Roman" w:eastAsia="Times New Roman" w:hAnsi="Times New Roman"/>
                <w:sz w:val="18"/>
                <w:szCs w:val="18"/>
                <w:color w:val="auto"/>
                <w:w w:val="96"/>
              </w:rPr>
              <w:t>Sale</w:t>
            </w:r>
          </w:p>
        </w:tc>
        <w:tc>
          <w:tcPr>
            <w:tcW w:w="0" w:type="dxa"/>
            <w:vAlign w:val="bottom"/>
          </w:tcPr>
          <w:p>
            <w:pPr>
              <w:spacing w:after="0"/>
              <w:rPr>
                <w:sz w:val="1"/>
                <w:szCs w:val="1"/>
                <w:color w:val="auto"/>
              </w:rPr>
            </w:pPr>
          </w:p>
        </w:tc>
      </w:tr>
      <w:tr>
        <w:trPr>
          <w:trHeight w:val="216"/>
        </w:trPr>
        <w:tc>
          <w:tcPr>
            <w:tcW w:w="3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Chief Operating Officer</w:t>
            </w:r>
          </w:p>
        </w:tc>
        <w:tc>
          <w:tcPr>
            <w:tcW w:w="31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affirmative defense conditions of</w:t>
            </w:r>
          </w:p>
        </w:tc>
        <w:tc>
          <w:tcPr>
            <w:tcW w:w="14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(July 22, 2025)</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(January 31,</w:t>
            </w: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60" w:type="dxa"/>
            <w:vAlign w:val="bottom"/>
            <w:shd w:val="clear" w:color="auto" w:fill="CFF0FC"/>
          </w:tcPr>
          <w:p>
            <w:pPr>
              <w:spacing w:after="0"/>
              <w:rPr>
                <w:sz w:val="20"/>
                <w:szCs w:val="20"/>
                <w:color w:val="auto"/>
              </w:rPr>
            </w:pPr>
          </w:p>
        </w:tc>
        <w:tc>
          <w:tcPr>
            <w:tcW w:w="31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Securities Exchange Act Rule 10b5-1(c)</w:t>
            </w:r>
          </w:p>
        </w:tc>
        <w:tc>
          <w:tcPr>
            <w:tcW w:w="12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0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Rahul Khara, Pharm.D., J.D.</w:t>
            </w:r>
          </w:p>
        </w:tc>
        <w:tc>
          <w:tcPr>
            <w:tcW w:w="3160" w:type="dxa"/>
            <w:vAlign w:val="bottom"/>
            <w:gridSpan w:val="2"/>
          </w:tcPr>
          <w:p>
            <w:pPr>
              <w:ind w:left="120"/>
              <w:spacing w:after="0" w:line="198" w:lineRule="exact"/>
              <w:rPr>
                <w:sz w:val="20"/>
                <w:szCs w:val="20"/>
                <w:color w:val="auto"/>
              </w:rPr>
            </w:pPr>
            <w:r>
              <w:rPr>
                <w:rFonts w:ascii="Times New Roman" w:cs="Times New Roman" w:eastAsia="Times New Roman" w:hAnsi="Times New Roman"/>
                <w:sz w:val="18"/>
                <w:szCs w:val="18"/>
                <w:color w:val="auto"/>
              </w:rPr>
              <w:t>Trading plan intended to satisfy the</w:t>
            </w:r>
          </w:p>
        </w:tc>
        <w:tc>
          <w:tcPr>
            <w:tcW w:w="1420" w:type="dxa"/>
            <w:vAlign w:val="bottom"/>
            <w:gridSpan w:val="2"/>
          </w:tcPr>
          <w:p>
            <w:pPr>
              <w:ind w:left="120"/>
              <w:spacing w:after="0" w:line="198" w:lineRule="exact"/>
              <w:rPr>
                <w:sz w:val="20"/>
                <w:szCs w:val="20"/>
                <w:color w:val="auto"/>
              </w:rPr>
            </w:pPr>
            <w:r>
              <w:rPr>
                <w:rFonts w:ascii="Times New Roman" w:cs="Times New Roman" w:eastAsia="Times New Roman" w:hAnsi="Times New Roman"/>
                <w:sz w:val="18"/>
                <w:szCs w:val="18"/>
                <w:color w:val="auto"/>
              </w:rPr>
              <w:t>Adoption</w:t>
            </w:r>
          </w:p>
        </w:tc>
        <w:tc>
          <w:tcPr>
            <w:tcW w:w="120" w:type="dxa"/>
            <w:vAlign w:val="bottom"/>
          </w:tcPr>
          <w:p>
            <w:pPr>
              <w:spacing w:after="0"/>
              <w:rPr>
                <w:sz w:val="17"/>
                <w:szCs w:val="17"/>
                <w:color w:val="auto"/>
              </w:rPr>
            </w:pPr>
          </w:p>
        </w:tc>
        <w:tc>
          <w:tcPr>
            <w:tcW w:w="12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End Date</w:t>
            </w:r>
          </w:p>
        </w:tc>
        <w:tc>
          <w:tcPr>
            <w:tcW w:w="120" w:type="dxa"/>
            <w:vAlign w:val="bottom"/>
          </w:tcPr>
          <w:p>
            <w:pPr>
              <w:spacing w:after="0"/>
              <w:rPr>
                <w:sz w:val="17"/>
                <w:szCs w:val="17"/>
                <w:color w:val="auto"/>
              </w:rPr>
            </w:pPr>
          </w:p>
        </w:tc>
        <w:tc>
          <w:tcPr>
            <w:tcW w:w="10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Up to 7,500</w:t>
            </w:r>
          </w:p>
        </w:tc>
        <w:tc>
          <w:tcPr>
            <w:tcW w:w="120" w:type="dxa"/>
            <w:vAlign w:val="bottom"/>
          </w:tcPr>
          <w:p>
            <w:pPr>
              <w:spacing w:after="0"/>
              <w:rPr>
                <w:sz w:val="17"/>
                <w:szCs w:val="17"/>
                <w:color w:val="auto"/>
              </w:rPr>
            </w:pPr>
          </w:p>
        </w:tc>
        <w:tc>
          <w:tcPr>
            <w:tcW w:w="10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Sale</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Chief Legal Officer</w:t>
            </w:r>
          </w:p>
        </w:tc>
        <w:tc>
          <w:tcPr>
            <w:tcW w:w="3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affirmative defense conditions of</w:t>
            </w: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(September 23,</w:t>
            </w:r>
          </w:p>
        </w:tc>
        <w:tc>
          <w:tcPr>
            <w:tcW w:w="12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(January 31,</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60" w:type="dxa"/>
            <w:vAlign w:val="bottom"/>
          </w:tcPr>
          <w:p>
            <w:pPr>
              <w:spacing w:after="0"/>
              <w:rPr>
                <w:sz w:val="20"/>
                <w:szCs w:val="20"/>
                <w:color w:val="auto"/>
              </w:rPr>
            </w:pPr>
          </w:p>
        </w:tc>
        <w:tc>
          <w:tcPr>
            <w:tcW w:w="3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Securities Exchange Act Rule 10b5-1(c)</w:t>
            </w: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2025)</w:t>
            </w: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060" w:type="dxa"/>
            <w:vAlign w:val="bottom"/>
            <w:shd w:val="clear" w:color="auto" w:fill="CFF0FC"/>
          </w:tcPr>
          <w:p>
            <w:pPr>
              <w:spacing w:after="0" w:line="177" w:lineRule="exact"/>
              <w:rPr>
                <w:sz w:val="20"/>
                <w:szCs w:val="20"/>
                <w:color w:val="auto"/>
              </w:rPr>
            </w:pPr>
            <w:r>
              <w:rPr>
                <w:rFonts w:ascii="Times New Roman" w:cs="Times New Roman" w:eastAsia="Times New Roman" w:hAnsi="Times New Roman"/>
                <w:sz w:val="18"/>
                <w:szCs w:val="18"/>
                <w:color w:val="auto"/>
              </w:rPr>
              <w:t>Jean Franchi</w:t>
            </w:r>
          </w:p>
        </w:tc>
        <w:tc>
          <w:tcPr>
            <w:tcW w:w="3160" w:type="dxa"/>
            <w:vAlign w:val="bottom"/>
            <w:gridSpan w:val="2"/>
            <w:shd w:val="clear" w:color="auto" w:fill="CFF0FC"/>
          </w:tcPr>
          <w:p>
            <w:pPr>
              <w:ind w:left="120"/>
              <w:spacing w:after="0" w:line="177" w:lineRule="exact"/>
              <w:rPr>
                <w:sz w:val="20"/>
                <w:szCs w:val="20"/>
                <w:color w:val="auto"/>
              </w:rPr>
            </w:pPr>
            <w:r>
              <w:rPr>
                <w:rFonts w:ascii="Times New Roman" w:cs="Times New Roman" w:eastAsia="Times New Roman" w:hAnsi="Times New Roman"/>
                <w:sz w:val="18"/>
                <w:szCs w:val="18"/>
                <w:color w:val="auto"/>
              </w:rPr>
              <w:t>Trading plan intended to satisfy the</w:t>
            </w:r>
          </w:p>
        </w:tc>
        <w:tc>
          <w:tcPr>
            <w:tcW w:w="1420" w:type="dxa"/>
            <w:vAlign w:val="bottom"/>
            <w:gridSpan w:val="2"/>
            <w:shd w:val="clear" w:color="auto" w:fill="CFF0FC"/>
          </w:tcPr>
          <w:p>
            <w:pPr>
              <w:ind w:left="120"/>
              <w:spacing w:after="0" w:line="177" w:lineRule="exact"/>
              <w:rPr>
                <w:sz w:val="20"/>
                <w:szCs w:val="20"/>
                <w:color w:val="auto"/>
              </w:rPr>
            </w:pPr>
            <w:r>
              <w:rPr>
                <w:rFonts w:ascii="Times New Roman" w:cs="Times New Roman" w:eastAsia="Times New Roman" w:hAnsi="Times New Roman"/>
                <w:sz w:val="18"/>
                <w:szCs w:val="18"/>
                <w:color w:val="auto"/>
              </w:rPr>
              <w:t>Adoption</w:t>
            </w:r>
          </w:p>
        </w:tc>
        <w:tc>
          <w:tcPr>
            <w:tcW w:w="12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line="177" w:lineRule="exact"/>
              <w:rPr>
                <w:sz w:val="20"/>
                <w:szCs w:val="20"/>
                <w:color w:val="auto"/>
              </w:rPr>
            </w:pPr>
            <w:r>
              <w:rPr>
                <w:rFonts w:ascii="Times New Roman" w:cs="Times New Roman" w:eastAsia="Times New Roman" w:hAnsi="Times New Roman"/>
                <w:sz w:val="18"/>
                <w:szCs w:val="18"/>
                <w:color w:val="auto"/>
              </w:rPr>
              <w:t>End Date</w:t>
            </w: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jc w:val="center"/>
              <w:spacing w:after="0" w:line="177" w:lineRule="exact"/>
              <w:rPr>
                <w:sz w:val="20"/>
                <w:szCs w:val="20"/>
                <w:color w:val="auto"/>
              </w:rPr>
            </w:pPr>
            <w:r>
              <w:rPr>
                <w:rFonts w:ascii="Times New Roman" w:cs="Times New Roman" w:eastAsia="Times New Roman" w:hAnsi="Times New Roman"/>
                <w:sz w:val="18"/>
                <w:szCs w:val="18"/>
                <w:color w:val="auto"/>
              </w:rPr>
              <w:t>Up to</w:t>
            </w: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jc w:val="center"/>
              <w:spacing w:after="0" w:line="177" w:lineRule="exact"/>
              <w:rPr>
                <w:sz w:val="20"/>
                <w:szCs w:val="20"/>
                <w:color w:val="auto"/>
              </w:rPr>
            </w:pPr>
            <w:r>
              <w:rPr>
                <w:rFonts w:ascii="Times New Roman" w:cs="Times New Roman" w:eastAsia="Times New Roman" w:hAnsi="Times New Roman"/>
                <w:sz w:val="18"/>
                <w:szCs w:val="18"/>
                <w:color w:val="auto"/>
                <w:w w:val="96"/>
              </w:rPr>
              <w:t>Sale</w:t>
            </w:r>
          </w:p>
        </w:tc>
        <w:tc>
          <w:tcPr>
            <w:tcW w:w="0" w:type="dxa"/>
            <w:vAlign w:val="bottom"/>
          </w:tcPr>
          <w:p>
            <w:pPr>
              <w:spacing w:after="0"/>
              <w:rPr>
                <w:sz w:val="1"/>
                <w:szCs w:val="1"/>
                <w:color w:val="auto"/>
              </w:rPr>
            </w:pPr>
          </w:p>
        </w:tc>
      </w:tr>
      <w:tr>
        <w:trPr>
          <w:trHeight w:val="236"/>
        </w:trPr>
        <w:tc>
          <w:tcPr>
            <w:tcW w:w="3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31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affirmative defense conditions of</w:t>
            </w:r>
          </w:p>
        </w:tc>
        <w:tc>
          <w:tcPr>
            <w:tcW w:w="14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(September 25,</w:t>
            </w:r>
          </w:p>
        </w:tc>
        <w:tc>
          <w:tcPr>
            <w:tcW w:w="12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31,</w:t>
            </w:r>
          </w:p>
        </w:tc>
        <w:tc>
          <w:tcPr>
            <w:tcW w:w="1120" w:type="dxa"/>
            <w:vAlign w:val="bottom"/>
            <w:gridSpan w:val="2"/>
            <w:shd w:val="clear" w:color="auto" w:fill="CFF0FC"/>
          </w:tcPr>
          <w:p>
            <w:pPr>
              <w:jc w:val="center"/>
              <w:ind w:left="30"/>
              <w:spacing w:after="0" w:line="236" w:lineRule="exact"/>
              <w:rPr>
                <w:sz w:val="20"/>
                <w:szCs w:val="20"/>
                <w:color w:val="auto"/>
              </w:rPr>
            </w:pPr>
            <w:r>
              <w:rPr>
                <w:rFonts w:ascii="Times New Roman" w:cs="Times New Roman" w:eastAsia="Times New Roman" w:hAnsi="Times New Roman"/>
                <w:sz w:val="18"/>
                <w:szCs w:val="18"/>
                <w:color w:val="auto"/>
                <w:w w:val="93"/>
              </w:rPr>
              <w:t>18,166</w:t>
            </w:r>
            <w:r>
              <w:rPr>
                <w:rFonts w:ascii="Times New Roman" w:cs="Times New Roman" w:eastAsia="Times New Roman" w:hAnsi="Times New Roman"/>
                <w:sz w:val="24"/>
                <w:szCs w:val="24"/>
                <w:color w:val="auto"/>
                <w:w w:val="93"/>
                <w:vertAlign w:val="superscript"/>
              </w:rPr>
              <w:t>(1)</w:t>
            </w: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060" w:type="dxa"/>
            <w:vAlign w:val="bottom"/>
            <w:shd w:val="clear" w:color="auto" w:fill="CFF0FC"/>
          </w:tcPr>
          <w:p>
            <w:pPr>
              <w:spacing w:after="0"/>
              <w:rPr>
                <w:sz w:val="20"/>
                <w:szCs w:val="20"/>
                <w:color w:val="auto"/>
              </w:rPr>
            </w:pPr>
          </w:p>
        </w:tc>
        <w:tc>
          <w:tcPr>
            <w:tcW w:w="31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Securities Exchange Act Rule 10b5-1(c)</w:t>
            </w:r>
          </w:p>
        </w:tc>
        <w:tc>
          <w:tcPr>
            <w:tcW w:w="14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2025)</w:t>
            </w:r>
          </w:p>
        </w:tc>
        <w:tc>
          <w:tcPr>
            <w:tcW w:w="13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jc w:val="both"/>
        <w:ind w:firstLine="8"/>
        <w:spacing w:after="0" w:line="245" w:lineRule="auto"/>
        <w:tabs>
          <w:tab w:leader="none" w:pos="190" w:val="left"/>
        </w:tabs>
        <w:numPr>
          <w:ilvl w:val="0"/>
          <w:numId w:val="4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The aggregate number of shares available for sale cannot yet be determined, as it will be reduced by the number of shares sold to cover tax withholding obligations upon the vesting of Restricted Stock Units (RSUs). For disclosure purposes, the figures in this table reflect the maximum number of shares underlying the RSUs, without deducting shares that may be sold to cover taxes.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filed as part of this Quarterly Report are set forth on the Exhibit Index, which is incorporated herein by reference.</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6540" w:type="dxa"/>
            <w:vAlign w:val="bottom"/>
            <w:gridSpan w:val="8"/>
          </w:tcPr>
          <w:p>
            <w:pPr>
              <w:ind w:left="2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257"/>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100" w:type="dxa"/>
            <w:vAlign w:val="bottom"/>
          </w:tcPr>
          <w:p>
            <w:pPr>
              <w:spacing w:after="0"/>
              <w:rPr>
                <w:sz w:val="22"/>
                <w:szCs w:val="22"/>
                <w:color w:val="auto"/>
              </w:rPr>
            </w:pPr>
          </w:p>
        </w:tc>
        <w:tc>
          <w:tcPr>
            <w:tcW w:w="10000" w:type="dxa"/>
            <w:vAlign w:val="bottom"/>
            <w:tcBorders>
              <w:bottom w:val="single" w:sz="8" w:color="auto"/>
            </w:tcBorders>
            <w:gridSpan w:val="11"/>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69"/>
        </w:trPr>
        <w:tc>
          <w:tcPr>
            <w:tcW w:w="11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4"/>
                <w:szCs w:val="14"/>
                <w:color w:val="auto"/>
              </w:rPr>
            </w:pPr>
          </w:p>
        </w:tc>
        <w:tc>
          <w:tcPr>
            <w:tcW w:w="10000" w:type="dxa"/>
            <w:vAlign w:val="bottom"/>
            <w:tcBorders>
              <w:bottom w:val="single" w:sz="8" w:color="0000FF"/>
            </w:tcBorders>
            <w:gridSpan w:val="11"/>
          </w:tcPr>
          <w:p>
            <w:pPr>
              <w:ind w:left="20"/>
              <w:spacing w:after="0" w:line="169" w:lineRule="exact"/>
              <w:rPr>
                <w:rFonts w:ascii="Times New Roman" w:cs="Times New Roman" w:eastAsia="Times New Roman" w:hAnsi="Times New Roman"/>
                <w:sz w:val="18"/>
                <w:szCs w:val="18"/>
                <w:color w:val="0000FF"/>
              </w:rPr>
            </w:pPr>
            <w:hyperlink r:id="rId261">
              <w:r>
                <w:rPr>
                  <w:rFonts w:ascii="Times New Roman" w:cs="Times New Roman" w:eastAsia="Times New Roman" w:hAnsi="Times New Roman"/>
                  <w:sz w:val="18"/>
                  <w:szCs w:val="18"/>
                  <w:color w:val="0000FF"/>
                </w:rPr>
                <w:t>Agreement and Plan of Merger and Reorganization, dated as of August 9, 2022, by and among Gemini Therapeutics, Inc. Gemstone</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80" w:type="dxa"/>
            <w:vAlign w:val="bottom"/>
            <w:tcBorders>
              <w:bottom w:val="single" w:sz="8" w:color="0000FF"/>
            </w:tcBorders>
            <w:gridSpan w:val="10"/>
          </w:tcPr>
          <w:p>
            <w:pPr>
              <w:ind w:left="20"/>
              <w:spacing w:after="0" w:line="196" w:lineRule="exact"/>
              <w:rPr>
                <w:rFonts w:ascii="Times New Roman" w:cs="Times New Roman" w:eastAsia="Times New Roman" w:hAnsi="Times New Roman"/>
                <w:sz w:val="18"/>
                <w:szCs w:val="18"/>
                <w:color w:val="0000FF"/>
              </w:rPr>
            </w:pPr>
            <w:hyperlink r:id="rId261">
              <w:r>
                <w:rPr>
                  <w:rFonts w:ascii="Times New Roman" w:cs="Times New Roman" w:eastAsia="Times New Roman" w:hAnsi="Times New Roman"/>
                  <w:sz w:val="18"/>
                  <w:szCs w:val="18"/>
                  <w:color w:val="0000FF"/>
                </w:rPr>
                <w:t>Merger Sub, Inc. and Disc Medicine, Inc. (incorporated by reference to Exhibit 2.1 to the Registrant’s Proxy Statement/Prospectus on</w:t>
              </w:r>
            </w:hyperlink>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11"/>
          </w:tcPr>
          <w:p>
            <w:pPr>
              <w:ind w:left="20"/>
              <w:spacing w:after="0" w:line="196" w:lineRule="exact"/>
              <w:rPr>
                <w:rFonts w:ascii="Times New Roman" w:cs="Times New Roman" w:eastAsia="Times New Roman" w:hAnsi="Times New Roman"/>
                <w:sz w:val="18"/>
                <w:szCs w:val="18"/>
                <w:color w:val="0000FF"/>
              </w:rPr>
            </w:pPr>
            <w:hyperlink r:id="rId261">
              <w:r>
                <w:rPr>
                  <w:rFonts w:ascii="Times New Roman" w:cs="Times New Roman" w:eastAsia="Times New Roman" w:hAnsi="Times New Roman"/>
                  <w:sz w:val="18"/>
                  <w:szCs w:val="18"/>
                  <w:color w:val="0000FF"/>
                </w:rPr>
                <w:t>Form S-4 (File No. 333-267276) filed on September 2, 2022).</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960" w:type="dxa"/>
            <w:vAlign w:val="bottom"/>
            <w:shd w:val="clear" w:color="auto" w:fill="0000FF"/>
          </w:tcPr>
          <w:p>
            <w:pPr>
              <w:spacing w:after="0" w:line="20" w:lineRule="exact"/>
              <w:rPr>
                <w:sz w:val="1"/>
                <w:szCs w:val="1"/>
                <w:color w:val="auto"/>
              </w:rPr>
            </w:pPr>
          </w:p>
        </w:tc>
        <w:tc>
          <w:tcPr>
            <w:tcW w:w="102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7"/>
                <w:szCs w:val="17"/>
                <w:color w:val="auto"/>
              </w:rPr>
            </w:pPr>
          </w:p>
        </w:tc>
        <w:tc>
          <w:tcPr>
            <w:tcW w:w="9980" w:type="dxa"/>
            <w:vAlign w:val="bottom"/>
            <w:tcBorders>
              <w:bottom w:val="single" w:sz="8" w:color="0000FF"/>
            </w:tcBorders>
            <w:gridSpan w:val="10"/>
          </w:tcPr>
          <w:p>
            <w:pPr>
              <w:ind w:left="20"/>
              <w:spacing w:after="0" w:line="196" w:lineRule="exact"/>
              <w:rPr>
                <w:rFonts w:ascii="Times New Roman" w:cs="Times New Roman" w:eastAsia="Times New Roman" w:hAnsi="Times New Roman"/>
                <w:sz w:val="18"/>
                <w:szCs w:val="18"/>
                <w:color w:val="0000FF"/>
                <w:w w:val="99"/>
              </w:rPr>
            </w:pPr>
            <w:hyperlink r:id="rId262">
              <w:r>
                <w:rPr>
                  <w:rFonts w:ascii="Times New Roman" w:cs="Times New Roman" w:eastAsia="Times New Roman" w:hAnsi="Times New Roman"/>
                  <w:sz w:val="18"/>
                  <w:szCs w:val="18"/>
                  <w:color w:val="0000FF"/>
                  <w:w w:val="99"/>
                </w:rPr>
                <w:t>Amended and Restated Certificate of Incorporation of Disc Medicine, Inc. (incorporated by reference to Annex B to Gemini Therapeutics,</w:t>
              </w:r>
            </w:hyperlink>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40" w:type="dxa"/>
            <w:vAlign w:val="bottom"/>
            <w:tcBorders>
              <w:bottom w:val="single" w:sz="8" w:color="0000EE"/>
            </w:tcBorders>
            <w:gridSpan w:val="6"/>
          </w:tcPr>
          <w:p>
            <w:pPr>
              <w:ind w:left="20"/>
              <w:spacing w:after="0" w:line="196" w:lineRule="exact"/>
              <w:rPr>
                <w:rFonts w:ascii="Times New Roman" w:cs="Times New Roman" w:eastAsia="Times New Roman" w:hAnsi="Times New Roman"/>
                <w:sz w:val="18"/>
                <w:szCs w:val="18"/>
                <w:color w:val="0000FF"/>
              </w:rPr>
            </w:pPr>
            <w:hyperlink r:id="rId262">
              <w:r>
                <w:rPr>
                  <w:rFonts w:ascii="Times New Roman" w:cs="Times New Roman" w:eastAsia="Times New Roman" w:hAnsi="Times New Roman"/>
                  <w:sz w:val="18"/>
                  <w:szCs w:val="18"/>
                  <w:color w:val="0000FF"/>
                </w:rPr>
                <w:t>Inc.’s Proxy Statement/Prospectus on Form S-4/A (File No. 333-249785)).</w:t>
              </w:r>
            </w:hyperlink>
          </w:p>
        </w:tc>
        <w:tc>
          <w:tcPr>
            <w:tcW w:w="4560" w:type="dxa"/>
            <w:vAlign w:val="bottom"/>
            <w:gridSpan w:val="5"/>
          </w:tcPr>
          <w:p>
            <w:pPr>
              <w:spacing w:after="0"/>
              <w:rPr>
                <w:sz w:val="17"/>
                <w:szCs w:val="17"/>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7"/>
                <w:szCs w:val="17"/>
                <w:color w:val="auto"/>
              </w:rPr>
            </w:pPr>
          </w:p>
        </w:tc>
        <w:tc>
          <w:tcPr>
            <w:tcW w:w="9980" w:type="dxa"/>
            <w:vAlign w:val="bottom"/>
            <w:tcBorders>
              <w:bottom w:val="single" w:sz="8" w:color="0000FF"/>
            </w:tcBorders>
            <w:gridSpan w:val="10"/>
          </w:tcPr>
          <w:p>
            <w:pPr>
              <w:ind w:left="20"/>
              <w:spacing w:after="0" w:line="196" w:lineRule="exact"/>
              <w:rPr>
                <w:rFonts w:ascii="Times New Roman" w:cs="Times New Roman" w:eastAsia="Times New Roman" w:hAnsi="Times New Roman"/>
                <w:sz w:val="18"/>
                <w:szCs w:val="18"/>
                <w:color w:val="0000FF"/>
              </w:rPr>
            </w:pPr>
            <w:hyperlink r:id="rId263">
              <w:r>
                <w:rPr>
                  <w:rFonts w:ascii="Times New Roman" w:cs="Times New Roman" w:eastAsia="Times New Roman" w:hAnsi="Times New Roman"/>
                  <w:sz w:val="18"/>
                  <w:szCs w:val="18"/>
                  <w:color w:val="0000FF"/>
                </w:rPr>
                <w:t>Certificate of Amendment to the Amended and Restated Certificate of Incorporation of Disc Medicine, Inc., dated December 28, 2022</w:t>
              </w:r>
            </w:hyperlink>
          </w:p>
        </w:tc>
        <w:tc>
          <w:tcPr>
            <w:tcW w:w="20" w:type="dxa"/>
            <w:vAlign w:val="bottom"/>
            <w:tcBorders>
              <w:bottom w:val="single" w:sz="8" w:color="0000EE"/>
            </w:tcBorders>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bottom w:val="single" w:sz="8" w:color="0000FF"/>
            </w:tcBorders>
            <w:gridSpan w:val="11"/>
          </w:tcPr>
          <w:p>
            <w:pPr>
              <w:ind w:left="20"/>
              <w:spacing w:after="0" w:line="196" w:lineRule="exact"/>
              <w:rPr>
                <w:rFonts w:ascii="Times New Roman" w:cs="Times New Roman" w:eastAsia="Times New Roman" w:hAnsi="Times New Roman"/>
                <w:sz w:val="18"/>
                <w:szCs w:val="18"/>
                <w:color w:val="0000FF"/>
              </w:rPr>
            </w:pPr>
            <w:hyperlink r:id="rId263">
              <w:r>
                <w:rPr>
                  <w:rFonts w:ascii="Times New Roman" w:cs="Times New Roman" w:eastAsia="Times New Roman" w:hAnsi="Times New Roman"/>
                  <w:sz w:val="18"/>
                  <w:szCs w:val="18"/>
                  <w:color w:val="0000FF"/>
                </w:rPr>
                <w:t>(incorporated by reference to Exhibit 3.1 to the Registrant’s Current Report on Form 8-K (File No. 001-39438) filed on December 29,</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0000FF"/>
            </w:tcBorders>
          </w:tcPr>
          <w:p>
            <w:pPr>
              <w:ind w:left="20"/>
              <w:spacing w:after="0" w:line="196" w:lineRule="exact"/>
              <w:rPr>
                <w:rFonts w:ascii="Times New Roman" w:cs="Times New Roman" w:eastAsia="Times New Roman" w:hAnsi="Times New Roman"/>
                <w:sz w:val="18"/>
                <w:szCs w:val="18"/>
                <w:color w:val="0000FF"/>
                <w:w w:val="94"/>
              </w:rPr>
            </w:pPr>
            <w:hyperlink r:id="rId263">
              <w:r>
                <w:rPr>
                  <w:rFonts w:ascii="Times New Roman" w:cs="Times New Roman" w:eastAsia="Times New Roman" w:hAnsi="Times New Roman"/>
                  <w:sz w:val="18"/>
                  <w:szCs w:val="18"/>
                  <w:color w:val="0000FF"/>
                  <w:w w:val="94"/>
                </w:rPr>
                <w:t>2022).</w:t>
              </w:r>
            </w:hyperlink>
          </w:p>
        </w:tc>
        <w:tc>
          <w:tcPr>
            <w:tcW w:w="20" w:type="dxa"/>
            <w:vAlign w:val="bottom"/>
            <w:tcBorders>
              <w:bottom w:val="single" w:sz="8" w:color="0000EE"/>
            </w:tcBorders>
          </w:tcPr>
          <w:p>
            <w:pPr>
              <w:spacing w:after="0"/>
              <w:rPr>
                <w:sz w:val="17"/>
                <w:szCs w:val="17"/>
                <w:color w:val="auto"/>
              </w:rPr>
            </w:pPr>
          </w:p>
        </w:tc>
        <w:tc>
          <w:tcPr>
            <w:tcW w:w="29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7"/>
                <w:szCs w:val="17"/>
                <w:color w:val="auto"/>
              </w:rPr>
            </w:pPr>
          </w:p>
        </w:tc>
        <w:tc>
          <w:tcPr>
            <w:tcW w:w="9980" w:type="dxa"/>
            <w:vAlign w:val="bottom"/>
            <w:tcBorders>
              <w:bottom w:val="single" w:sz="8" w:color="0000FF"/>
            </w:tcBorders>
            <w:gridSpan w:val="10"/>
          </w:tcPr>
          <w:p>
            <w:pPr>
              <w:ind w:left="20"/>
              <w:spacing w:after="0" w:line="196" w:lineRule="exact"/>
              <w:rPr>
                <w:rFonts w:ascii="Times New Roman" w:cs="Times New Roman" w:eastAsia="Times New Roman" w:hAnsi="Times New Roman"/>
                <w:sz w:val="18"/>
                <w:szCs w:val="18"/>
                <w:color w:val="0000FF"/>
              </w:rPr>
            </w:pPr>
            <w:hyperlink r:id="rId264">
              <w:r>
                <w:rPr>
                  <w:rFonts w:ascii="Times New Roman" w:cs="Times New Roman" w:eastAsia="Times New Roman" w:hAnsi="Times New Roman"/>
                  <w:sz w:val="18"/>
                  <w:szCs w:val="18"/>
                  <w:color w:val="0000FF"/>
                </w:rPr>
                <w:t>Certificate of Amendment to the Amended and Restated Certificate of Incorporation of Disc Medicine, Inc., dated December 29, 2022</w:t>
              </w:r>
            </w:hyperlink>
          </w:p>
        </w:tc>
        <w:tc>
          <w:tcPr>
            <w:tcW w:w="20" w:type="dxa"/>
            <w:vAlign w:val="bottom"/>
            <w:tcBorders>
              <w:bottom w:val="single" w:sz="8" w:color="0000EE"/>
            </w:tcBorders>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bottom w:val="single" w:sz="8" w:color="0000FF"/>
            </w:tcBorders>
            <w:gridSpan w:val="11"/>
          </w:tcPr>
          <w:p>
            <w:pPr>
              <w:ind w:left="20"/>
              <w:spacing w:after="0" w:line="196" w:lineRule="exact"/>
              <w:rPr>
                <w:rFonts w:ascii="Times New Roman" w:cs="Times New Roman" w:eastAsia="Times New Roman" w:hAnsi="Times New Roman"/>
                <w:sz w:val="18"/>
                <w:szCs w:val="18"/>
                <w:color w:val="0000FF"/>
              </w:rPr>
            </w:pPr>
            <w:hyperlink r:id="rId264">
              <w:r>
                <w:rPr>
                  <w:rFonts w:ascii="Times New Roman" w:cs="Times New Roman" w:eastAsia="Times New Roman" w:hAnsi="Times New Roman"/>
                  <w:sz w:val="18"/>
                  <w:szCs w:val="18"/>
                  <w:color w:val="0000FF"/>
                </w:rPr>
                <w:t>(incorporated by reference to Exhibit 3.2 to the Registrant’s Current Report on Form 8-K (File No. 001-39438) filed on December 29,</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0000FF"/>
            </w:tcBorders>
          </w:tcPr>
          <w:p>
            <w:pPr>
              <w:ind w:left="20"/>
              <w:spacing w:after="0" w:line="196" w:lineRule="exact"/>
              <w:rPr>
                <w:rFonts w:ascii="Times New Roman" w:cs="Times New Roman" w:eastAsia="Times New Roman" w:hAnsi="Times New Roman"/>
                <w:sz w:val="18"/>
                <w:szCs w:val="18"/>
                <w:color w:val="0000FF"/>
                <w:w w:val="94"/>
              </w:rPr>
            </w:pPr>
            <w:hyperlink r:id="rId264">
              <w:r>
                <w:rPr>
                  <w:rFonts w:ascii="Times New Roman" w:cs="Times New Roman" w:eastAsia="Times New Roman" w:hAnsi="Times New Roman"/>
                  <w:sz w:val="18"/>
                  <w:szCs w:val="18"/>
                  <w:color w:val="0000FF"/>
                  <w:w w:val="94"/>
                </w:rPr>
                <w:t>2022).</w:t>
              </w:r>
            </w:hyperlink>
          </w:p>
        </w:tc>
        <w:tc>
          <w:tcPr>
            <w:tcW w:w="20" w:type="dxa"/>
            <w:vAlign w:val="bottom"/>
            <w:tcBorders>
              <w:bottom w:val="single" w:sz="8" w:color="0000EE"/>
            </w:tcBorders>
          </w:tcPr>
          <w:p>
            <w:pPr>
              <w:spacing w:after="0"/>
              <w:rPr>
                <w:sz w:val="17"/>
                <w:szCs w:val="17"/>
                <w:color w:val="auto"/>
              </w:rPr>
            </w:pPr>
          </w:p>
        </w:tc>
        <w:tc>
          <w:tcPr>
            <w:tcW w:w="29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7"/>
                <w:szCs w:val="17"/>
                <w:color w:val="auto"/>
              </w:rPr>
            </w:pPr>
          </w:p>
        </w:tc>
        <w:tc>
          <w:tcPr>
            <w:tcW w:w="10000" w:type="dxa"/>
            <w:vAlign w:val="bottom"/>
            <w:tcBorders>
              <w:bottom w:val="single" w:sz="8" w:color="0000FF"/>
            </w:tcBorders>
            <w:gridSpan w:val="11"/>
          </w:tcPr>
          <w:p>
            <w:pPr>
              <w:ind w:left="20"/>
              <w:spacing w:after="0" w:line="196" w:lineRule="exact"/>
              <w:rPr>
                <w:rFonts w:ascii="Times New Roman" w:cs="Times New Roman" w:eastAsia="Times New Roman" w:hAnsi="Times New Roman"/>
                <w:sz w:val="18"/>
                <w:szCs w:val="18"/>
                <w:color w:val="0000FF"/>
              </w:rPr>
            </w:pPr>
            <w:hyperlink r:id="rId265">
              <w:r>
                <w:rPr>
                  <w:rFonts w:ascii="Times New Roman" w:cs="Times New Roman" w:eastAsia="Times New Roman" w:hAnsi="Times New Roman"/>
                  <w:sz w:val="18"/>
                  <w:szCs w:val="18"/>
                  <w:color w:val="0000FF"/>
                </w:rPr>
                <w:t>Amended and Restated By-laws of Disc Medicine, Inc. (incorporated by reference to Annex C to Gemini Therapeutics, Inc.’s Proxy</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20" w:type="dxa"/>
            <w:vAlign w:val="bottom"/>
            <w:tcBorders>
              <w:bottom w:val="single" w:sz="8" w:color="0000EE"/>
            </w:tcBorders>
            <w:gridSpan w:val="5"/>
          </w:tcPr>
          <w:p>
            <w:pPr>
              <w:ind w:left="20"/>
              <w:spacing w:after="0" w:line="196" w:lineRule="exact"/>
              <w:rPr>
                <w:rFonts w:ascii="Times New Roman" w:cs="Times New Roman" w:eastAsia="Times New Roman" w:hAnsi="Times New Roman"/>
                <w:sz w:val="18"/>
                <w:szCs w:val="18"/>
                <w:color w:val="0000FF"/>
              </w:rPr>
            </w:pPr>
            <w:hyperlink r:id="rId265">
              <w:r>
                <w:rPr>
                  <w:rFonts w:ascii="Times New Roman" w:cs="Times New Roman" w:eastAsia="Times New Roman" w:hAnsi="Times New Roman"/>
                  <w:sz w:val="18"/>
                  <w:szCs w:val="18"/>
                  <w:color w:val="0000FF"/>
                </w:rPr>
                <w:t>Statement/Prospectus on Form S-4/A (File No. 333-249785)).</w:t>
              </w:r>
            </w:hyperlink>
          </w:p>
        </w:tc>
        <w:tc>
          <w:tcPr>
            <w:tcW w:w="5480" w:type="dxa"/>
            <w:vAlign w:val="bottom"/>
            <w:gridSpan w:val="6"/>
          </w:tcPr>
          <w:p>
            <w:pPr>
              <w:spacing w:after="0"/>
              <w:rPr>
                <w:sz w:val="17"/>
                <w:szCs w:val="17"/>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7"/>
                <w:szCs w:val="17"/>
                <w:color w:val="auto"/>
              </w:rPr>
            </w:pPr>
          </w:p>
        </w:tc>
        <w:tc>
          <w:tcPr>
            <w:tcW w:w="10000" w:type="dxa"/>
            <w:vAlign w:val="bottom"/>
            <w:gridSpan w:val="11"/>
          </w:tcPr>
          <w:p>
            <w:pPr>
              <w:ind w:left="20"/>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Section 302 of the Sarbanes-Oxley Act of 2002</w:t>
            </w: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7"/>
                <w:szCs w:val="17"/>
                <w:color w:val="auto"/>
              </w:rPr>
            </w:pPr>
          </w:p>
        </w:tc>
        <w:tc>
          <w:tcPr>
            <w:tcW w:w="7400" w:type="dxa"/>
            <w:vAlign w:val="bottom"/>
            <w:tcBorders>
              <w:top w:val="single" w:sz="8" w:color="0000FF"/>
              <w:bottom w:val="single" w:sz="8" w:color="0000FF"/>
            </w:tcBorders>
            <w:gridSpan w:val="7"/>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Certification of Principal Financial Officer pursuant to Section 302 of the Sarbanes-Oxley Act of 2002</w:t>
            </w:r>
          </w:p>
        </w:tc>
        <w:tc>
          <w:tcPr>
            <w:tcW w:w="20" w:type="dxa"/>
            <w:vAlign w:val="bottom"/>
            <w:tcBorders>
              <w:top w:val="single" w:sz="8" w:color="0000FF"/>
              <w:bottom w:val="single" w:sz="8" w:color="0000EE"/>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560" w:type="dxa"/>
            <w:vAlign w:val="bottom"/>
            <w:gridSpan w:val="2"/>
          </w:tcPr>
          <w:p>
            <w:pPr>
              <w:spacing w:after="0"/>
              <w:rPr>
                <w:sz w:val="17"/>
                <w:szCs w:val="17"/>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7"/>
                <w:szCs w:val="17"/>
                <w:color w:val="auto"/>
              </w:rPr>
            </w:pPr>
          </w:p>
        </w:tc>
        <w:tc>
          <w:tcPr>
            <w:tcW w:w="10000" w:type="dxa"/>
            <w:vAlign w:val="bottom"/>
            <w:tcBorders>
              <w:bottom w:val="single" w:sz="8" w:color="0000FF"/>
            </w:tcBorders>
            <w:gridSpan w:val="11"/>
          </w:tcPr>
          <w:p>
            <w:pPr>
              <w:ind w:left="20"/>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and Principal Financial Officer Pursuant to 18 U.S.C. Section 1350, as Adopted Pursuant to</w:t>
            </w: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11"/>
          </w:tcPr>
          <w:p>
            <w:pPr>
              <w:ind w:left="20"/>
              <w:spacing w:after="0" w:line="196" w:lineRule="exact"/>
              <w:rPr>
                <w:sz w:val="20"/>
                <w:szCs w:val="20"/>
                <w:color w:val="auto"/>
              </w:rPr>
            </w:pPr>
            <w:r>
              <w:rPr>
                <w:rFonts w:ascii="Times New Roman" w:cs="Times New Roman" w:eastAsia="Times New Roman" w:hAnsi="Times New Roman"/>
                <w:sz w:val="18"/>
                <w:szCs w:val="18"/>
                <w:color w:val="0000FF"/>
              </w:rPr>
              <w:t>Section 906 of the Sarbanes-Oxley Act of 2002.</w:t>
            </w:r>
          </w:p>
        </w:tc>
      </w:tr>
      <w:tr>
        <w:trPr>
          <w:trHeight w:val="2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0" w:type="dxa"/>
            <w:vAlign w:val="bottom"/>
          </w:tcPr>
          <w:p>
            <w:pPr>
              <w:spacing w:after="0"/>
              <w:rPr>
                <w:sz w:val="18"/>
                <w:szCs w:val="18"/>
                <w:color w:val="auto"/>
              </w:rPr>
            </w:pPr>
          </w:p>
        </w:tc>
        <w:tc>
          <w:tcPr>
            <w:tcW w:w="3460" w:type="dxa"/>
            <w:vAlign w:val="bottom"/>
            <w:tcBorders>
              <w:top w:val="single" w:sz="8" w:color="0000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6540" w:type="dxa"/>
            <w:vAlign w:val="bottom"/>
            <w:gridSpan w:val="8"/>
          </w:tcPr>
          <w:p>
            <w:pPr>
              <w:spacing w:after="0"/>
              <w:rPr>
                <w:sz w:val="18"/>
                <w:szCs w:val="18"/>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0" w:type="dxa"/>
            <w:vAlign w:val="bottom"/>
          </w:tcPr>
          <w:p>
            <w:pPr>
              <w:spacing w:after="0"/>
              <w:rPr>
                <w:sz w:val="18"/>
                <w:szCs w:val="18"/>
                <w:color w:val="auto"/>
              </w:rPr>
            </w:pPr>
          </w:p>
        </w:tc>
        <w:tc>
          <w:tcPr>
            <w:tcW w:w="1000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0"/>
                <w:szCs w:val="20"/>
                <w:color w:val="auto"/>
              </w:rPr>
            </w:pPr>
          </w:p>
        </w:tc>
        <w:tc>
          <w:tcPr>
            <w:tcW w:w="1000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6">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117" w:lineRule="exact"/>
        <w:rPr>
          <w:sz w:val="20"/>
          <w:szCs w:val="20"/>
          <w:color w:val="auto"/>
        </w:rPr>
      </w:pPr>
    </w:p>
    <w:p>
      <w:pPr>
        <w:jc w:val="both"/>
        <w:ind w:firstLine="8"/>
        <w:spacing w:after="0" w:line="266" w:lineRule="auto"/>
        <w:tabs>
          <w:tab w:leader="none" w:pos="23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furnished in Exhibit 32.1 hereto are deemed to be furnished with this Quarterly Report on Form 10-Q and will not be deemed to be “filed” for purposes of Section 18 of the Securities Exchange Act of 1934, as amended, except to the extent that the Registrant specifically incorporates it by reference.</w:t>
      </w:r>
    </w:p>
    <w:p>
      <w:pPr>
        <w:spacing w:after="0" w:line="68" w:lineRule="exact"/>
        <w:rPr>
          <w:sz w:val="20"/>
          <w:szCs w:val="20"/>
          <w:color w:val="auto"/>
        </w:rPr>
      </w:pPr>
    </w:p>
    <w:p>
      <w:pPr>
        <w:ind w:firstLine="8"/>
        <w:spacing w:after="0" w:line="282" w:lineRule="auto"/>
        <w:tabs>
          <w:tab w:leader="none" w:pos="15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annexes, schedules, and certain exhibits to the Merger Agreement have been omitted pursuant to Item 601(b)(2) of Regulation S-K. The Registrant hereby agrees to furnish supplementally a copy of any omitted annex, schedule or exhibit to the Commission upon request.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60" w:type="dxa"/>
            <w:vAlign w:val="bottom"/>
          </w:tcPr>
          <w:p>
            <w:pPr>
              <w:spacing w:after="0"/>
              <w:rPr>
                <w:sz w:val="20"/>
                <w:szCs w:val="20"/>
                <w:color w:val="auto"/>
              </w:rPr>
            </w:pPr>
          </w:p>
        </w:tc>
        <w:tc>
          <w:tcPr>
            <w:tcW w:w="7480" w:type="dxa"/>
            <w:vAlign w:val="bottom"/>
            <w:gridSpan w:val="2"/>
          </w:tcPr>
          <w:p>
            <w:pPr>
              <w:ind w:left="1980"/>
              <w:spacing w:after="0"/>
              <w:rPr>
                <w:sz w:val="20"/>
                <w:szCs w:val="20"/>
                <w:color w:val="auto"/>
              </w:rPr>
            </w:pPr>
            <w:r>
              <w:rPr>
                <w:rFonts w:ascii="Times New Roman" w:cs="Times New Roman" w:eastAsia="Times New Roman" w:hAnsi="Times New Roman"/>
                <w:sz w:val="18"/>
                <w:szCs w:val="18"/>
                <w:b w:val="1"/>
                <w:bCs w:val="1"/>
                <w:color w:val="auto"/>
              </w:rPr>
              <w:t>DISC MEDICINE, INC.</w:t>
            </w:r>
          </w:p>
        </w:tc>
      </w:tr>
      <w:tr>
        <w:trPr>
          <w:trHeight w:val="432"/>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6, 2025</w:t>
            </w:r>
          </w:p>
        </w:tc>
        <w:tc>
          <w:tcPr>
            <w:tcW w:w="24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John Quisel</w:t>
            </w:r>
          </w:p>
        </w:tc>
      </w:tr>
      <w:tr>
        <w:trPr>
          <w:trHeight w:val="191"/>
        </w:trPr>
        <w:tc>
          <w:tcPr>
            <w:tcW w:w="376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0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John Quisel, J.D., Ph.D.</w:t>
            </w:r>
          </w:p>
        </w:tc>
      </w:tr>
      <w:tr>
        <w:trPr>
          <w:trHeight w:val="216"/>
        </w:trPr>
        <w:tc>
          <w:tcPr>
            <w:tcW w:w="37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President and Chief Executive Officer</w:t>
            </w:r>
          </w:p>
        </w:tc>
      </w:tr>
      <w:tr>
        <w:trPr>
          <w:trHeight w:val="234"/>
        </w:trPr>
        <w:tc>
          <w:tcPr>
            <w:tcW w:w="37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581"/>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6, 2025</w:t>
            </w:r>
          </w:p>
        </w:tc>
        <w:tc>
          <w:tcPr>
            <w:tcW w:w="24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Jean Franchi</w:t>
            </w:r>
          </w:p>
        </w:tc>
      </w:tr>
      <w:tr>
        <w:trPr>
          <w:trHeight w:val="211"/>
        </w:trPr>
        <w:tc>
          <w:tcPr>
            <w:tcW w:w="37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Jean Franchi</w:t>
            </w:r>
          </w:p>
        </w:tc>
      </w:tr>
    </w:tbl>
    <w:p>
      <w:pPr>
        <w:jc w:val="center"/>
        <w:ind w:left="61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7" w:lineRule="exact"/>
        <w:rPr>
          <w:sz w:val="20"/>
          <w:szCs w:val="20"/>
          <w:color w:val="auto"/>
        </w:rPr>
      </w:pPr>
    </w:p>
    <w:p>
      <w:pPr>
        <w:jc w:val="center"/>
        <w:ind w:left="61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6" w:name="page87"/>
    <w:bookmarkEnd w:id="86"/>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RULE 13</w:t>
      </w:r>
      <w:r>
        <w:rPr>
          <w:rFonts w:ascii="Times New Roman" w:cs="Times New Roman" w:eastAsia="Times New Roman" w:hAnsi="Times New Roman"/>
          <w:sz w:val="13"/>
          <w:szCs w:val="13"/>
          <w:b w:val="1"/>
          <w:bCs w:val="1"/>
          <w:color w:val="auto"/>
        </w:rPr>
        <w:t>A</w:t>
      </w:r>
      <w:r>
        <w:rPr>
          <w:rFonts w:ascii="Times New Roman" w:cs="Times New Roman" w:eastAsia="Times New Roman" w:hAnsi="Times New Roman"/>
          <w:sz w:val="18"/>
          <w:szCs w:val="18"/>
          <w:b w:val="1"/>
          <w:bCs w:val="1"/>
          <w:color w:val="auto"/>
        </w:rPr>
        <w:t>-14(</w:t>
      </w:r>
      <w:r>
        <w:rPr>
          <w:rFonts w:ascii="Times New Roman" w:cs="Times New Roman" w:eastAsia="Times New Roman" w:hAnsi="Times New Roman"/>
          <w:sz w:val="13"/>
          <w:szCs w:val="13"/>
          <w:b w:val="1"/>
          <w:bCs w:val="1"/>
          <w:color w:val="auto"/>
        </w:rPr>
        <w:t>A</w:t>
      </w:r>
      <w:r>
        <w:rPr>
          <w:rFonts w:ascii="Times New Roman" w:cs="Times New Roman" w:eastAsia="Times New Roman" w:hAnsi="Times New Roman"/>
          <w:sz w:val="18"/>
          <w:szCs w:val="18"/>
          <w:b w:val="1"/>
          <w:bCs w:val="1"/>
          <w:color w:val="auto"/>
        </w:rPr>
        <w:t>) / RULE 15</w:t>
      </w:r>
      <w:r>
        <w:rPr>
          <w:rFonts w:ascii="Times New Roman" w:cs="Times New Roman" w:eastAsia="Times New Roman" w:hAnsi="Times New Roman"/>
          <w:sz w:val="13"/>
          <w:szCs w:val="13"/>
          <w:b w:val="1"/>
          <w:bCs w:val="1"/>
          <w:color w:val="auto"/>
        </w:rPr>
        <w:t>D</w:t>
      </w:r>
      <w:r>
        <w:rPr>
          <w:rFonts w:ascii="Times New Roman" w:cs="Times New Roman" w:eastAsia="Times New Roman" w:hAnsi="Times New Roman"/>
          <w:sz w:val="18"/>
          <w:szCs w:val="18"/>
          <w:b w:val="1"/>
          <w:bCs w:val="1"/>
          <w:color w:val="auto"/>
        </w:rPr>
        <w:t>-14(</w:t>
      </w:r>
      <w:r>
        <w:rPr>
          <w:rFonts w:ascii="Times New Roman" w:cs="Times New Roman" w:eastAsia="Times New Roman" w:hAnsi="Times New Roman"/>
          <w:sz w:val="13"/>
          <w:szCs w:val="13"/>
          <w:b w:val="1"/>
          <w:bCs w:val="1"/>
          <w:color w:val="auto"/>
        </w:rPr>
        <w:t>A</w:t>
      </w:r>
      <w:r>
        <w:rPr>
          <w:rFonts w:ascii="Times New Roman" w:cs="Times New Roman" w:eastAsia="Times New Roman" w:hAnsi="Times New Roman"/>
          <w:sz w:val="18"/>
          <w:szCs w:val="18"/>
          <w:b w:val="1"/>
          <w:bCs w:val="1"/>
          <w:color w:val="auto"/>
        </w:rPr>
        <w:t>) OF THE SECURITIES EXCHANGE ACT OF 1934, AS 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Quisel, J.D., Ph.D., certify that:</w:t>
      </w:r>
    </w:p>
    <w:p>
      <w:pPr>
        <w:spacing w:after="0" w:line="117" w:lineRule="exact"/>
        <w:rPr>
          <w:sz w:val="20"/>
          <w:szCs w:val="20"/>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Disc Medicine, Inc.;</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540" w:hanging="514"/>
        <w:spacing w:after="0" w:line="266" w:lineRule="auto"/>
        <w:tabs>
          <w:tab w:leader="none" w:pos="15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540" w:hanging="514"/>
        <w:spacing w:after="0" w:line="266" w:lineRule="auto"/>
        <w:tabs>
          <w:tab w:leader="none" w:pos="15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540" w:hanging="514"/>
        <w:spacing w:after="0" w:line="266" w:lineRule="auto"/>
        <w:tabs>
          <w:tab w:leader="none" w:pos="15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jc w:val="both"/>
        <w:ind w:left="1540" w:hanging="514"/>
        <w:spacing w:after="0" w:line="266" w:lineRule="auto"/>
        <w:tabs>
          <w:tab w:leader="none" w:pos="15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540" w:hanging="514"/>
        <w:spacing w:after="0" w:line="282" w:lineRule="auto"/>
        <w:tabs>
          <w:tab w:leader="none" w:pos="15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40" w:right="20" w:hanging="514"/>
        <w:spacing w:after="0" w:line="282" w:lineRule="auto"/>
        <w:tabs>
          <w:tab w:leader="none" w:pos="15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6, 2025</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John Quisel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Quisel, J.D., Ph.D.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87" w:name="page88"/>
    <w:bookmarkEnd w:id="87"/>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RULE 13</w:t>
      </w:r>
      <w:r>
        <w:rPr>
          <w:rFonts w:ascii="Times New Roman" w:cs="Times New Roman" w:eastAsia="Times New Roman" w:hAnsi="Times New Roman"/>
          <w:sz w:val="13"/>
          <w:szCs w:val="13"/>
          <w:b w:val="1"/>
          <w:bCs w:val="1"/>
          <w:color w:val="auto"/>
        </w:rPr>
        <w:t>A</w:t>
      </w:r>
      <w:r>
        <w:rPr>
          <w:rFonts w:ascii="Times New Roman" w:cs="Times New Roman" w:eastAsia="Times New Roman" w:hAnsi="Times New Roman"/>
          <w:sz w:val="18"/>
          <w:szCs w:val="18"/>
          <w:b w:val="1"/>
          <w:bCs w:val="1"/>
          <w:color w:val="auto"/>
        </w:rPr>
        <w:t>-14(</w:t>
      </w:r>
      <w:r>
        <w:rPr>
          <w:rFonts w:ascii="Times New Roman" w:cs="Times New Roman" w:eastAsia="Times New Roman" w:hAnsi="Times New Roman"/>
          <w:sz w:val="13"/>
          <w:szCs w:val="13"/>
          <w:b w:val="1"/>
          <w:bCs w:val="1"/>
          <w:color w:val="auto"/>
        </w:rPr>
        <w:t>A</w:t>
      </w:r>
      <w:r>
        <w:rPr>
          <w:rFonts w:ascii="Times New Roman" w:cs="Times New Roman" w:eastAsia="Times New Roman" w:hAnsi="Times New Roman"/>
          <w:sz w:val="18"/>
          <w:szCs w:val="18"/>
          <w:b w:val="1"/>
          <w:bCs w:val="1"/>
          <w:color w:val="auto"/>
        </w:rPr>
        <w:t>) / RULE 15</w:t>
      </w:r>
      <w:r>
        <w:rPr>
          <w:rFonts w:ascii="Times New Roman" w:cs="Times New Roman" w:eastAsia="Times New Roman" w:hAnsi="Times New Roman"/>
          <w:sz w:val="13"/>
          <w:szCs w:val="13"/>
          <w:b w:val="1"/>
          <w:bCs w:val="1"/>
          <w:color w:val="auto"/>
        </w:rPr>
        <w:t>D</w:t>
      </w:r>
      <w:r>
        <w:rPr>
          <w:rFonts w:ascii="Times New Roman" w:cs="Times New Roman" w:eastAsia="Times New Roman" w:hAnsi="Times New Roman"/>
          <w:sz w:val="18"/>
          <w:szCs w:val="18"/>
          <w:b w:val="1"/>
          <w:bCs w:val="1"/>
          <w:color w:val="auto"/>
        </w:rPr>
        <w:t>-14(</w:t>
      </w:r>
      <w:r>
        <w:rPr>
          <w:rFonts w:ascii="Times New Roman" w:cs="Times New Roman" w:eastAsia="Times New Roman" w:hAnsi="Times New Roman"/>
          <w:sz w:val="13"/>
          <w:szCs w:val="13"/>
          <w:b w:val="1"/>
          <w:bCs w:val="1"/>
          <w:color w:val="auto"/>
        </w:rPr>
        <w:t>A</w:t>
      </w:r>
      <w:r>
        <w:rPr>
          <w:rFonts w:ascii="Times New Roman" w:cs="Times New Roman" w:eastAsia="Times New Roman" w:hAnsi="Times New Roman"/>
          <w:sz w:val="18"/>
          <w:szCs w:val="18"/>
          <w:b w:val="1"/>
          <w:bCs w:val="1"/>
          <w:color w:val="auto"/>
        </w:rPr>
        <w:t>) OF THE SECURITIES EXCHANGE ACT OF 1934, AS 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Jean Franchi, certify that:</w:t>
      </w:r>
    </w:p>
    <w:p>
      <w:pPr>
        <w:spacing w:after="0" w:line="117" w:lineRule="exact"/>
        <w:rPr>
          <w:sz w:val="20"/>
          <w:szCs w:val="20"/>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Disc Medicine, Inc.;</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540" w:hanging="514"/>
        <w:spacing w:after="0" w:line="266" w:lineRule="auto"/>
        <w:tabs>
          <w:tab w:leader="none" w:pos="154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540" w:hanging="514"/>
        <w:spacing w:after="0" w:line="266" w:lineRule="auto"/>
        <w:tabs>
          <w:tab w:leader="none" w:pos="154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540" w:hanging="514"/>
        <w:spacing w:after="0" w:line="266" w:lineRule="auto"/>
        <w:tabs>
          <w:tab w:leader="none" w:pos="154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jc w:val="both"/>
        <w:ind w:left="1540" w:hanging="514"/>
        <w:spacing w:after="0" w:line="266" w:lineRule="auto"/>
        <w:tabs>
          <w:tab w:leader="none" w:pos="154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540" w:hanging="514"/>
        <w:spacing w:after="0" w:line="282" w:lineRule="auto"/>
        <w:tabs>
          <w:tab w:leader="none" w:pos="154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40" w:right="20" w:hanging="514"/>
        <w:spacing w:after="0" w:line="282" w:lineRule="auto"/>
        <w:tabs>
          <w:tab w:leader="none" w:pos="154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6, 2025</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Jean Franchi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Jean Franchi</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88" w:name="page89"/>
    <w:bookmarkEnd w:id="88"/>
    <w:p>
      <w:pPr>
        <w:ind w:left="1026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CERTIFICATIONS OF PRINCIPAL EXECUTIVE OFFICER AND PRINCIPAL</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FINANCIAL OFFICER PURSUANT TO 18 U.S.C. SECTION 1350,</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629"/>
        <w:spacing w:after="0" w:line="266" w:lineRule="auto"/>
        <w:rPr>
          <w:sz w:val="20"/>
          <w:szCs w:val="20"/>
          <w:color w:val="auto"/>
        </w:rPr>
      </w:pPr>
      <w:r>
        <w:rPr>
          <w:rFonts w:ascii="Times New Roman" w:cs="Times New Roman" w:eastAsia="Times New Roman" w:hAnsi="Times New Roman"/>
          <w:sz w:val="18"/>
          <w:szCs w:val="18"/>
          <w:color w:val="auto"/>
        </w:rPr>
        <w:t>In connection with this Quarterly Report on Form 10-Q of Disc Medicine, Inc. (the “Company”) for the quarter ended September 30, 2025 as filed with the Securities and Exchange Commission on the date hereof (the “Report”), each of the undersigned officers hereby certifies, pursuant to 18 U.S.C. Section 1350, as adopted pursuant to Section 906 of the Sarbanes-Oxley Act of 2002, that to the best of his or her knowledge:</w:t>
      </w:r>
    </w:p>
    <w:p>
      <w:pPr>
        <w:spacing w:after="0" w:line="68" w:lineRule="exact"/>
        <w:rPr>
          <w:sz w:val="20"/>
          <w:szCs w:val="20"/>
          <w:color w:val="auto"/>
        </w:rPr>
      </w:pPr>
    </w:p>
    <w:p>
      <w:pPr>
        <w:ind w:left="1140" w:hanging="504"/>
        <w:spacing w:after="0"/>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6, 2025</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John Quisel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Quisel, J.D., Ph.D.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Jean Franchi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4">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Jean Franchi</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9" w:name="page90"/>
    <w:bookmarkEnd w:id="8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1."/>
      <w:numFmt w:val="decimal"/>
      <w:start w:val="16"/>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1)"/>
      <w:numFmt w:val="decimal"/>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1)"/>
      <w:numFmt w:val="lowerRoman"/>
      <w:start w:val="3"/>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
      <w:numFmt w:val="bullet"/>
      <w:start w:val="1"/>
    </w:lvl>
  </w:abstractNum>
  <w:abstractNum w:abstractNumId="37">
    <w:nsid w:val="6A2342EC"/>
    <w:multiLevelType w:val="hybridMultilevel"/>
    <w:lvl w:ilvl="0">
      <w:lvlJc w:val="left"/>
      <w:lvlText w:val="•"/>
      <w:numFmt w:val="bullet"/>
      <w:start w:val="1"/>
    </w:lvl>
  </w:abstractNum>
  <w:abstractNum w:abstractNumId="38">
    <w:nsid w:val="2A487CB0"/>
    <w:multiLevelType w:val="hybridMultilevel"/>
    <w:lvl w:ilvl="0">
      <w:lvlJc w:val="left"/>
      <w:lvlText w:val="•"/>
      <w:numFmt w:val="bullet"/>
      <w:start w:val="1"/>
    </w:lvl>
  </w:abstractNum>
  <w:abstractNum w:abstractNumId="39">
    <w:nsid w:val="1D4ED43B"/>
    <w:multiLevelType w:val="hybridMultilevel"/>
    <w:lvl w:ilvl="0">
      <w:lvlJc w:val="left"/>
      <w:lvlText w:val="•"/>
      <w:numFmt w:val="bullet"/>
      <w:start w:val="1"/>
    </w:lvl>
  </w:abstractNum>
  <w:abstractNum w:abstractNumId="40">
    <w:nsid w:val="725A06FB"/>
    <w:multiLevelType w:val="hybridMultilevel"/>
    <w:lvl w:ilvl="0">
      <w:lvlJc w:val="left"/>
      <w:lvlText w:val="•"/>
      <w:numFmt w:val="bullet"/>
      <w:start w:val="1"/>
    </w:lvl>
  </w:abstractNum>
  <w:abstractNum w:abstractNumId="41">
    <w:nsid w:val="2CD89A32"/>
    <w:multiLevelType w:val="hybridMultilevel"/>
    <w:lvl w:ilvl="0">
      <w:lvlJc w:val="left"/>
      <w:lvlText w:val="(%1)"/>
      <w:numFmt w:val="decimal"/>
      <w:start w:val="1"/>
    </w:lvl>
  </w:abstractNum>
  <w:abstractNum w:abstractNumId="42">
    <w:nsid w:val="57E4CCAF"/>
    <w:multiLevelType w:val="hybridMultilevel"/>
    <w:lvl w:ilvl="0">
      <w:lvlJc w:val="left"/>
      <w:lvlText w:val="**"/>
      <w:numFmt w:val="bullet"/>
      <w:start w:val="1"/>
    </w:lvl>
  </w:abstractNum>
  <w:abstractNum w:abstractNumId="43">
    <w:nsid w:val="7A6D8D3C"/>
    <w:multiLevelType w:val="hybridMultilevel"/>
    <w:lvl w:ilvl="0">
      <w:lvlJc w:val="left"/>
      <w:lvlText w:val="†"/>
      <w:numFmt w:val="bullet"/>
      <w:start w:val="1"/>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decimal"/>
      <w:start w:val="1"/>
    </w:lvl>
    <w:lvl w:ilvl="1">
      <w:lvlJc w:val="left"/>
      <w:lvlText w:val="%2."/>
      <w:numFmt w:val="lowerLetter"/>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6" Type="http://schemas.openxmlformats.org/officeDocument/2006/relationships/image" Target="media/image254.png"/><Relationship Id="rId267" Type="http://schemas.openxmlformats.org/officeDocument/2006/relationships/image" Target="media/image255.png"/><Relationship Id="rId268" Type="http://schemas.openxmlformats.org/officeDocument/2006/relationships/image" Target="media/image256.png"/><Relationship Id="rId269" Type="http://schemas.openxmlformats.org/officeDocument/2006/relationships/image" Target="media/image257.png"/><Relationship Id="rId270" Type="http://schemas.openxmlformats.org/officeDocument/2006/relationships/image" Target="media/image258.png"/><Relationship Id="rId271" Type="http://schemas.openxmlformats.org/officeDocument/2006/relationships/image" Target="media/image259.png"/><Relationship Id="rId272" Type="http://schemas.openxmlformats.org/officeDocument/2006/relationships/image" Target="media/image260.png"/><Relationship Id="rId273" Type="http://schemas.openxmlformats.org/officeDocument/2006/relationships/image" Target="media/image261.png"/><Relationship Id="rId274" Type="http://schemas.openxmlformats.org/officeDocument/2006/relationships/image" Target="media/image262.png"/><Relationship Id="rId275" Type="http://schemas.openxmlformats.org/officeDocument/2006/relationships/image" Target="media/image263.png"/><Relationship Id="rId261" Type="http://schemas.openxmlformats.org/officeDocument/2006/relationships/hyperlink" Target="https://www.sec.gov/Archives/edgar/data/1816736/000114036122032239/ny20005172x1_s4.htm#tANNEXA" TargetMode="External"/><Relationship Id="rId262" Type="http://schemas.openxmlformats.org/officeDocument/2006/relationships/hyperlink" Target="https://www.sec.gov/Archives/edgar/data/1816736/000121390021002636/fs42021a5_fsdevelopment.htm#T52" TargetMode="External"/><Relationship Id="rId263" Type="http://schemas.openxmlformats.org/officeDocument/2006/relationships/hyperlink" Target="https://www.sec.gov/Archives/edgar/data/1816736/000114036122047453/brhc10045896_ex3-1.htm" TargetMode="External"/><Relationship Id="rId264" Type="http://schemas.openxmlformats.org/officeDocument/2006/relationships/hyperlink" Target="https://www.sec.gov/Archives/edgar/data/1816736/000114036122047453/brhc10045896_ex3-2.htm" TargetMode="External"/><Relationship Id="rId265" Type="http://schemas.openxmlformats.org/officeDocument/2006/relationships/hyperlink" Target="https://www.sec.gov/Archives/edgar/data/1816736/000121390021002636/fs42021a5_fsdevelopment.htm#T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2025-11-06T07:42:23Z</dcterms:created>
  <dcterms:modified xsi:type="dcterms:W3CDTF">2025-11-06T07:42:23Z</dcterms:modified>
</cp:coreProperties>
</file>