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0001885327</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Disc Medicine,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001-39438</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321 ARSENAL STREET, SUITE 101</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WATERTOWN</w:t>
      </w:r>
    </w:p>
    <w:p>
      <w:pPr>
        <w:spacing w:after="0" w:line="230" w:lineRule="auto"/>
        <w:rPr>
          <w:sz w:val="20"/>
          <w:szCs w:val="20"/>
          <w:color w:val="auto"/>
        </w:rPr>
      </w:pPr>
      <w:r>
        <w:rPr>
          <w:rFonts w:ascii="Times New Roman" w:cs="Times New Roman" w:eastAsia="Times New Roman" w:hAnsi="Times New Roman"/>
          <w:sz w:val="22"/>
          <w:szCs w:val="22"/>
          <w:color w:val="auto"/>
        </w:rPr>
        <w:t>MASSACHUSETTS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02472</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617-674-9274</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Atlas Venture Opportunity Fund II, LP</w:t>
      </w:r>
    </w:p>
    <w:p>
      <w:pPr>
        <w:spacing w:after="0" w:line="56" w:lineRule="exact"/>
        <w:rPr>
          <w:sz w:val="24"/>
          <w:szCs w:val="24"/>
          <w:color w:val="auto"/>
        </w:rPr>
      </w:pPr>
    </w:p>
    <w:p>
      <w:pPr>
        <w:sectPr>
          <w:pgSz w:w="11900" w:h="16838" w:orient="portrait"/>
          <w:cols w:equalWidth="0" w:num="2">
            <w:col w:w="6360" w:space="720"/>
            <w:col w:w="41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0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Shareholder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jc w:val="center"/>
              <w:ind w:left="72"/>
              <w:spacing w:after="0" w:line="243" w:lineRule="exact"/>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Merrill Lynch</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One Bryant Park</w:t>
            </w:r>
          </w:p>
        </w:tc>
        <w:tc>
          <w:tcPr>
            <w:tcW w:w="1280" w:type="dxa"/>
            <w:vAlign w:val="bottom"/>
          </w:tcPr>
          <w:p>
            <w:pPr>
              <w:jc w:val="right"/>
              <w:ind w:right="532"/>
              <w:spacing w:after="0" w:line="243" w:lineRule="exact"/>
              <w:rPr>
                <w:sz w:val="20"/>
                <w:szCs w:val="20"/>
                <w:color w:val="auto"/>
              </w:rPr>
            </w:pPr>
            <w:r>
              <w:rPr>
                <w:rFonts w:ascii="Times New Roman" w:cs="Times New Roman" w:eastAsia="Times New Roman" w:hAnsi="Times New Roman"/>
                <w:sz w:val="22"/>
                <w:szCs w:val="22"/>
                <w:color w:val="auto"/>
              </w:rPr>
              <w:t>12325</w:t>
            </w:r>
          </w:p>
        </w:tc>
        <w:tc>
          <w:tcPr>
            <w:tcW w:w="1140" w:type="dxa"/>
            <w:vAlign w:val="bottom"/>
          </w:tcPr>
          <w:p>
            <w:pPr>
              <w:jc w:val="right"/>
              <w:ind w:right="252"/>
              <w:spacing w:after="0" w:line="243" w:lineRule="exact"/>
              <w:rPr>
                <w:sz w:val="20"/>
                <w:szCs w:val="20"/>
                <w:color w:val="auto"/>
              </w:rPr>
            </w:pPr>
            <w:r>
              <w:rPr>
                <w:rFonts w:ascii="Times New Roman" w:cs="Times New Roman" w:eastAsia="Times New Roman" w:hAnsi="Times New Roman"/>
                <w:sz w:val="22"/>
                <w:szCs w:val="22"/>
                <w:color w:val="auto"/>
                <w:w w:val="98"/>
              </w:rPr>
              <w:t>1153620</w:t>
            </w: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10036</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0"/>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37750162</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12/12/2025   Nasdaq</w:t>
            </w:r>
          </w:p>
        </w:tc>
        <w:tc>
          <w:tcPr>
            <w:tcW w:w="0" w:type="dxa"/>
            <w:vAlign w:val="bottom"/>
          </w:tcPr>
          <w:p>
            <w:pPr>
              <w:spacing w:after="0"/>
              <w:rPr>
                <w:sz w:val="1"/>
                <w:szCs w:val="1"/>
                <w:color w:val="auto"/>
              </w:rPr>
            </w:pPr>
          </w:p>
        </w:tc>
      </w:tr>
    </w:tbl>
    <w:p>
      <w:pPr>
        <w:spacing w:after="0" w:line="442"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274" w:lineRule="exact"/>
        <w:rPr>
          <w:sz w:val="24"/>
          <w:szCs w:val="24"/>
          <w:color w:val="auto"/>
        </w:rPr>
      </w:pPr>
    </w:p>
    <w:tbl>
      <w:tblPr>
        <w:tblLayout w:type="fixed"/>
        <w:tblInd w:w="260" w:type="dxa"/>
        <w:tblCellMar>
          <w:top w:w="0" w:type="dxa"/>
          <w:left w:w="0" w:type="dxa"/>
          <w:bottom w:w="0" w:type="dxa"/>
          <w:right w:w="0" w:type="dxa"/>
        </w:tblCellMar>
      </w:tblPr>
      <w:tr>
        <w:trPr>
          <w:trHeight w:val="253"/>
        </w:trPr>
        <w:tc>
          <w:tcPr>
            <w:tcW w:w="1160" w:type="dxa"/>
            <w:vAlign w:val="bottom"/>
            <w:vMerge w:val="restart"/>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20" w:type="dxa"/>
            <w:vAlign w:val="bottom"/>
            <w:vMerge w:val="restart"/>
          </w:tcPr>
          <w:p>
            <w:pPr>
              <w:ind w:left="18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300" w:type="dxa"/>
            <w:vAlign w:val="bottom"/>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130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0" w:type="dxa"/>
            <w:vAlign w:val="bottom"/>
          </w:tcPr>
          <w:p>
            <w:pPr>
              <w:spacing w:after="0"/>
              <w:rPr>
                <w:sz w:val="1"/>
                <w:szCs w:val="1"/>
                <w:color w:val="auto"/>
              </w:rPr>
            </w:pPr>
          </w:p>
        </w:tc>
      </w:tr>
      <w:tr>
        <w:trPr>
          <w:trHeight w:val="122"/>
        </w:trPr>
        <w:tc>
          <w:tcPr>
            <w:tcW w:w="1160" w:type="dxa"/>
            <w:vAlign w:val="bottom"/>
            <w:vMerge w:val="restart"/>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5"/>
              </w:rPr>
              <w:t>Class</w:t>
            </w:r>
          </w:p>
        </w:tc>
        <w:tc>
          <w:tcPr>
            <w:tcW w:w="1220" w:type="dxa"/>
            <w:vAlign w:val="bottom"/>
            <w:vMerge w:val="restart"/>
          </w:tcPr>
          <w:p>
            <w:pPr>
              <w:ind w:left="16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13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160" w:type="dxa"/>
            <w:vAlign w:val="bottom"/>
            <w:vMerge w:val="continue"/>
          </w:tcPr>
          <w:p>
            <w:pPr>
              <w:spacing w:after="0"/>
              <w:rPr>
                <w:sz w:val="14"/>
                <w:szCs w:val="14"/>
                <w:color w:val="auto"/>
              </w:rPr>
            </w:pPr>
          </w:p>
        </w:tc>
        <w:tc>
          <w:tcPr>
            <w:tcW w:w="1220" w:type="dxa"/>
            <w:vAlign w:val="bottom"/>
            <w:vMerge w:val="continue"/>
          </w:tcPr>
          <w:p>
            <w:pPr>
              <w:spacing w:after="0"/>
              <w:rPr>
                <w:sz w:val="14"/>
                <w:szCs w:val="14"/>
                <w:color w:val="auto"/>
              </w:rPr>
            </w:pPr>
          </w:p>
        </w:tc>
        <w:tc>
          <w:tcPr>
            <w:tcW w:w="130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0" w:type="dxa"/>
            <w:vAlign w:val="bottom"/>
          </w:tcPr>
          <w:p>
            <w:pPr>
              <w:spacing w:after="0"/>
              <w:rPr>
                <w:sz w:val="1"/>
                <w:szCs w:val="1"/>
                <w:color w:val="auto"/>
              </w:rPr>
            </w:pPr>
          </w:p>
        </w:tc>
      </w:tr>
      <w:tr>
        <w:trPr>
          <w:trHeight w:val="121"/>
        </w:trPr>
        <w:tc>
          <w:tcPr>
            <w:tcW w:w="116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4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0" w:type="dxa"/>
            <w:vAlign w:val="bottom"/>
          </w:tcPr>
          <w:p>
            <w:pPr>
              <w:spacing w:after="0"/>
              <w:rPr>
                <w:sz w:val="1"/>
                <w:szCs w:val="1"/>
                <w:color w:val="auto"/>
              </w:rPr>
            </w:pPr>
          </w:p>
        </w:tc>
      </w:tr>
      <w:tr>
        <w:trPr>
          <w:trHeight w:val="122"/>
        </w:trPr>
        <w:tc>
          <w:tcPr>
            <w:tcW w:w="12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8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4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9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0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0" w:type="dxa"/>
            <w:vAlign w:val="bottom"/>
          </w:tcPr>
          <w:p>
            <w:pPr>
              <w:spacing w:after="0"/>
              <w:rPr>
                <w:sz w:val="1"/>
                <w:szCs w:val="1"/>
                <w:color w:val="auto"/>
              </w:rPr>
            </w:pPr>
          </w:p>
        </w:tc>
      </w:tr>
      <w:tr>
        <w:trPr>
          <w:trHeight w:val="122"/>
        </w:trPr>
        <w:tc>
          <w:tcPr>
            <w:tcW w:w="12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8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4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0" w:type="dxa"/>
            <w:vAlign w:val="bottom"/>
          </w:tcPr>
          <w:p>
            <w:pPr>
              <w:spacing w:after="0"/>
              <w:rPr>
                <w:sz w:val="1"/>
                <w:szCs w:val="1"/>
                <w:color w:val="auto"/>
              </w:rPr>
            </w:pPr>
          </w:p>
        </w:tc>
      </w:tr>
      <w:tr>
        <w:trPr>
          <w:trHeight w:val="286"/>
        </w:trPr>
        <w:tc>
          <w:tcPr>
            <w:tcW w:w="12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80" w:type="dxa"/>
            <w:vAlign w:val="bottom"/>
            <w:vMerge w:val="continue"/>
          </w:tcPr>
          <w:p>
            <w:pPr>
              <w:spacing w:after="0"/>
              <w:rPr>
                <w:sz w:val="24"/>
                <w:szCs w:val="24"/>
                <w:color w:val="auto"/>
              </w:rPr>
            </w:pPr>
          </w:p>
        </w:tc>
        <w:tc>
          <w:tcPr>
            <w:tcW w:w="10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6" w:lineRule="exact"/>
        <w:rPr>
          <w:sz w:val="24"/>
          <w:szCs w:val="24"/>
          <w:color w:val="auto"/>
        </w:rPr>
      </w:pPr>
    </w:p>
    <w:p>
      <w:pPr>
        <w:ind w:left="60"/>
        <w:spacing w:after="0"/>
        <w:tabs>
          <w:tab w:leader="none" w:pos="1300" w:val="left"/>
        </w:tabs>
        <w:rPr>
          <w:sz w:val="20"/>
          <w:szCs w:val="20"/>
          <w:color w:val="auto"/>
        </w:rPr>
      </w:pPr>
      <w:r>
        <w:rPr>
          <w:rFonts w:ascii="Times New Roman" w:cs="Times New Roman" w:eastAsia="Times New Roman" w:hAnsi="Times New Roman"/>
          <w:sz w:val="22"/>
          <w:szCs w:val="22"/>
          <w:b w:val="1"/>
          <w:bCs w:val="1"/>
          <w:color w:val="auto"/>
        </w:rPr>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spacing w:after="0"/>
        <w:tabs>
          <w:tab w:leader="none" w:pos="1260" w:val="left"/>
        </w:tabs>
        <w:rPr>
          <w:sz w:val="20"/>
          <w:szCs w:val="20"/>
          <w:color w:val="auto"/>
        </w:rPr>
      </w:pPr>
      <w:r>
        <w:rPr>
          <w:rFonts w:ascii="Times New Roman" w:cs="Times New Roman" w:eastAsia="Times New Roman" w:hAnsi="Times New Roman"/>
          <w:sz w:val="21"/>
          <w:szCs w:val="21"/>
          <w:b w:val="1"/>
          <w:bCs w:val="1"/>
          <w:color w:val="auto"/>
        </w:rPr>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3">
            <w:col w:w="3940" w:space="480"/>
            <w:col w:w="3920" w:space="280"/>
            <w:col w:w="2620"/>
          </w:cols>
          <w:pgMar w:left="320" w:top="261" w:right="339" w:bottom="0" w:gutter="0" w:footer="0" w:header="0"/>
          <w:type w:val="continuous"/>
        </w:sectPr>
      </w:pPr>
    </w:p>
    <w:bookmarkStart w:id="1" w:name="page2"/>
    <w:bookmarkEnd w:id="1"/>
    <w:p>
      <w:pPr>
        <w:ind w:left="40"/>
        <w:spacing w:after="0"/>
        <w:tabs>
          <w:tab w:leader="none" w:pos="8500" w:val="left"/>
        </w:tabs>
        <w:rPr>
          <w:sz w:val="20"/>
          <w:szCs w:val="20"/>
          <w:color w:val="auto"/>
        </w:rPr>
      </w:pPr>
      <w:r>
        <w:rPr>
          <w:rFonts w:ascii="Times New Roman" w:cs="Times New Roman" w:eastAsia="Times New Roman" w:hAnsi="Times New Roman"/>
          <w:sz w:val="22"/>
          <w:szCs w:val="22"/>
          <w:color w:val="auto"/>
        </w:rPr>
        <w:t xml:space="preserve">Common Stock 05/01/2020 Private Placement Issuer         </w:t>
      </w:r>
      <w:r>
        <w:rPr>
          <w:sz w:val="1"/>
          <w:szCs w:val="1"/>
          <w:color w:val="auto"/>
        </w:rPr>
        <w:drawing>
          <wp:inline distT="0" distB="0" distL="0" distR="0">
            <wp:extent cx="128270"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12325</w:t>
      </w:r>
      <w:r>
        <w:rPr>
          <w:sz w:val="20"/>
          <w:szCs w:val="20"/>
          <w:color w:val="auto"/>
        </w:rPr>
        <w:tab/>
      </w:r>
      <w:r>
        <w:rPr>
          <w:rFonts w:ascii="Times New Roman" w:cs="Times New Roman" w:eastAsia="Times New Roman" w:hAnsi="Times New Roman"/>
          <w:sz w:val="21"/>
          <w:szCs w:val="21"/>
          <w:color w:val="auto"/>
        </w:rPr>
        <w:t>05/01/2020 Cash</w:t>
      </w:r>
    </w:p>
    <w:p>
      <w:pPr>
        <w:spacing w:after="0" w:line="288"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111"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Remarks</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See attached Table II for sales of securities over the last three months.</w:t>
      </w:r>
    </w:p>
    <w:p>
      <w:pPr>
        <w:spacing w:after="0" w:line="56" w:lineRule="exact"/>
        <w:rPr>
          <w:sz w:val="20"/>
          <w:szCs w:val="20"/>
          <w:color w:val="auto"/>
        </w:rPr>
      </w:pPr>
    </w:p>
    <w:p>
      <w:pPr>
        <w:sectPr>
          <w:pgSz w:w="11900" w:h="16838" w:orient="portrait"/>
          <w:cols w:equalWidth="0" w:num="2">
            <w:col w:w="1320" w:space="720"/>
            <w:col w:w="9200"/>
          </w:cols>
          <w:pgMar w:left="320" w:top="111"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1"/>
          <w:szCs w:val="21"/>
          <w:color w:val="auto"/>
        </w:rPr>
        <w:t>Date of Notice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12/12/2025</w:t>
      </w:r>
    </w:p>
    <w:p>
      <w:pPr>
        <w:spacing w:after="0" w:line="50" w:lineRule="exact"/>
        <w:rPr>
          <w:sz w:val="20"/>
          <w:szCs w:val="20"/>
          <w:color w:val="auto"/>
        </w:rPr>
      </w:pPr>
    </w:p>
    <w:p>
      <w:pPr>
        <w:sectPr>
          <w:pgSz w:w="11900" w:h="16838" w:orient="portrait"/>
          <w:cols w:equalWidth="0" w:num="2">
            <w:col w:w="1320" w:space="720"/>
            <w:col w:w="9200"/>
          </w:cols>
          <w:pgMar w:left="320" w:top="111"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1"/>
          <w:szCs w:val="21"/>
          <w:b w:val="1"/>
          <w:bCs w:val="1"/>
          <w:i w:val="1"/>
          <w:iCs w:val="1"/>
          <w:color w:val="auto"/>
        </w:rPr>
        <w:t>ATTENTION:</w:t>
      </w:r>
    </w:p>
    <w:p>
      <w:pPr>
        <w:sectPr>
          <w:pgSz w:w="11900" w:h="16838" w:orient="portrait"/>
          <w:cols w:equalWidth="0" w:num="1">
            <w:col w:w="11240"/>
          </w:cols>
          <w:pgMar w:left="320" w:top="111" w:right="339" w:bottom="1440" w:gutter="0" w:footer="0" w:header="0"/>
          <w:type w:val="continuous"/>
        </w:sectPr>
      </w:pPr>
    </w:p>
    <w:p>
      <w:pPr>
        <w:spacing w:after="0" w:line="345"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20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Ommer Chohan</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11"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2025-12-12T16:16:36Z</dcterms:created>
  <dcterms:modified xsi:type="dcterms:W3CDTF">2025-12-12T16:16:36Z</dcterms:modified>
</cp:coreProperties>
</file>