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GORDON CARL L</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Gemini Therapeutics, Inc. /DE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GMTX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32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10/04/2021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GEMINI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300 1 KENDALL SQUARE, 3RD FLOOR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2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96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3.8</w:t>
            </w: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10/04/2021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17,245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3"/>
          </w:tcPr>
          <w:p>
            <w:pPr>
              <w:ind w:left="40"/>
              <w:spacing w:after="0"/>
              <w:rPr>
                <w:sz w:val="20"/>
                <w:szCs w:val="20"/>
                <w:color w:val="auto"/>
              </w:rPr>
            </w:pPr>
            <w:r>
              <w:rPr>
                <w:rFonts w:ascii="Arial" w:cs="Arial" w:eastAsia="Arial" w:hAnsi="Arial"/>
                <w:sz w:val="13"/>
                <w:szCs w:val="13"/>
                <w:color w:val="0000FF"/>
                <w:w w:val="98"/>
              </w:rPr>
              <w:t>10/03/2031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17,245</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17,245</w:t>
            </w:r>
          </w:p>
        </w:tc>
        <w:tc>
          <w:tcPr>
            <w:tcW w:w="320" w:type="dxa"/>
            <w:vAlign w:val="bottom"/>
          </w:tcPr>
          <w:p>
            <w:pPr>
              <w:spacing w:after="0"/>
              <w:rPr>
                <w:sz w:val="16"/>
                <w:szCs w:val="16"/>
                <w:color w:val="auto"/>
              </w:rPr>
            </w:pPr>
          </w:p>
        </w:tc>
        <w:tc>
          <w:tcPr>
            <w:tcW w:w="620" w:type="dxa"/>
            <w:vAlign w:val="bottom"/>
          </w:tcPr>
          <w:p>
            <w:pPr>
              <w:ind w:left="220"/>
              <w:spacing w:after="0" w:line="190" w:lineRule="exact"/>
              <w:rPr>
                <w:sz w:val="20"/>
                <w:szCs w:val="20"/>
                <w:color w:val="auto"/>
              </w:rPr>
            </w:pPr>
            <w:r>
              <w:rPr>
                <w:rFonts w:ascii="Arial" w:cs="Arial" w:eastAsia="Arial" w:hAnsi="Arial"/>
                <w:sz w:val="21"/>
                <w:szCs w:val="21"/>
                <w:color w:val="0000FF"/>
                <w:vertAlign w:val="subscript"/>
              </w:rPr>
              <w:t>D</w:t>
            </w:r>
            <w:r>
              <w:rPr>
                <w:rFonts w:ascii="Arial" w:cs="Arial" w:eastAsia="Arial" w:hAnsi="Arial"/>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5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shall vest and become exercisable on the earlier of (a) the one (1)-year anniversary of the Grant Date and (b) the Company's next annual meeting of stockholders, in each case, so long as the Optionee continues to have a Service Relationship with the Company on such date.</w:t>
      </w:r>
    </w:p>
    <w:p>
      <w:pPr>
        <w:spacing w:after="0" w:line="25" w:lineRule="exact"/>
        <w:rPr>
          <w:rFonts w:ascii="Arial" w:cs="Arial" w:eastAsia="Arial" w:hAnsi="Arial"/>
          <w:sz w:val="13"/>
          <w:szCs w:val="13"/>
          <w:color w:val="008000"/>
        </w:rPr>
      </w:pPr>
    </w:p>
    <w:p>
      <w:pPr>
        <w:jc w:val="center"/>
        <w:ind w:left="40" w:right="280" w:firstLine="2"/>
        <w:spacing w:after="0" w:line="310"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Pursuant to an agreement with OrbiMed Advisors LLC and OrbiMed Capital GP VI LLC, the Reporting Person is obligated to transfer any securities issued under any stock options or other awards, or the economic benefit thereof, to OrbiMed Advisors LLC and OrbiMed Capital GP VI LLC, which will in turn ensure that such securities or economic benefits are provided to OrbiMed Private Investments VI, LP.</w:t>
      </w:r>
    </w:p>
    <w:p>
      <w:pPr>
        <w:ind w:left="40"/>
        <w:spacing w:after="0"/>
        <w:rPr>
          <w:sz w:val="20"/>
          <w:szCs w:val="20"/>
          <w:color w:val="auto"/>
        </w:rPr>
      </w:pPr>
      <w:r>
        <w:rPr>
          <w:rFonts w:ascii="Arial" w:cs="Arial" w:eastAsia="Arial" w:hAnsi="Arial"/>
          <w:sz w:val="17"/>
          <w:szCs w:val="17"/>
          <w:b w:val="1"/>
          <w:bCs w:val="1"/>
          <w:color w:val="auto"/>
        </w:rPr>
        <w:t>Remarks:</w:t>
      </w:r>
    </w:p>
    <w:p>
      <w:pPr>
        <w:spacing w:after="0" w:line="8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Jason Meyenburg, attorney-</w:t>
      </w:r>
      <w:r>
        <w:rPr>
          <w:sz w:val="20"/>
          <w:szCs w:val="20"/>
          <w:color w:val="auto"/>
        </w:rPr>
        <w:tab/>
      </w:r>
      <w:r>
        <w:rPr>
          <w:rFonts w:ascii="Arial" w:cs="Arial" w:eastAsia="Arial" w:hAnsi="Arial"/>
          <w:sz w:val="22"/>
          <w:szCs w:val="22"/>
          <w:color w:val="0000FF"/>
          <w:vertAlign w:val="subscript"/>
        </w:rPr>
        <w:t>10/06/2021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316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293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2021-10-06T15:17:12Z</dcterms:created>
  <dcterms:modified xsi:type="dcterms:W3CDTF">2021-10-06T15:17:12Z</dcterms:modified>
</cp:coreProperties>
</file>