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7, 2021 (May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1840" w:type="dxa"/>
            <w:vAlign w:val="bottom"/>
          </w:tcPr>
          <w:p>
            <w:pPr>
              <w:jc w:val="center"/>
              <w:ind w:right="121"/>
              <w:spacing w:after="0"/>
              <w:rPr>
                <w:sz w:val="20"/>
                <w:szCs w:val="20"/>
                <w:color w:val="auto"/>
              </w:rPr>
            </w:pPr>
            <w:r>
              <w:rPr>
                <w:rFonts w:ascii="Arial" w:cs="Arial" w:eastAsia="Arial" w:hAnsi="Arial"/>
                <w:sz w:val="18"/>
                <w:szCs w:val="18"/>
                <w:b w:val="1"/>
                <w:bCs w:val="1"/>
                <w:color w:val="auto"/>
                <w:w w:val="91"/>
              </w:rPr>
              <w:t>Delaware</w:t>
            </w:r>
          </w:p>
        </w:tc>
        <w:tc>
          <w:tcPr>
            <w:tcW w:w="5020" w:type="dxa"/>
            <w:vAlign w:val="bottom"/>
          </w:tcPr>
          <w:p>
            <w:pPr>
              <w:jc w:val="right"/>
              <w:ind w:right="1817"/>
              <w:spacing w:after="0"/>
              <w:rPr>
                <w:sz w:val="20"/>
                <w:szCs w:val="20"/>
                <w:color w:val="auto"/>
              </w:rPr>
            </w:pPr>
            <w:r>
              <w:rPr>
                <w:rFonts w:ascii="Arial" w:cs="Arial" w:eastAsia="Arial" w:hAnsi="Arial"/>
                <w:sz w:val="18"/>
                <w:szCs w:val="18"/>
                <w:b w:val="1"/>
                <w:bCs w:val="1"/>
                <w:color w:val="auto"/>
              </w:rPr>
              <w:t>001-39438</w:t>
            </w:r>
          </w:p>
        </w:tc>
        <w:tc>
          <w:tcPr>
            <w:tcW w:w="1920" w:type="dxa"/>
            <w:vAlign w:val="bottom"/>
          </w:tcPr>
          <w:p>
            <w:pPr>
              <w:jc w:val="right"/>
              <w:ind w:right="61"/>
              <w:spacing w:after="0"/>
              <w:rPr>
                <w:sz w:val="20"/>
                <w:szCs w:val="20"/>
                <w:color w:val="auto"/>
              </w:rPr>
            </w:pPr>
            <w:r>
              <w:rPr>
                <w:rFonts w:ascii="Arial" w:cs="Arial" w:eastAsia="Arial" w:hAnsi="Arial"/>
                <w:sz w:val="18"/>
                <w:szCs w:val="18"/>
                <w:b w:val="1"/>
                <w:bCs w:val="1"/>
                <w:color w:val="auto"/>
              </w:rPr>
              <w:t>85-1612845</w:t>
            </w:r>
          </w:p>
        </w:tc>
      </w:tr>
      <w:tr>
        <w:trPr>
          <w:trHeight w:val="148"/>
        </w:trPr>
        <w:tc>
          <w:tcPr>
            <w:tcW w:w="18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020" w:type="dxa"/>
            <w:vAlign w:val="bottom"/>
          </w:tcPr>
          <w:p>
            <w:pPr>
              <w:jc w:val="center"/>
              <w:ind w:left="377"/>
              <w:spacing w:after="0" w:line="149" w:lineRule="exact"/>
              <w:rPr>
                <w:sz w:val="20"/>
                <w:szCs w:val="20"/>
                <w:color w:val="auto"/>
              </w:rPr>
            </w:pPr>
            <w:r>
              <w:rPr>
                <w:rFonts w:ascii="Arial" w:cs="Arial" w:eastAsia="Arial" w:hAnsi="Arial"/>
                <w:sz w:val="14"/>
                <w:szCs w:val="14"/>
                <w:b w:val="1"/>
                <w:bCs w:val="1"/>
                <w:color w:val="auto"/>
                <w:w w:val="94"/>
              </w:rPr>
              <w:t>(Commission File Number)</w:t>
            </w:r>
          </w:p>
        </w:tc>
        <w:tc>
          <w:tcPr>
            <w:tcW w:w="1920" w:type="dxa"/>
            <w:vAlign w:val="bottom"/>
          </w:tcPr>
          <w:p>
            <w:pPr>
              <w:jc w:val="center"/>
              <w:ind w:left="7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84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of incorporation)</w:t>
            </w:r>
          </w:p>
        </w:tc>
        <w:tc>
          <w:tcPr>
            <w:tcW w:w="5020" w:type="dxa"/>
            <w:vAlign w:val="bottom"/>
          </w:tcPr>
          <w:p>
            <w:pPr>
              <w:spacing w:after="0"/>
              <w:rPr>
                <w:sz w:val="16"/>
                <w:szCs w:val="16"/>
                <w:color w:val="auto"/>
              </w:rPr>
            </w:pPr>
          </w:p>
        </w:tc>
        <w:tc>
          <w:tcPr>
            <w:tcW w:w="1920" w:type="dxa"/>
            <w:vAlign w:val="bottom"/>
          </w:tcPr>
          <w:p>
            <w:pPr>
              <w:jc w:val="center"/>
              <w:ind w:left="70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6860" w:type="dxa"/>
            <w:vAlign w:val="bottom"/>
            <w:gridSpan w:val="2"/>
          </w:tcPr>
          <w:p>
            <w:pPr>
              <w:jc w:val="center"/>
              <w:ind w:right="1497"/>
              <w:spacing w:after="0"/>
              <w:rPr>
                <w:sz w:val="20"/>
                <w:szCs w:val="20"/>
                <w:color w:val="auto"/>
              </w:rPr>
            </w:pPr>
            <w:r>
              <w:rPr>
                <w:rFonts w:ascii="Arial" w:cs="Arial" w:eastAsia="Arial" w:hAnsi="Arial"/>
                <w:sz w:val="18"/>
                <w:szCs w:val="18"/>
                <w:b w:val="1"/>
                <w:bCs w:val="1"/>
                <w:color w:val="auto"/>
                <w:w w:val="92"/>
              </w:rPr>
              <w:t>300 One Kendall Square, 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Floor</w:t>
            </w:r>
          </w:p>
        </w:tc>
        <w:tc>
          <w:tcPr>
            <w:tcW w:w="1920" w:type="dxa"/>
            <w:vAlign w:val="bottom"/>
          </w:tcPr>
          <w:p>
            <w:pPr>
              <w:spacing w:after="0"/>
              <w:rPr>
                <w:sz w:val="24"/>
                <w:szCs w:val="24"/>
                <w:color w:val="auto"/>
              </w:rPr>
            </w:pPr>
          </w:p>
        </w:tc>
      </w:tr>
      <w:tr>
        <w:trPr>
          <w:trHeight w:val="225"/>
        </w:trPr>
        <w:tc>
          <w:tcPr>
            <w:tcW w:w="1840" w:type="dxa"/>
            <w:vAlign w:val="bottom"/>
          </w:tcPr>
          <w:p>
            <w:pPr>
              <w:spacing w:after="0"/>
              <w:rPr>
                <w:sz w:val="19"/>
                <w:szCs w:val="19"/>
                <w:color w:val="auto"/>
              </w:rPr>
            </w:pPr>
          </w:p>
        </w:tc>
        <w:tc>
          <w:tcPr>
            <w:tcW w:w="5020" w:type="dxa"/>
            <w:vAlign w:val="bottom"/>
          </w:tcPr>
          <w:p>
            <w:pPr>
              <w:jc w:val="center"/>
              <w:ind w:right="3317"/>
              <w:spacing w:after="0"/>
              <w:rPr>
                <w:sz w:val="20"/>
                <w:szCs w:val="20"/>
                <w:color w:val="auto"/>
              </w:rPr>
            </w:pPr>
            <w:r>
              <w:rPr>
                <w:rFonts w:ascii="Arial" w:cs="Arial" w:eastAsia="Arial" w:hAnsi="Arial"/>
                <w:sz w:val="18"/>
                <w:szCs w:val="18"/>
                <w:b w:val="1"/>
                <w:bCs w:val="1"/>
                <w:color w:val="auto"/>
                <w:w w:val="95"/>
              </w:rPr>
              <w:t>Cambridge, MA</w:t>
            </w:r>
          </w:p>
        </w:tc>
        <w:tc>
          <w:tcPr>
            <w:tcW w:w="192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6860" w:type="dxa"/>
            <w:vAlign w:val="bottom"/>
            <w:gridSpan w:val="2"/>
          </w:tcPr>
          <w:p>
            <w:pPr>
              <w:jc w:val="center"/>
              <w:ind w:right="14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20" w:type="dxa"/>
            <w:vAlign w:val="bottom"/>
          </w:tcPr>
          <w:p>
            <w:pPr>
              <w:jc w:val="center"/>
              <w:ind w:left="70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1840" w:type="dxa"/>
            <w:vAlign w:val="bottom"/>
          </w:tcPr>
          <w:p>
            <w:pPr>
              <w:spacing w:after="0"/>
              <w:rPr>
                <w:sz w:val="24"/>
                <w:szCs w:val="24"/>
                <w:color w:val="auto"/>
              </w:rPr>
            </w:pPr>
          </w:p>
        </w:tc>
        <w:tc>
          <w:tcPr>
            <w:tcW w:w="5020" w:type="dxa"/>
            <w:vAlign w:val="bottom"/>
          </w:tcPr>
          <w:p>
            <w:pPr>
              <w:jc w:val="right"/>
              <w:ind w:right="1757"/>
              <w:spacing w:after="0"/>
              <w:rPr>
                <w:sz w:val="20"/>
                <w:szCs w:val="20"/>
                <w:color w:val="auto"/>
              </w:rPr>
            </w:pPr>
            <w:r>
              <w:rPr>
                <w:rFonts w:ascii="Arial" w:cs="Arial" w:eastAsia="Arial" w:hAnsi="Arial"/>
                <w:sz w:val="18"/>
                <w:szCs w:val="18"/>
                <w:b w:val="1"/>
                <w:bCs w:val="1"/>
                <w:color w:val="auto"/>
              </w:rPr>
              <w:t>(617) 401-4400</w:t>
            </w:r>
          </w:p>
        </w:tc>
        <w:tc>
          <w:tcPr>
            <w:tcW w:w="1920" w:type="dxa"/>
            <w:vAlign w:val="bottom"/>
          </w:tcPr>
          <w:p>
            <w:pPr>
              <w:spacing w:after="0"/>
              <w:rPr>
                <w:sz w:val="24"/>
                <w:szCs w:val="24"/>
                <w:color w:val="auto"/>
              </w:rPr>
            </w:pPr>
          </w:p>
        </w:tc>
      </w:tr>
      <w:tr>
        <w:trPr>
          <w:trHeight w:val="186"/>
        </w:trPr>
        <w:tc>
          <w:tcPr>
            <w:tcW w:w="1840" w:type="dxa"/>
            <w:vAlign w:val="bottom"/>
          </w:tcPr>
          <w:p>
            <w:pPr>
              <w:spacing w:after="0"/>
              <w:rPr>
                <w:sz w:val="16"/>
                <w:szCs w:val="16"/>
                <w:color w:val="auto"/>
              </w:rPr>
            </w:pPr>
          </w:p>
        </w:tc>
        <w:tc>
          <w:tcPr>
            <w:tcW w:w="5020" w:type="dxa"/>
            <w:vAlign w:val="bottom"/>
          </w:tcPr>
          <w:p>
            <w:pPr>
              <w:jc w:val="center"/>
              <w:ind w:left="13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20" w:type="dxa"/>
            <w:vAlign w:val="bottom"/>
          </w:tcPr>
          <w:p>
            <w:pPr>
              <w:spacing w:after="0"/>
              <w:rPr>
                <w:sz w:val="16"/>
                <w:szCs w:val="16"/>
                <w:color w:val="auto"/>
              </w:rPr>
            </w:pP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210" w:lineRule="exact"/>
        <w:rPr>
          <w:sz w:val="24"/>
          <w:szCs w:val="24"/>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ind w:left="424" w:right="18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080" w:right="11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On May 3, 2021, Gemini Therapeutics, Inc. (the “Company”) announced that Georges Gemayel, Ph.D. had been appointed to serve as a member of the Company’s Board of Directors (the “Board”), to fill the newly created vacancy on its Board. Mr. Gemayel will also serve as the Chairman of the Board. The Board determined that Mr. Gemayel is independent under the listing standards of NASDAQ and the Company’s corporate governance guidelines.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Mr. Gemayel will serve as a Class III director with a term expiring at the annual meeting of stockholders to be held in 2023. Mr. Gemayel will be joining the Compensation Committee of the Board and the Nominating and Corporate Governance Committee of the Board.</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non-employee director, Mr. Gemayel will receive cash compensation and an equity award for his Board service, including service on any Committees of the Board, in accordance with the Company’s non-employee director compensation policy, as amended from time to time. Mr. Gemayel is not a party to any transaction with the Company that would require disclosure under Item 404(a) of Regulation S-K, and there are no arrangements or understandings between Mr. Gemayel and any other persons pursuant to which he was selected as a director. In addition, Mr. Gemayel will enter into an indemnification agreement with the Company consistent with the form of the existing indemnification agreement entered into between the Company and its non-employee directors.</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Jason Meyenburg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2021</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2021-05-07T15:31:11Z</dcterms:created>
  <dcterms:modified xsi:type="dcterms:W3CDTF">2021-05-07T15:31:11Z</dcterms:modified>
</cp:coreProperties>
</file>