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1363800.00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12/27/2022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12/27/2022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12/12/2023 51967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3263405.22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3548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212875.15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20549</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1197518.68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12/12/2023 77951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4895139.23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5323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319372.72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1796365.93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1920000.00</w:t>
            </w:r>
          </w:p>
        </w:tc>
      </w:tr>
    </w:tbl>
    <w:p>
      <w:pPr>
        <w:spacing w:after="0" w:line="559" w:lineRule="exact"/>
        <w:rPr>
          <w:sz w:val="20"/>
          <w:szCs w:val="20"/>
          <w:color w:val="auto"/>
        </w:rPr>
      </w:pPr>
    </w:p>
    <w:p>
      <w:pPr>
        <w:sectPr>
          <w:pgSz w:w="11900" w:h="16838" w:orient="portrait"/>
          <w:cols w:equalWidth="0" w:num="2">
            <w:col w:w="3400" w:space="26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01/23/2024</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Opportunity Fund II, L.P., By: /s/ 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2024-01-23T16:49:52Z</dcterms:created>
  <dcterms:modified xsi:type="dcterms:W3CDTF">2024-01-23T16:49:52Z</dcterms:modified>
</cp:coreProperties>
</file>