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iron-2024-naa_card-defa1.htm"/>
      <w:bookmarkStart w:id="1" w:name="ksiron2024naa_carddefa1"/>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rFonts w:ascii="Times New Roman" w:hAnsi="Times New Roman"/>
          <w:b/>
          <w:color w:val="000000"/>
          <w:sz w:val="36"/>
        </w:rPr>
      </w:pPr>
      <w:r>
        <w:rPr>
          <w:rFonts w:ascii="Times New Roman" w:hAnsi="Times New Roman"/>
          <w:b/>
          <w:color w:val="000000"/>
          <w:sz w:val="36"/>
        </w:rPr>
        <w:t>SCHEDULE 14A INFORMATION</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Proxy Statement Pursuant to Section 14(a)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 (Amendment No. )</w:t>
      </w:r>
    </w:p>
    <w:tbl>
      <w:tblPr>
        <w:tblW w:w="6021" w:type="dxa"/>
        <w:jc w:val="left"/>
        <w:tblInd w:w="0" w:type="dxa"/>
        <w:tblLayout w:type="fixed"/>
        <w:tblCellMar>
          <w:top w:w="28" w:type="dxa"/>
          <w:left w:w="28" w:type="dxa"/>
          <w:bottom w:w="28" w:type="dxa"/>
          <w:right w:w="28" w:type="dxa"/>
        </w:tblCellMar>
      </w:tblPr>
      <w:tblGrid>
        <w:gridCol w:w="2206"/>
        <w:gridCol w:w="3661"/>
        <w:gridCol w:w="154"/>
      </w:tblGrid>
      <w:tr>
        <w:trPr/>
        <w:tc>
          <w:tcPr>
            <w:tcW w:w="220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 ☒</w:t>
            </w:r>
          </w:p>
        </w:tc>
        <w:tc>
          <w:tcPr>
            <w:tcW w:w="36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by a Party other than the Registrant ☐</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rFonts w:ascii="Times New Roman" w:hAnsi="Times New Roman"/>
          <w:color w:val="000000"/>
          <w:sz w:val="20"/>
        </w:rPr>
      </w:pPr>
      <w:r>
        <w:rPr>
          <w:rFonts w:ascii="Times New Roman" w:hAnsi="Times New Roman"/>
          <w:color w:val="000000"/>
          <w:sz w:val="20"/>
        </w:rPr>
        <w:t>Check the appropriate box:</w:t>
      </w:r>
    </w:p>
    <w:tbl>
      <w:tblPr>
        <w:tblW w:w="6992" w:type="dxa"/>
        <w:jc w:val="left"/>
        <w:tblInd w:w="0" w:type="dxa"/>
        <w:tblLayout w:type="fixed"/>
        <w:tblCellMar>
          <w:top w:w="28" w:type="dxa"/>
          <w:left w:w="28" w:type="dxa"/>
          <w:bottom w:w="28" w:type="dxa"/>
          <w:right w:w="28" w:type="dxa"/>
        </w:tblCellMar>
      </w:tblPr>
      <w:tblGrid>
        <w:gridCol w:w="331"/>
        <w:gridCol w:w="6661"/>
      </w:tblGrid>
      <w:tr>
        <w:trPr/>
        <w:tc>
          <w:tcPr>
            <w:tcW w:w="331" w:type="dxa"/>
            <w:tcBorders/>
            <w:vAlign w:val="center"/>
          </w:tcPr>
          <w:p>
            <w:pPr>
              <w:pStyle w:val="TableContents"/>
              <w:bidi w:val="0"/>
              <w:spacing w:before="0" w:after="283"/>
              <w:jc w:val="left"/>
              <w:rPr>
                <w:sz w:val="4"/>
                <w:szCs w:val="4"/>
              </w:rPr>
            </w:pPr>
            <w:r>
              <w:rPr>
                <w:sz w:val="4"/>
                <w:szCs w:val="4"/>
              </w:rPr>
            </w:r>
          </w:p>
        </w:tc>
        <w:tc>
          <w:tcPr>
            <w:tcW w:w="666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666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vAlign w:val="center"/>
          </w:tcPr>
          <w:p>
            <w:pPr>
              <w:pStyle w:val="TableContents"/>
              <w:bidi w:val="0"/>
              <w:spacing w:before="0" w:after="283"/>
              <w:jc w:val="left"/>
              <w:rPr>
                <w:color w:val="000000"/>
              </w:rPr>
            </w:pPr>
            <w:r>
              <w:rPr>
                <w:color w:val="000000"/>
              </w:rPr>
              <w:t>☐</w:t>
            </w:r>
          </w:p>
        </w:tc>
        <w:tc>
          <w:tcPr>
            <w:tcW w:w="666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Confidential, for Use of the Commission Only (as permitted by Rule 14a-6(e)(2))</w:t>
            </w:r>
          </w:p>
        </w:tc>
      </w:tr>
      <w:tr>
        <w:trPr/>
        <w:tc>
          <w:tcPr>
            <w:tcW w:w="331" w:type="dxa"/>
            <w:tcBorders/>
            <w:vAlign w:val="center"/>
          </w:tcPr>
          <w:p>
            <w:pPr>
              <w:pStyle w:val="TableContents"/>
              <w:bidi w:val="0"/>
              <w:spacing w:before="0" w:after="283"/>
              <w:jc w:val="left"/>
              <w:rPr>
                <w:color w:val="000000"/>
              </w:rPr>
            </w:pPr>
            <w:r>
              <w:rPr>
                <w:color w:val="000000"/>
              </w:rPr>
              <w:t>☐</w:t>
            </w:r>
          </w:p>
        </w:tc>
        <w:tc>
          <w:tcPr>
            <w:tcW w:w="666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vAlign w:val="center"/>
          </w:tcPr>
          <w:p>
            <w:pPr>
              <w:pStyle w:val="TableContents"/>
              <w:bidi w:val="0"/>
              <w:spacing w:before="0" w:after="283"/>
              <w:jc w:val="left"/>
              <w:rPr>
                <w:color w:val="000000"/>
              </w:rPr>
            </w:pPr>
            <w:r>
              <w:rPr>
                <w:color w:val="000000"/>
              </w:rPr>
              <w:t>☒</w:t>
            </w:r>
          </w:p>
        </w:tc>
        <w:tc>
          <w:tcPr>
            <w:tcW w:w="666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vAlign w:val="center"/>
          </w:tcPr>
          <w:p>
            <w:pPr>
              <w:pStyle w:val="TableContents"/>
              <w:bidi w:val="0"/>
              <w:spacing w:before="0" w:after="283"/>
              <w:jc w:val="left"/>
              <w:rPr>
                <w:color w:val="000000"/>
              </w:rPr>
            </w:pPr>
            <w:r>
              <w:rPr>
                <w:color w:val="000000"/>
              </w:rPr>
              <w:t>☐</w:t>
            </w:r>
          </w:p>
        </w:tc>
        <w:tc>
          <w:tcPr>
            <w:tcW w:w="666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Soliciting Material under §240.14a-12</w:t>
            </w:r>
          </w:p>
        </w:tc>
      </w:tr>
    </w:tbl>
    <w:p>
      <w:pPr>
        <w:pStyle w:val="TextBody"/>
        <w:bidi w:val="0"/>
        <w:jc w:val="center"/>
        <w:rPr>
          <w:rFonts w:ascii="Times New Roman" w:hAnsi="Times New Roman"/>
          <w:b/>
          <w:color w:val="000000"/>
          <w:sz w:val="36"/>
        </w:rPr>
      </w:pPr>
      <w:r>
        <w:rPr>
          <w:rFonts w:ascii="Times New Roman" w:hAnsi="Times New Roman"/>
          <w:b/>
          <w:color w:val="000000"/>
          <w:sz w:val="36"/>
        </w:rPr>
        <w:t>DISC MEDICINE, INC.</w:t>
      </w:r>
    </w:p>
    <w:p>
      <w:pPr>
        <w:pStyle w:val="TextBody"/>
        <w:bidi w:val="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jc w:val="both"/>
        <w:rPr>
          <w:rFonts w:ascii="Times New Roman" w:hAnsi="Times New Roman"/>
          <w:color w:val="000000"/>
          <w:sz w:val="20"/>
        </w:rPr>
      </w:pPr>
      <w:r>
        <w:rPr>
          <w:rFonts w:ascii="Times New Roman" w:hAnsi="Times New Roman"/>
          <w:color w:val="000000"/>
          <w:sz w:val="20"/>
        </w:rPr>
        <w:t>Payment of Filing Fee (Check all boxes that apply):</w:t>
      </w:r>
    </w:p>
    <w:tbl>
      <w:tblPr>
        <w:tblW w:w="8747" w:type="dxa"/>
        <w:jc w:val="left"/>
        <w:tblInd w:w="0" w:type="dxa"/>
        <w:tblLayout w:type="fixed"/>
        <w:tblCellMar>
          <w:top w:w="28" w:type="dxa"/>
          <w:left w:w="28" w:type="dxa"/>
          <w:bottom w:w="28" w:type="dxa"/>
          <w:right w:w="28" w:type="dxa"/>
        </w:tblCellMar>
      </w:tblPr>
      <w:tblGrid>
        <w:gridCol w:w="331"/>
        <w:gridCol w:w="8416"/>
      </w:tblGrid>
      <w:tr>
        <w:trPr/>
        <w:tc>
          <w:tcPr>
            <w:tcW w:w="331" w:type="dxa"/>
            <w:tcBorders/>
            <w:vAlign w:val="center"/>
          </w:tcPr>
          <w:p>
            <w:pPr>
              <w:pStyle w:val="TableContents"/>
              <w:bidi w:val="0"/>
              <w:spacing w:before="0" w:after="283"/>
              <w:jc w:val="left"/>
              <w:rPr>
                <w:sz w:val="4"/>
                <w:szCs w:val="4"/>
              </w:rPr>
            </w:pPr>
            <w:r>
              <w:rPr>
                <w:sz w:val="4"/>
                <w:szCs w:val="4"/>
              </w:rPr>
            </w:r>
          </w:p>
        </w:tc>
        <w:tc>
          <w:tcPr>
            <w:tcW w:w="841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841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 fee required.</w:t>
            </w:r>
          </w:p>
        </w:tc>
      </w:tr>
      <w:tr>
        <w:trPr/>
        <w:tc>
          <w:tcPr>
            <w:tcW w:w="331" w:type="dxa"/>
            <w:tcBorders/>
            <w:vAlign w:val="center"/>
          </w:tcPr>
          <w:p>
            <w:pPr>
              <w:pStyle w:val="TableContents"/>
              <w:bidi w:val="0"/>
              <w:spacing w:before="0" w:after="283"/>
              <w:jc w:val="left"/>
              <w:rPr>
                <w:color w:val="000000"/>
              </w:rPr>
            </w:pPr>
            <w:r>
              <w:rPr>
                <w:color w:val="000000"/>
              </w:rPr>
              <w:t>☐</w:t>
            </w:r>
          </w:p>
        </w:tc>
        <w:tc>
          <w:tcPr>
            <w:tcW w:w="841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vAlign w:val="center"/>
          </w:tcPr>
          <w:p>
            <w:pPr>
              <w:pStyle w:val="TableContents"/>
              <w:bidi w:val="0"/>
              <w:spacing w:before="0" w:after="283"/>
              <w:jc w:val="left"/>
              <w:rPr>
                <w:color w:val="000000"/>
              </w:rPr>
            </w:pPr>
            <w:r>
              <w:rPr>
                <w:color w:val="000000"/>
              </w:rPr>
              <w:t>☐</w:t>
            </w:r>
          </w:p>
        </w:tc>
        <w:tc>
          <w:tcPr>
            <w:tcW w:w="841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5800725" cy="7505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00725" cy="7505700"/>
                    </a:xfrm>
                    <a:prstGeom prst="rect">
                      <a:avLst/>
                    </a:prstGeom>
                  </pic:spPr>
                </pic:pic>
              </a:graphicData>
            </a:graphic>
          </wp:inline>
        </w:drawing>
      </w:r>
      <w:r>
        <w:rPr/>
        <w:t> </w:t>
      </w:r>
    </w:p>
    <w:p>
      <w:pPr>
        <w:pStyle w:val="TextBody"/>
        <w:bidi w:val="0"/>
        <w:jc w:val="left"/>
        <w:rPr>
          <w:rFonts w:ascii="Times New Roman" w:hAnsi="Times New Roman"/>
          <w:color w:val="FFFFFF"/>
          <w:sz w:val="2"/>
        </w:rPr>
      </w:pPr>
      <w:r>
        <w:rPr>
          <w:rFonts w:ascii="Times New Roman" w:hAnsi="Times New Roman"/>
          <w:color w:val="FFFFFF"/>
          <w:sz w:val="2"/>
        </w:rPr>
        <w:t>Your Vote Counts! DISC MEDICINE, INC. 321 ARSENAL STREET, SUITE 101 WATERTOWN, MA 02472 DISC MEDICINE, INC. 2023 Annual Meeting Vote by June 8, 2023 11:59 PM ET disc medicine V09882-P92820 You invested in DISC MEDICINE, INC. and it’s time to vote! You have the right to vote on proposals being presented at the Annual Meeting. This is an important notice regarding the availability of proxy materials for the stockholder meeting to be held on June 9, 2023. *Please check the meeting materials for any special requirements for meeting attendance. Smartphone users Point your camera here and vote without entering a control number For complete information and to vote, visit www.ProxyVote.com Control # V09882-P92820 Get informed before you vote View the 10-K and NPS online OR you can receive a free paper or email copy of the material(s) by requesting prior to May 26, 2023.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Vote Virtually at the Meeting* June 9, 2023 9:00 AM, EDT Virtually at: www.virtualshareholdermeeting.com/IRON2023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5800725" cy="5467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00725" cy="5467350"/>
                    </a:xfrm>
                    <a:prstGeom prst="rect">
                      <a:avLst/>
                    </a:prstGeom>
                  </pic:spPr>
                </pic:pic>
              </a:graphicData>
            </a:graphic>
          </wp:inline>
        </w:drawing>
      </w:r>
      <w:r>
        <w:rPr/>
        <w:t> </w:t>
      </w:r>
    </w:p>
    <w:p>
      <w:pPr>
        <w:pStyle w:val="TextBody"/>
        <w:bidi w:val="0"/>
        <w:jc w:val="left"/>
        <w:rPr>
          <w:rFonts w:ascii="Times New Roman" w:hAnsi="Times New Roman"/>
          <w:color w:val="FFFFFF"/>
          <w:sz w:val="2"/>
        </w:rPr>
      </w:pPr>
      <w:r>
        <w:rPr>
          <w:rFonts w:ascii="Times New Roman" w:hAnsi="Times New Roman"/>
          <w:color w:val="FFFFFF"/>
          <w:sz w:val="2"/>
        </w:rPr>
        <w:t>Vote at www.ProxyVote.com THIS IS NOT A VOTABLE BALLOT This is an overview of the proposals being presented at the upcoming stockholder meeting. Please follow the instructions on the reverse side to vote these important matters. Voting Items Board Recommends 1. Election of Directors Class II Nominees: 01) Georges Gemayel 02) Mark Chin 03) Liam Ratcliffe Class III Nominees: 04) Donald Nicholson 05) William White 06) John Quisel 2. To ratify the appointment of Ernst &amp; Young LLP as the Company’s independent registered public accounting firm for the fiscal year ending December 31, 2023. NOTE: To transact any other business properly brought before the annual meeting or any adjournment or postponement thereof. For For Prefer to receive an email instead? While voting on www.ProxyVote.com, be sure to click “Delivery Settings”. V09883-P92820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485</Words>
  <Characters>2602</Characters>
  <CharactersWithSpaces>3061</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