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103505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500" w:hanging="479"/>
        <w:spacing w:after="0"/>
        <w:tabs>
          <w:tab w:leader="none" w:pos="500" w:val="left"/>
        </w:tabs>
        <w:numPr>
          <w:ilvl w:val="0"/>
          <w:numId w:val="1"/>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QUARTERLY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June 30, 2023</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OR</w:t>
      </w:r>
    </w:p>
    <w:p>
      <w:pPr>
        <w:spacing w:after="0" w:line="158" w:lineRule="exact"/>
        <w:rPr>
          <w:sz w:val="24"/>
          <w:szCs w:val="24"/>
          <w:color w:val="auto"/>
        </w:rPr>
      </w:pPr>
    </w:p>
    <w:p>
      <w:pPr>
        <w:ind w:left="500" w:hanging="479"/>
        <w:spacing w:after="0"/>
        <w:tabs>
          <w:tab w:leader="none" w:pos="50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20"/>
          <w:szCs w:val="20"/>
          <w:b w:val="1"/>
          <w:bCs w:val="1"/>
          <w:color w:val="auto"/>
        </w:rPr>
        <w:t>TRANSITION REPORT PURSUANT TO SECTION 13 OR 15(d) OF THE SECURITIES EXCHANGE ACT OF 1934</w:t>
      </w:r>
    </w:p>
    <w:p>
      <w:pPr>
        <w:spacing w:after="0" w:line="119" w:lineRule="exact"/>
        <w:rPr>
          <w:sz w:val="24"/>
          <w:szCs w:val="24"/>
          <w:color w:val="auto"/>
        </w:rPr>
      </w:pPr>
    </w:p>
    <w:p>
      <w:pPr>
        <w:ind w:left="2840"/>
        <w:spacing w:after="0"/>
        <w:rPr>
          <w:sz w:val="20"/>
          <w:szCs w:val="20"/>
          <w:color w:val="auto"/>
        </w:rPr>
      </w:pPr>
      <w:r>
        <w:rPr>
          <w:rFonts w:ascii="Arial" w:cs="Arial" w:eastAsia="Arial" w:hAnsi="Arial"/>
          <w:sz w:val="17"/>
          <w:szCs w:val="17"/>
          <w:b w:val="1"/>
          <w:bCs w:val="1"/>
          <w:color w:val="auto"/>
        </w:rPr>
        <w:t>For the transition period from __________________ to __________________</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Commission File Number: 001-39438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95250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Disc Medicine, Inc.</w:t>
      </w:r>
    </w:p>
    <w:p>
      <w:pPr>
        <w:sectPr>
          <w:pgSz w:w="11900" w:h="16838" w:orient="portrait"/>
          <w:cols w:equalWidth="0" w:num="1">
            <w:col w:w="11240"/>
          </w:cols>
          <w:pgMar w:left="320" w:top="646" w:right="339" w:bottom="1440" w:gutter="0" w:footer="0" w:header="0"/>
        </w:sectPr>
      </w:pPr>
    </w:p>
    <w:p>
      <w:pPr>
        <w:spacing w:after="0" w:line="46"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6"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Delaware</w:t>
      </w:r>
    </w:p>
    <w:p>
      <w:pPr>
        <w:spacing w:after="0" w:line="33"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(State or other jurisdiction of</w:t>
      </w:r>
    </w:p>
    <w:p>
      <w:pPr>
        <w:spacing w:after="0" w:line="4" w:lineRule="exact"/>
        <w:rPr>
          <w:sz w:val="24"/>
          <w:szCs w:val="24"/>
          <w:color w:val="auto"/>
        </w:rPr>
      </w:pPr>
    </w:p>
    <w:p>
      <w:pPr>
        <w:ind w:left="188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85-1612845</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65" w:lineRule="exact"/>
        <w:rPr>
          <w:sz w:val="24"/>
          <w:szCs w:val="24"/>
          <w:color w:val="auto"/>
        </w:rPr>
      </w:pPr>
    </w:p>
    <w:p>
      <w:pPr>
        <w:sectPr>
          <w:pgSz w:w="11900" w:h="16838" w:orient="portrait"/>
          <w:cols w:equalWidth="0" w:num="2">
            <w:col w:w="7520" w:space="340"/>
            <w:col w:w="3380"/>
          </w:cols>
          <w:pgMar w:left="320" w:top="646" w:right="339" w:bottom="1440" w:gutter="0" w:footer="0" w:header="0"/>
          <w:type w:val="continuous"/>
        </w:sectPr>
      </w:pPr>
    </w:p>
    <w:tbl>
      <w:tblPr>
        <w:tblLayout w:type="fixed"/>
        <w:tblInd w:w="0" w:type="dxa"/>
        <w:tblCellMar>
          <w:top w:w="0" w:type="dxa"/>
          <w:left w:w="0" w:type="dxa"/>
          <w:bottom w:w="0" w:type="dxa"/>
          <w:right w:w="0" w:type="dxa"/>
        </w:tblCellMar>
      </w:tblPr>
      <w:tr>
        <w:trPr>
          <w:trHeight w:val="203"/>
        </w:trPr>
        <w:tc>
          <w:tcPr>
            <w:tcW w:w="7320" w:type="dxa"/>
            <w:vAlign w:val="bottom"/>
            <w:gridSpan w:val="8"/>
          </w:tcPr>
          <w:p>
            <w:pPr>
              <w:jc w:val="center"/>
              <w:ind w:right="1680"/>
              <w:spacing w:after="0"/>
              <w:rPr>
                <w:sz w:val="20"/>
                <w:szCs w:val="20"/>
                <w:color w:val="auto"/>
              </w:rPr>
            </w:pPr>
            <w:r>
              <w:rPr>
                <w:rFonts w:ascii="Arial" w:cs="Arial" w:eastAsia="Arial" w:hAnsi="Arial"/>
                <w:sz w:val="17"/>
                <w:szCs w:val="17"/>
                <w:b w:val="1"/>
                <w:bCs w:val="1"/>
                <w:color w:val="auto"/>
                <w:w w:val="89"/>
              </w:rPr>
              <w:t>321 Arsenal Street, Suite 101</w:t>
            </w:r>
          </w:p>
        </w:tc>
        <w:tc>
          <w:tcPr>
            <w:tcW w:w="3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00" w:type="dxa"/>
            <w:vAlign w:val="bottom"/>
          </w:tcPr>
          <w:p>
            <w:pPr>
              <w:jc w:val="center"/>
              <w:ind w:left="1760"/>
              <w:spacing w:after="0"/>
              <w:rPr>
                <w:sz w:val="20"/>
                <w:szCs w:val="20"/>
                <w:color w:val="auto"/>
              </w:rPr>
            </w:pPr>
            <w:r>
              <w:rPr>
                <w:rFonts w:ascii="Arial" w:cs="Arial" w:eastAsia="Arial" w:hAnsi="Arial"/>
                <w:sz w:val="17"/>
                <w:szCs w:val="17"/>
                <w:b w:val="1"/>
                <w:bCs w:val="1"/>
                <w:color w:val="auto"/>
                <w:w w:val="89"/>
              </w:rPr>
              <w:t>Watertown, Massachusetts</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920" w:type="dxa"/>
            <w:vAlign w:val="bottom"/>
          </w:tcPr>
          <w:p>
            <w:pPr>
              <w:jc w:val="right"/>
              <w:ind w:right="2521"/>
              <w:spacing w:after="0"/>
              <w:rPr>
                <w:sz w:val="20"/>
                <w:szCs w:val="20"/>
                <w:color w:val="auto"/>
              </w:rPr>
            </w:pPr>
            <w:r>
              <w:rPr>
                <w:rFonts w:ascii="Arial" w:cs="Arial" w:eastAsia="Arial" w:hAnsi="Arial"/>
                <w:sz w:val="17"/>
                <w:szCs w:val="17"/>
                <w:b w:val="1"/>
                <w:bCs w:val="1"/>
                <w:color w:val="auto"/>
              </w:rPr>
              <w:t>02472</w:t>
            </w:r>
          </w:p>
        </w:tc>
        <w:tc>
          <w:tcPr>
            <w:tcW w:w="0" w:type="dxa"/>
            <w:vAlign w:val="bottom"/>
          </w:tcPr>
          <w:p>
            <w:pPr>
              <w:spacing w:after="0"/>
              <w:rPr>
                <w:sz w:val="1"/>
                <w:szCs w:val="1"/>
                <w:color w:val="auto"/>
              </w:rPr>
            </w:pPr>
          </w:p>
        </w:tc>
      </w:tr>
      <w:tr>
        <w:trPr>
          <w:trHeight w:val="195"/>
        </w:trPr>
        <w:tc>
          <w:tcPr>
            <w:tcW w:w="7320" w:type="dxa"/>
            <w:vAlign w:val="bottom"/>
            <w:gridSpan w:val="8"/>
          </w:tcPr>
          <w:p>
            <w:pPr>
              <w:jc w:val="center"/>
              <w:ind w:right="170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920" w:type="dxa"/>
            <w:vAlign w:val="bottom"/>
          </w:tcPr>
          <w:p>
            <w:pPr>
              <w:jc w:val="center"/>
              <w:ind w:right="162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3"/>
                <w:szCs w:val="23"/>
                <w:color w:val="auto"/>
              </w:rPr>
            </w:pPr>
          </w:p>
        </w:tc>
        <w:tc>
          <w:tcPr>
            <w:tcW w:w="2420" w:type="dxa"/>
            <w:vAlign w:val="bottom"/>
            <w:gridSpan w:val="5"/>
          </w:tcPr>
          <w:p>
            <w:pPr>
              <w:jc w:val="right"/>
              <w:ind w:right="60"/>
              <w:spacing w:after="0"/>
              <w:rPr>
                <w:sz w:val="20"/>
                <w:szCs w:val="20"/>
                <w:color w:val="auto"/>
              </w:rPr>
            </w:pPr>
            <w:r>
              <w:rPr>
                <w:rFonts w:ascii="Arial" w:cs="Arial" w:eastAsia="Arial" w:hAnsi="Arial"/>
                <w:sz w:val="17"/>
                <w:szCs w:val="17"/>
                <w:b w:val="1"/>
                <w:bCs w:val="1"/>
                <w:color w:val="auto"/>
              </w:rPr>
              <w:t>(617) 674-9274</w:t>
            </w:r>
          </w:p>
        </w:tc>
        <w:tc>
          <w:tcPr>
            <w:tcW w:w="5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3520" w:type="dxa"/>
            <w:vAlign w:val="bottom"/>
            <w:gridSpan w:val="7"/>
          </w:tcPr>
          <w:p>
            <w:pPr>
              <w:jc w:val="center"/>
              <w:ind w:left="3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6"/>
        </w:trPr>
        <w:tc>
          <w:tcPr>
            <w:tcW w:w="3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4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3800" w:type="dxa"/>
            <w:vAlign w:val="bottom"/>
          </w:tcPr>
          <w:p>
            <w:pPr>
              <w:spacing w:after="0"/>
              <w:rPr>
                <w:sz w:val="21"/>
                <w:szCs w:val="21"/>
                <w:color w:val="auto"/>
              </w:rPr>
            </w:pPr>
          </w:p>
        </w:tc>
        <w:tc>
          <w:tcPr>
            <w:tcW w:w="7440" w:type="dxa"/>
            <w:vAlign w:val="bottom"/>
            <w:gridSpan w:val="8"/>
          </w:tcPr>
          <w:p>
            <w:pPr>
              <w:ind w:left="20"/>
              <w:spacing w:after="0"/>
              <w:rPr>
                <w:sz w:val="20"/>
                <w:szCs w:val="20"/>
                <w:color w:val="auto"/>
              </w:rPr>
            </w:pPr>
            <w:r>
              <w:rPr>
                <w:rFonts w:ascii="Arial" w:cs="Arial" w:eastAsia="Arial" w:hAnsi="Arial"/>
                <w:sz w:val="17"/>
                <w:szCs w:val="17"/>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51"/>
        </w:trPr>
        <w:tc>
          <w:tcPr>
            <w:tcW w:w="3800" w:type="dxa"/>
            <w:vAlign w:val="bottom"/>
            <w:vMerge w:val="restart"/>
          </w:tcPr>
          <w:p>
            <w:pPr>
              <w:jc w:val="center"/>
              <w:ind w:left="380"/>
              <w:spacing w:after="0"/>
              <w:rPr>
                <w:sz w:val="20"/>
                <w:szCs w:val="20"/>
                <w:color w:val="auto"/>
              </w:rPr>
            </w:pPr>
            <w:r>
              <w:rPr>
                <w:rFonts w:ascii="Arial" w:cs="Arial" w:eastAsia="Arial" w:hAnsi="Arial"/>
                <w:sz w:val="14"/>
                <w:szCs w:val="14"/>
                <w:b w:val="1"/>
                <w:bCs w:val="1"/>
                <w:color w:val="auto"/>
                <w:w w:val="91"/>
              </w:rPr>
              <w:t>Title of each class</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7"/>
              </w:rPr>
              <w:t>Trading</w:t>
            </w:r>
          </w:p>
        </w:tc>
        <w:tc>
          <w:tcPr>
            <w:tcW w:w="3920" w:type="dxa"/>
            <w:vAlign w:val="bottom"/>
            <w:vMerge w:val="restart"/>
          </w:tcPr>
          <w:p>
            <w:pPr>
              <w:jc w:val="center"/>
              <w:ind w:right="1021"/>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380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gridSpan w:val="4"/>
          </w:tcPr>
          <w:p>
            <w:pPr>
              <w:jc w:val="center"/>
              <w:ind w:right="1360"/>
              <w:spacing w:after="0"/>
              <w:rPr>
                <w:sz w:val="20"/>
                <w:szCs w:val="20"/>
                <w:color w:val="auto"/>
              </w:rPr>
            </w:pPr>
            <w:r>
              <w:rPr>
                <w:rFonts w:ascii="Arial" w:cs="Arial" w:eastAsia="Arial" w:hAnsi="Arial"/>
                <w:sz w:val="14"/>
                <w:szCs w:val="14"/>
                <w:b w:val="1"/>
                <w:bCs w:val="1"/>
                <w:color w:val="auto"/>
                <w:w w:val="91"/>
              </w:rPr>
              <w:t>Symbol(s)</w:t>
            </w: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800" w:type="dxa"/>
            <w:vAlign w:val="bottom"/>
            <w:tcBorders>
              <w:top w:val="single" w:sz="8" w:color="auto"/>
            </w:tcBorders>
          </w:tcPr>
          <w:p>
            <w:pPr>
              <w:jc w:val="center"/>
              <w:ind w:left="380"/>
              <w:spacing w:after="0"/>
              <w:rPr>
                <w:sz w:val="20"/>
                <w:szCs w:val="20"/>
                <w:color w:val="auto"/>
              </w:rPr>
            </w:pPr>
            <w:r>
              <w:rPr>
                <w:rFonts w:ascii="Arial" w:cs="Arial" w:eastAsia="Arial" w:hAnsi="Arial"/>
                <w:sz w:val="17"/>
                <w:szCs w:val="17"/>
                <w:b w:val="1"/>
                <w:bCs w:val="1"/>
                <w:color w:val="auto"/>
                <w:w w:val="91"/>
              </w:rPr>
              <w:t>Common Stock, $0.0001 Par Value</w:t>
            </w: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center"/>
              <w:ind w:right="24"/>
              <w:spacing w:after="0"/>
              <w:rPr>
                <w:sz w:val="20"/>
                <w:szCs w:val="20"/>
                <w:color w:val="auto"/>
              </w:rPr>
            </w:pPr>
            <w:r>
              <w:rPr>
                <w:rFonts w:ascii="Arial" w:cs="Arial" w:eastAsia="Arial" w:hAnsi="Arial"/>
                <w:sz w:val="17"/>
                <w:szCs w:val="17"/>
                <w:b w:val="1"/>
                <w:bCs w:val="1"/>
                <w:color w:val="auto"/>
              </w:rPr>
              <w:t>IRON</w:t>
            </w:r>
          </w:p>
        </w:tc>
        <w:tc>
          <w:tcPr>
            <w:tcW w:w="14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18"/>
                <w:szCs w:val="18"/>
                <w:color w:val="auto"/>
              </w:rPr>
            </w:pPr>
          </w:p>
        </w:tc>
        <w:tc>
          <w:tcPr>
            <w:tcW w:w="3920" w:type="dxa"/>
            <w:vAlign w:val="bottom"/>
            <w:tcBorders>
              <w:top w:val="single" w:sz="8" w:color="auto"/>
            </w:tcBorders>
          </w:tcPr>
          <w:p>
            <w:pPr>
              <w:jc w:val="center"/>
              <w:ind w:right="1021"/>
              <w:spacing w:after="0"/>
              <w:rPr>
                <w:sz w:val="20"/>
                <w:szCs w:val="20"/>
                <w:color w:val="auto"/>
              </w:rPr>
            </w:pPr>
            <w:r>
              <w:rPr>
                <w:rFonts w:ascii="Arial" w:cs="Arial" w:eastAsia="Arial" w:hAnsi="Arial"/>
                <w:sz w:val="17"/>
                <w:szCs w:val="17"/>
                <w:b w:val="1"/>
                <w:bCs w:val="1"/>
                <w:color w:val="auto"/>
                <w:w w:val="94"/>
              </w:rPr>
              <w:t>The Nasdaq Global Market</w:t>
            </w:r>
          </w:p>
        </w:tc>
        <w:tc>
          <w:tcPr>
            <w:tcW w:w="0" w:type="dxa"/>
            <w:vAlign w:val="bottom"/>
          </w:tcPr>
          <w:p>
            <w:pPr>
              <w:spacing w:after="0"/>
              <w:rPr>
                <w:sz w:val="1"/>
                <w:szCs w:val="1"/>
                <w:color w:val="auto"/>
              </w:rPr>
            </w:pPr>
          </w:p>
        </w:tc>
      </w:tr>
    </w:tbl>
    <w:p>
      <w:pPr>
        <w:spacing w:after="0" w:line="59" w:lineRule="exact"/>
        <w:rPr>
          <w:sz w:val="24"/>
          <w:szCs w:val="24"/>
          <w:color w:val="auto"/>
        </w:rPr>
      </w:pPr>
    </w:p>
    <w:p>
      <w:pPr>
        <w:ind w:right="80" w:firstLine="599"/>
        <w:spacing w:after="0" w:line="221"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220" w:firstLine="599"/>
        <w:spacing w:after="0" w:line="291" w:lineRule="auto"/>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340" w:hanging="332"/>
        <w:spacing w:after="0" w:line="196" w:lineRule="exact"/>
        <w:tabs>
          <w:tab w:leader="none" w:pos="34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1" w:lineRule="exact"/>
        <w:rPr>
          <w:sz w:val="24"/>
          <w:szCs w:val="24"/>
          <w:color w:val="auto"/>
        </w:rPr>
      </w:pPr>
    </w:p>
    <w:p>
      <w:pPr>
        <w:jc w:val="both"/>
        <w:ind w:right="260" w:firstLine="599"/>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19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36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Accelerated filer</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30"/>
        </w:trPr>
        <w:tc>
          <w:tcPr>
            <w:tcW w:w="1900" w:type="dxa"/>
            <w:vAlign w:val="bottom"/>
          </w:tcPr>
          <w:p>
            <w:pPr>
              <w:spacing w:after="0"/>
              <w:rPr>
                <w:sz w:val="20"/>
                <w:szCs w:val="20"/>
                <w:color w:val="auto"/>
              </w:rPr>
            </w:pPr>
            <w:r>
              <w:rPr>
                <w:rFonts w:ascii="Arial" w:cs="Arial" w:eastAsia="Arial" w:hAnsi="Arial"/>
                <w:sz w:val="17"/>
                <w:szCs w:val="17"/>
                <w:color w:val="auto"/>
              </w:rPr>
              <w:t>Non-accelerated filer</w:t>
            </w:r>
          </w:p>
        </w:tc>
        <w:tc>
          <w:tcPr>
            <w:tcW w:w="3600" w:type="dxa"/>
            <w:vAlign w:val="bottom"/>
          </w:tcPr>
          <w:p>
            <w:pPr>
              <w:ind w:left="360"/>
              <w:spacing w:after="0" w:line="171" w:lineRule="exact"/>
              <w:rPr>
                <w:sz w:val="20"/>
                <w:szCs w:val="20"/>
                <w:color w:val="auto"/>
              </w:rPr>
            </w:pPr>
            <w:r>
              <w:rPr>
                <w:rFonts w:ascii="MS PGothic" w:cs="MS PGothic" w:eastAsia="MS PGothic" w:hAnsi="MS PGothic"/>
                <w:sz w:val="17"/>
                <w:szCs w:val="17"/>
                <w:color w:val="auto"/>
              </w:rPr>
              <w:t>☒</w:t>
            </w:r>
          </w:p>
        </w:tc>
        <w:tc>
          <w:tcPr>
            <w:tcW w:w="5220" w:type="dxa"/>
            <w:vAlign w:val="bottom"/>
          </w:tcPr>
          <w:p>
            <w:pPr>
              <w:ind w:left="3100"/>
              <w:spacing w:after="0"/>
              <w:rPr>
                <w:sz w:val="20"/>
                <w:szCs w:val="20"/>
                <w:color w:val="auto"/>
              </w:rPr>
            </w:pPr>
            <w:r>
              <w:rPr>
                <w:rFonts w:ascii="Arial" w:cs="Arial" w:eastAsia="Arial" w:hAnsi="Arial"/>
                <w:sz w:val="17"/>
                <w:szCs w:val="17"/>
                <w:color w:val="auto"/>
              </w:rPr>
              <w:t>Smaller reporting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87"/>
        </w:trPr>
        <w:tc>
          <w:tcPr>
            <w:tcW w:w="19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20" w:type="dxa"/>
            <w:vAlign w:val="bottom"/>
          </w:tcPr>
          <w:p>
            <w:pPr>
              <w:ind w:left="3100"/>
              <w:spacing w:after="0"/>
              <w:rPr>
                <w:sz w:val="20"/>
                <w:szCs w:val="20"/>
                <w:color w:val="auto"/>
              </w:rPr>
            </w:pPr>
            <w:r>
              <w:rPr>
                <w:rFonts w:ascii="Arial" w:cs="Arial" w:eastAsia="Arial" w:hAnsi="Arial"/>
                <w:sz w:val="17"/>
                <w:szCs w:val="17"/>
                <w:color w:val="auto"/>
              </w:rPr>
              <w:t>Emerging growth company</w:t>
            </w:r>
          </w:p>
        </w:tc>
        <w:tc>
          <w:tcPr>
            <w:tcW w:w="40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61" w:lineRule="exact"/>
        <w:rPr>
          <w:sz w:val="24"/>
          <w:szCs w:val="24"/>
          <w:color w:val="auto"/>
        </w:rPr>
      </w:pPr>
    </w:p>
    <w:p>
      <w:pPr>
        <w:ind w:right="120" w:firstLine="599"/>
        <w:spacing w:after="0" w:line="23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600" w:right="1760"/>
        <w:spacing w:after="0" w:line="25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8, 2023, there were 22,877,552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type w:val="continuous"/>
        </w:sectPr>
      </w:pPr>
    </w:p>
    <w:bookmarkStart w:id="1" w:name="page2"/>
    <w:bookmarkEnd w:id="1"/>
    <w:tbl>
      <w:tblPr>
        <w:tblLayout w:type="fixed"/>
        <w:tblInd w:w="1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560" w:type="dxa"/>
            <w:vAlign w:val="bottom"/>
            <w:gridSpan w:val="6"/>
          </w:tcPr>
          <w:p>
            <w:pPr>
              <w:ind w:left="6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418"/>
        </w:trPr>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8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Page</w:t>
            </w:r>
          </w:p>
        </w:tc>
      </w:tr>
      <w:tr>
        <w:trPr>
          <w:trHeight w:val="425"/>
        </w:trPr>
        <w:tc>
          <w:tcPr>
            <w:tcW w:w="10420" w:type="dxa"/>
            <w:vAlign w:val="bottom"/>
            <w:gridSpan w:val="19"/>
          </w:tcPr>
          <w:p>
            <w:pPr>
              <w:spacing w:after="0"/>
              <w:rPr>
                <w:sz w:val="20"/>
                <w:szCs w:val="20"/>
                <w:color w:val="auto"/>
              </w:rPr>
            </w:pPr>
            <w:r>
              <w:rPr>
                <w:rFonts w:ascii="Arial" w:cs="Arial" w:eastAsia="Arial" w:hAnsi="Arial"/>
                <w:sz w:val="18"/>
                <w:szCs w:val="18"/>
                <w:b w:val="1"/>
                <w:bCs w:val="1"/>
                <w:color w:val="0000FF"/>
              </w:rPr>
              <w:t>RISK FACTOR SUMMARY</w:t>
            </w: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0420" w:type="dxa"/>
            <w:vAlign w:val="bottom"/>
            <w:gridSpan w:val="19"/>
          </w:tcPr>
          <w:p>
            <w:pPr>
              <w:spacing w:after="0"/>
              <w:rPr>
                <w:sz w:val="20"/>
                <w:szCs w:val="20"/>
                <w:color w:val="auto"/>
              </w:rPr>
            </w:pPr>
            <w:r>
              <w:rPr>
                <w:rFonts w:ascii="Arial" w:cs="Arial" w:eastAsia="Arial" w:hAnsi="Arial"/>
                <w:sz w:val="18"/>
                <w:szCs w:val="18"/>
                <w:b w:val="1"/>
                <w:bCs w:val="1"/>
                <w:color w:val="0000FF"/>
              </w:rPr>
              <w:t>FORWARD LOOKING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240" w:type="dxa"/>
            <w:vAlign w:val="bottom"/>
            <w:gridSpan w:val="17"/>
          </w:tcPr>
          <w:p>
            <w:pPr>
              <w:spacing w:after="0"/>
              <w:rPr>
                <w:sz w:val="20"/>
                <w:szCs w:val="20"/>
                <w:color w:val="auto"/>
              </w:rPr>
            </w:pPr>
            <w:r>
              <w:rPr>
                <w:rFonts w:ascii="Arial" w:cs="Arial" w:eastAsia="Arial" w:hAnsi="Arial"/>
                <w:sz w:val="18"/>
                <w:szCs w:val="18"/>
                <w:b w:val="1"/>
                <w:bCs w:val="1"/>
                <w:color w:val="0000FF"/>
              </w:rPr>
              <w:t>FINANCIAL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w:t>
            </w: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Operations and Comprehensive Loss</w:t>
            </w:r>
          </w:p>
        </w:tc>
        <w:tc>
          <w:tcPr>
            <w:tcW w:w="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Preferred Stock and Stockholders’ Equity (Deficit)</w:t>
            </w: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w:t>
            </w: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38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40" w:type="dxa"/>
            <w:vAlign w:val="bottom"/>
            <w:gridSpan w:val="17"/>
          </w:tcPr>
          <w:p>
            <w:pPr>
              <w:spacing w:after="0"/>
              <w:rPr>
                <w:sz w:val="20"/>
                <w:szCs w:val="20"/>
                <w:color w:val="auto"/>
              </w:rPr>
            </w:pPr>
            <w:r>
              <w:rPr>
                <w:rFonts w:ascii="Arial" w:cs="Arial" w:eastAsia="Arial" w:hAnsi="Arial"/>
                <w:sz w:val="18"/>
                <w:szCs w:val="18"/>
                <w:color w:val="0000FF"/>
              </w:rPr>
              <w:t>Notes to Unaudited Condensed Consolidated Financial Statements</w:t>
            </w: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2100" w:type="dxa"/>
            <w:vAlign w:val="bottom"/>
            <w:tcBorders>
              <w:left w:val="single" w:sz="8" w:color="0000FF"/>
            </w:tcBorders>
            <w:gridSpan w:val="3"/>
            <w:shd w:val="clear" w:color="auto" w:fill="0000FF"/>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920" w:type="dxa"/>
            <w:vAlign w:val="bottom"/>
            <w:tcBorders>
              <w:left w:val="single" w:sz="8" w:color="0000FF"/>
            </w:tcBorders>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7"/>
          </w:tcPr>
          <w:p>
            <w:pPr>
              <w:spacing w:after="0"/>
              <w:rPr>
                <w:sz w:val="20"/>
                <w:szCs w:val="20"/>
                <w:color w:val="auto"/>
              </w:rPr>
            </w:pPr>
            <w:r>
              <w:rPr>
                <w:rFonts w:ascii="Arial" w:cs="Arial" w:eastAsia="Arial" w:hAnsi="Arial"/>
                <w:sz w:val="18"/>
                <w:szCs w:val="18"/>
                <w:color w:val="0000FF"/>
              </w:rPr>
              <w:t>Controls and Procedures</w:t>
            </w:r>
          </w:p>
        </w:tc>
        <w:tc>
          <w:tcPr>
            <w:tcW w:w="8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240" w:type="dxa"/>
            <w:vAlign w:val="bottom"/>
            <w:gridSpan w:val="17"/>
          </w:tcPr>
          <w:p>
            <w:pPr>
              <w:spacing w:after="0"/>
              <w:rPr>
                <w:sz w:val="20"/>
                <w:szCs w:val="20"/>
                <w:color w:val="auto"/>
              </w:rPr>
            </w:pPr>
            <w:r>
              <w:rPr>
                <w:rFonts w:ascii="Arial" w:cs="Arial" w:eastAsia="Arial" w:hAnsi="Arial"/>
                <w:sz w:val="18"/>
                <w:szCs w:val="18"/>
                <w:b w:val="1"/>
                <w:bCs w:val="1"/>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66"/>
        </w:trPr>
        <w:tc>
          <w:tcPr>
            <w:tcW w:w="11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4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4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8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40" w:type="dxa"/>
            <w:vAlign w:val="bottom"/>
            <w:gridSpan w:val="17"/>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tcBorders>
              <w:left w:val="single" w:sz="8" w:color="0000FF"/>
            </w:tcBorders>
            <w:gridSpan w:val="4"/>
            <w:shd w:val="clear" w:color="auto" w:fill="0000FF"/>
          </w:tcPr>
          <w:p>
            <w:pPr>
              <w:spacing w:after="0" w:line="20" w:lineRule="exact"/>
              <w:rPr>
                <w:sz w:val="1"/>
                <w:szCs w:val="1"/>
                <w:color w:val="auto"/>
              </w:rPr>
            </w:pPr>
          </w:p>
        </w:tc>
        <w:tc>
          <w:tcPr>
            <w:tcW w:w="49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240" w:type="dxa"/>
            <w:vAlign w:val="bottom"/>
            <w:gridSpan w:val="17"/>
          </w:tcPr>
          <w:p>
            <w:pPr>
              <w:spacing w:after="0"/>
              <w:rPr>
                <w:sz w:val="20"/>
                <w:szCs w:val="20"/>
                <w:color w:val="auto"/>
              </w:rPr>
            </w:pPr>
            <w:r>
              <w:rPr>
                <w:rFonts w:ascii="Arial" w:cs="Arial" w:eastAsia="Arial" w:hAnsi="Arial"/>
                <w:sz w:val="18"/>
                <w:szCs w:val="18"/>
                <w:color w:val="0000FF"/>
              </w:rPr>
              <w:t>Defaults Upon Senior Securities</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40" w:type="dxa"/>
            <w:vAlign w:val="bottom"/>
            <w:gridSpan w:val="9"/>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240" w:type="dxa"/>
            <w:vAlign w:val="bottom"/>
            <w:gridSpan w:val="17"/>
          </w:tcPr>
          <w:p>
            <w:pPr>
              <w:spacing w:after="0"/>
              <w:rPr>
                <w:sz w:val="20"/>
                <w:szCs w:val="20"/>
                <w:color w:val="auto"/>
              </w:rPr>
            </w:pPr>
            <w:r>
              <w:rPr>
                <w:rFonts w:ascii="Arial" w:cs="Arial" w:eastAsia="Arial" w:hAnsi="Arial"/>
                <w:sz w:val="18"/>
                <w:szCs w:val="18"/>
                <w:color w:val="0000FF"/>
              </w:rPr>
              <w:t>Mine Safety Disclosures</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0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40" w:type="dxa"/>
            <w:vAlign w:val="bottom"/>
            <w:gridSpan w:val="17"/>
          </w:tcPr>
          <w:p>
            <w:pPr>
              <w:spacing w:after="0"/>
              <w:rPr>
                <w:sz w:val="20"/>
                <w:szCs w:val="20"/>
                <w:color w:val="auto"/>
              </w:rPr>
            </w:pPr>
            <w:r>
              <w:rPr>
                <w:rFonts w:ascii="Arial" w:cs="Arial" w:eastAsia="Arial" w:hAnsi="Arial"/>
                <w:sz w:val="18"/>
                <w:szCs w:val="18"/>
                <w:color w:val="0000FF"/>
              </w:rPr>
              <w:t>Other Information</w:t>
            </w: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0"/>
        </w:trPr>
        <w:tc>
          <w:tcPr>
            <w:tcW w:w="76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7960" w:type="dxa"/>
            <w:vAlign w:val="bottom"/>
            <w:gridSpan w:val="1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240" w:type="dxa"/>
            <w:vAlign w:val="bottom"/>
            <w:gridSpan w:val="17"/>
          </w:tcPr>
          <w:p>
            <w:pPr>
              <w:spacing w:after="0"/>
              <w:rPr>
                <w:sz w:val="20"/>
                <w:szCs w:val="20"/>
                <w:color w:val="auto"/>
              </w:rPr>
            </w:pPr>
            <w:r>
              <w:rPr>
                <w:rFonts w:ascii="Arial" w:cs="Arial" w:eastAsia="Arial" w:hAnsi="Arial"/>
                <w:sz w:val="18"/>
                <w:szCs w:val="18"/>
                <w:color w:val="0000FF"/>
              </w:rPr>
              <w:t>Exhibits</w:t>
            </w: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3"/>
        </w:trPr>
        <w:tc>
          <w:tcPr>
            <w:tcW w:w="118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RISK FACTOR SUMMARY</w:t>
      </w:r>
    </w:p>
    <w:p>
      <w:pPr>
        <w:spacing w:after="0" w:line="22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risk factors detailed in Item 1A entitled “Risk Factors” in this Quarterly Report on Form 10-Q are the risks that we believe are material to our investors and a reader should carefully consider them. Those risks are not all of the risks we face and other factors not presently known to us or that we currently believe are immaterial may also affect our business if they occur. The following is a summary of the risk factors detailed in Item 1A:</w:t>
      </w:r>
    </w:p>
    <w:p>
      <w:pPr>
        <w:spacing w:after="0" w:line="57"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limited operating history may make it difficult for you to evaluate the success of our business to date and to assess our future viability.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have incurred significant net losses since our inception and anticipate that we will continue to incur losses for the foreseeable future.</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no products approved for commercial sale and have not generated any revenue from product sales.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5"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15"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5"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receipt of necessary regulatory approvals could be delayed or prevented.</w:t>
      </w:r>
    </w:p>
    <w:p>
      <w:pPr>
        <w:spacing w:after="0" w:line="62"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8"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38"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75" w:lineRule="exact"/>
        <w:rPr>
          <w:rFonts w:ascii="Arial" w:cs="Arial" w:eastAsia="Arial" w:hAnsi="Arial"/>
          <w:sz w:val="18"/>
          <w:szCs w:val="18"/>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15" w:lineRule="exact"/>
        <w:rPr>
          <w:rFonts w:ascii="Arial" w:cs="Arial" w:eastAsia="Arial" w:hAnsi="Arial"/>
          <w:sz w:val="16"/>
          <w:szCs w:val="16"/>
          <w:color w:val="auto"/>
        </w:rPr>
      </w:pPr>
    </w:p>
    <w:p>
      <w:pPr>
        <w:ind w:left="760" w:hanging="378"/>
        <w:spacing w:after="0" w:line="34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5"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substantial competition, which may result in others discovering, developing, or commercializing products before or more successfully than we do.</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current product candidates or any future product candidates do not achieve broad market acceptance, the revenue that we generate from our sales may be limited, and we may never become profitable.</w:t>
      </w:r>
    </w:p>
    <w:p>
      <w:pPr>
        <w:spacing w:after="0" w:line="62"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760"/>
        <w:spacing w:after="0"/>
        <w:rPr>
          <w:sz w:val="20"/>
          <w:szCs w:val="20"/>
          <w:color w:val="auto"/>
        </w:rPr>
      </w:pPr>
      <w:r>
        <w:rPr>
          <w:rFonts w:ascii="Arial" w:cs="Arial" w:eastAsia="Arial" w:hAnsi="Arial"/>
          <w:sz w:val="16"/>
          <w:szCs w:val="16"/>
          <w:color w:val="auto"/>
        </w:rPr>
        <w:t>we may not be able to obtain regulatory approval for or commercialize our product candidates and our business could be substantially harmed.</w:t>
      </w:r>
    </w:p>
    <w:p>
      <w:pPr>
        <w:spacing w:after="0" w:line="140" w:lineRule="exact"/>
        <w:rPr>
          <w:sz w:val="20"/>
          <w:szCs w:val="20"/>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might not realize the anticipated benefits of our current collaborations with Mabwell or NIH, or any other collaborations we enter into in the future.</w:t>
      </w:r>
    </w:p>
    <w:p>
      <w:pPr>
        <w:spacing w:after="0" w:line="62"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78"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8"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obtain or grant licenses or sublicenses to intellectual property rights in all markets on equally or sufficiently favorable terms with third parties.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key executives and experienced scientists and to attract, retain, and motivate qualified personnel.</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Unfavorable global economic conditions could adversely affect our business, financial condition or results of operations.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market price of our common stock is expected to be volatile.</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will incur additional costs and increased demands upon management as a result of complying with the laws and regulations affecting public companies.</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7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170"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This section contains forward-looking statements. You should refer to the explanation of the qualifications and limitations on forward-looking statements under the caption “Forward Looking Statements” of this Quarterly Report on Form 10-Q.</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This Quarterly Report on Form 10-Q, or Quarterly Report, of Disc Medicine, Inc., or the Company, contains or incorporates statements that constitute forward-looking statements within the meaning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Quarterly Report on Form 10-Q may include, for example, statements about:</w:t>
      </w:r>
    </w:p>
    <w:p>
      <w:pPr>
        <w:spacing w:after="0" w:line="84" w:lineRule="exact"/>
        <w:rPr>
          <w:sz w:val="20"/>
          <w:szCs w:val="20"/>
          <w:color w:val="auto"/>
        </w:rPr>
      </w:pPr>
    </w:p>
    <w:p>
      <w:pPr>
        <w:jc w:val="both"/>
        <w:ind w:left="760" w:hanging="378"/>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efficiently discover and develop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and the potential to successfully manufacture our drug substances and product candidates for preclinical use, for clinical trials and on a larger scale for commercial use, if approved;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ability to obtain funding for our operations necessary to complete further development and commercialization of our product candidates;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17"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impact of global economic and political developments on our business, including rising inflation and capital market disruptions, the current conflict in Ukraine, economic sanctions and economic slowdowns or recessions that may result from such developments which could harm our research and development efforts as well as the value of our common stock and our ability to access capital markets; and</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both"/>
        <w:ind w:firstLine="509"/>
        <w:spacing w:after="0" w:line="257" w:lineRule="auto"/>
        <w:rPr>
          <w:sz w:val="20"/>
          <w:szCs w:val="20"/>
          <w:color w:val="auto"/>
        </w:rPr>
      </w:pPr>
      <w:r>
        <w:rPr>
          <w:rFonts w:ascii="Arial" w:cs="Arial" w:eastAsia="Arial" w:hAnsi="Arial"/>
          <w:sz w:val="18"/>
          <w:szCs w:val="18"/>
          <w:color w:val="auto"/>
        </w:rPr>
        <w:t>These forward-looking statements are based on information available to us at the time of this Quarterly Report on Form 10-Q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Some factors that could cause actual results to differ include:</w:t>
      </w:r>
    </w:p>
    <w:p>
      <w:pPr>
        <w:spacing w:after="0" w:line="76" w:lineRule="exact"/>
        <w:rPr>
          <w:sz w:val="20"/>
          <w:szCs w:val="20"/>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maintain the listing of our common stock on Nasdaq;</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of our securities may be volatile due to a variety of factors, including the volatility in capital markets, changes in the competitive and highly regulated industries in which we operate, variations in performance across competitors, changes in laws and regulations affecting our business and changes in our capital structure;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of downturns in the economy and the possibility of rapid change in the highly competitive industry in which we operate;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risk that we will need to raise additional capital to execute our business plan, which may not be available on acceptable terms or at all;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risk that we experience difficulties in managing our growth and expanding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60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21"/>
                <w:szCs w:val="21"/>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230"/>
        </w:trPr>
        <w:tc>
          <w:tcPr>
            <w:tcW w:w="76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20"/>
                <w:szCs w:val="20"/>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377,602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194,611</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4,131</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3,880</w:t>
            </w:r>
          </w:p>
        </w:tc>
        <w:tc>
          <w:tcPr>
            <w:tcW w:w="140" w:type="dxa"/>
            <w:vAlign w:val="bottom"/>
          </w:tcPr>
          <w:p>
            <w:pPr>
              <w:spacing w:after="0"/>
              <w:rPr>
                <w:sz w:val="21"/>
                <w:szCs w:val="21"/>
                <w:color w:val="auto"/>
              </w:rPr>
            </w:pPr>
          </w:p>
        </w:tc>
      </w:tr>
      <w:tr>
        <w:trPr>
          <w:trHeight w:val="236"/>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381,733</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198,491</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assets, operating leases</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21"/>
                <w:szCs w:val="21"/>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FF0FC"/>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384,174</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200,205</w:t>
            </w:r>
          </w:p>
        </w:tc>
        <w:tc>
          <w:tcPr>
            <w:tcW w:w="140" w:type="dxa"/>
            <w:vAlign w:val="bottom"/>
            <w:tcBorders>
              <w:bottom w:val="single" w:sz="8" w:color="CFF0FC"/>
            </w:tcBorders>
            <w:shd w:val="clear" w:color="auto" w:fill="CFF0FC"/>
          </w:tcPr>
          <w:p>
            <w:pPr>
              <w:spacing w:after="0"/>
              <w:rPr>
                <w:sz w:val="24"/>
                <w:szCs w:val="24"/>
                <w:color w:val="auto"/>
              </w:rPr>
            </w:pPr>
          </w:p>
        </w:tc>
      </w:tr>
      <w:tr>
        <w:trPr>
          <w:trHeight w:val="219"/>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5,214</w:t>
            </w:r>
          </w:p>
        </w:tc>
        <w:tc>
          <w:tcPr>
            <w:tcW w:w="34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16,162</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6,109</w:t>
            </w:r>
          </w:p>
        </w:tc>
        <w:tc>
          <w:tcPr>
            <w:tcW w:w="140" w:type="dxa"/>
            <w:vAlign w:val="bottom"/>
            <w:shd w:val="clear" w:color="auto" w:fill="CFF0FC"/>
          </w:tcPr>
          <w:p>
            <w:pPr>
              <w:spacing w:after="0"/>
              <w:rPr>
                <w:sz w:val="21"/>
                <w:szCs w:val="21"/>
                <w:color w:val="auto"/>
              </w:rPr>
            </w:pPr>
          </w:p>
        </w:tc>
      </w:tr>
      <w:tr>
        <w:trPr>
          <w:trHeight w:val="243"/>
        </w:trPr>
        <w:tc>
          <w:tcPr>
            <w:tcW w:w="7600" w:type="dxa"/>
            <w:vAlign w:val="bottom"/>
          </w:tcPr>
          <w:p>
            <w:pPr>
              <w:ind w:left="200"/>
              <w:spacing w:after="0"/>
              <w:rPr>
                <w:sz w:val="20"/>
                <w:szCs w:val="20"/>
                <w:color w:val="auto"/>
              </w:rPr>
            </w:pPr>
            <w:r>
              <w:rPr>
                <w:rFonts w:ascii="Arial" w:cs="Arial" w:eastAsia="Arial" w:hAnsi="Arial"/>
                <w:sz w:val="18"/>
                <w:szCs w:val="18"/>
                <w:color w:val="auto"/>
              </w:rPr>
              <w:t>Operating lease liabilities, current</w:t>
            </w: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3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40" w:type="dxa"/>
            <w:vAlign w:val="bottom"/>
          </w:tcPr>
          <w:p>
            <w:pPr>
              <w:spacing w:after="0"/>
              <w:rPr>
                <w:sz w:val="21"/>
                <w:szCs w:val="21"/>
                <w:color w:val="auto"/>
              </w:rPr>
            </w:pPr>
          </w:p>
        </w:tc>
      </w:tr>
      <w:tr>
        <w:trPr>
          <w:trHeight w:val="237"/>
        </w:trPr>
        <w:tc>
          <w:tcPr>
            <w:tcW w:w="7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9,683</w:t>
            </w:r>
          </w:p>
        </w:tc>
        <w:tc>
          <w:tcPr>
            <w:tcW w:w="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22,578</w:t>
            </w:r>
          </w:p>
        </w:tc>
        <w:tc>
          <w:tcPr>
            <w:tcW w:w="140" w:type="dxa"/>
            <w:vAlign w:val="bottom"/>
            <w:shd w:val="clear" w:color="auto" w:fill="CFF0FC"/>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Operating lease liabilities, non-current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1,772</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1,027</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value right liability</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Borders>
              <w:top w:val="single" w:sz="8" w:color="CFF0FC"/>
            </w:tcBorders>
          </w:tcPr>
          <w:p>
            <w:pPr>
              <w:ind w:left="38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23,605</w:t>
            </w:r>
          </w:p>
        </w:tc>
        <w:tc>
          <w:tcPr>
            <w:tcW w:w="140" w:type="dxa"/>
            <w:vAlign w:val="bottom"/>
            <w:tcBorders>
              <w:top w:val="single" w:sz="8" w:color="CFF0FC"/>
            </w:tcBorders>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14)</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1"/>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$0.0001 par value; 100,000,000 shares authorized as of June 30,</w:t>
            </w: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r>
      <w:tr>
        <w:trPr>
          <w:trHeight w:val="216"/>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2023 and December 31, 2022; 22,850,894 and 17,405,231 shares issued June</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6"/>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30, 2023 and December 31, 2022, respectively; and 22,850,894 and 17,403,315</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44"/>
        </w:trPr>
        <w:tc>
          <w:tcPr>
            <w:tcW w:w="76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shares outstanding as of June 30, 2023 and December 31, 2022, respectively</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r>
      <w:tr>
        <w:trPr>
          <w:trHeight w:val="237"/>
        </w:trPr>
        <w:tc>
          <w:tcPr>
            <w:tcW w:w="76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522,161</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288,814</w:t>
            </w:r>
          </w:p>
        </w:tc>
        <w:tc>
          <w:tcPr>
            <w:tcW w:w="140" w:type="dxa"/>
            <w:vAlign w:val="bottom"/>
          </w:tcPr>
          <w:p>
            <w:pPr>
              <w:spacing w:after="0"/>
              <w:rPr>
                <w:sz w:val="20"/>
                <w:szCs w:val="20"/>
                <w:color w:val="auto"/>
              </w:rPr>
            </w:pPr>
          </w:p>
        </w:tc>
      </w:tr>
      <w:tr>
        <w:trPr>
          <w:trHeight w:val="249"/>
        </w:trPr>
        <w:tc>
          <w:tcPr>
            <w:tcW w:w="7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(150,944 )</w:t>
            </w: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(112,216 )</w:t>
            </w:r>
          </w:p>
        </w:tc>
      </w:tr>
      <w:tr>
        <w:trPr>
          <w:trHeight w:val="237"/>
        </w:trPr>
        <w:tc>
          <w:tcPr>
            <w:tcW w:w="76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371,219</w:t>
            </w:r>
          </w:p>
        </w:tc>
        <w:tc>
          <w:tcPr>
            <w:tcW w:w="3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176,600</w:t>
            </w:r>
          </w:p>
        </w:tc>
        <w:tc>
          <w:tcPr>
            <w:tcW w:w="140" w:type="dxa"/>
            <w:vAlign w:val="bottom"/>
            <w:tcBorders>
              <w:top w:val="single" w:sz="8" w:color="CFF0FC"/>
            </w:tcBorders>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shd w:val="clear" w:color="auto" w:fill="CFF0FC"/>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384,174</w:t>
            </w:r>
          </w:p>
        </w:tc>
        <w:tc>
          <w:tcPr>
            <w:tcW w:w="3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200,205</w:t>
            </w:r>
          </w:p>
        </w:tc>
        <w:tc>
          <w:tcPr>
            <w:tcW w:w="14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-2965450</wp:posOffset>
            </wp:positionV>
            <wp:extent cx="1303020" cy="1797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020" cy="17970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-1696720</wp:posOffset>
            </wp:positionV>
            <wp:extent cx="85725"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-1696720</wp:posOffset>
            </wp:positionV>
            <wp:extent cx="85725"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-351155</wp:posOffset>
            </wp:positionV>
            <wp:extent cx="8572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-351155</wp:posOffset>
            </wp:positionV>
            <wp:extent cx="8572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85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-8255</wp:posOffset>
            </wp:positionV>
            <wp:extent cx="857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jc w:val="center"/>
        <w:ind w:right="40"/>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2540" w:type="dxa"/>
            <w:vAlign w:val="bottom"/>
            <w:gridSpan w:val="6"/>
          </w:tcPr>
          <w:p>
            <w:pPr>
              <w:jc w:val="center"/>
              <w:ind w:right="31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gridSpan w:val="2"/>
            <w:vMerge w:val="restart"/>
          </w:tcPr>
          <w:p>
            <w:pPr>
              <w:ind w:left="100"/>
              <w:spacing w:after="0"/>
              <w:rPr>
                <w:sz w:val="20"/>
                <w:szCs w:val="20"/>
                <w:color w:val="auto"/>
              </w:rPr>
            </w:pPr>
            <w:r>
              <w:rPr>
                <w:rFonts w:ascii="Arial" w:cs="Arial" w:eastAsia="Arial" w:hAnsi="Arial"/>
                <w:sz w:val="18"/>
                <w:szCs w:val="18"/>
                <w:color w:val="auto"/>
              </w:rPr>
              <w:t>​</w:t>
            </w:r>
          </w:p>
        </w:tc>
        <w:tc>
          <w:tcPr>
            <w:tcW w:w="164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500" w:type="dxa"/>
            <w:vAlign w:val="bottom"/>
            <w:gridSpan w:val="4"/>
          </w:tcPr>
          <w:p>
            <w:pPr>
              <w:jc w:val="center"/>
              <w:ind w:left="573"/>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640" w:type="dxa"/>
            <w:vAlign w:val="bottom"/>
            <w:gridSpan w:val="4"/>
          </w:tcPr>
          <w:p>
            <w:pPr>
              <w:jc w:val="center"/>
              <w:ind w:left="413"/>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spacing w:after="0"/>
              <w:rPr>
                <w:sz w:val="19"/>
                <w:szCs w:val="19"/>
                <w:color w:val="auto"/>
              </w:rPr>
            </w:pPr>
          </w:p>
        </w:tc>
        <w:tc>
          <w:tcPr>
            <w:tcW w:w="14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9"/>
                <w:szCs w:val="19"/>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9"/>
                <w:szCs w:val="19"/>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4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ind w:right="331"/>
              <w:spacing w:after="0"/>
              <w:rPr>
                <w:sz w:val="20"/>
                <w:szCs w:val="20"/>
                <w:color w:val="auto"/>
              </w:rPr>
            </w:pPr>
            <w:r>
              <w:rPr>
                <w:rFonts w:ascii="Arial" w:cs="Arial" w:eastAsia="Arial" w:hAnsi="Arial"/>
                <w:sz w:val="14"/>
                <w:szCs w:val="14"/>
                <w:b w:val="1"/>
                <w:bCs w:val="1"/>
                <w:color w:val="auto"/>
                <w:w w:val="89"/>
              </w:rPr>
              <w:t>2022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12,100</w:t>
            </w:r>
          </w:p>
        </w:tc>
        <w:tc>
          <w:tcPr>
            <w:tcW w:w="16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7,714</w:t>
            </w:r>
          </w:p>
        </w:tc>
        <w:tc>
          <w:tcPr>
            <w:tcW w:w="18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32,280</w:t>
            </w:r>
          </w:p>
        </w:tc>
        <w:tc>
          <w:tcPr>
            <w:tcW w:w="14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5,228</w:t>
            </w:r>
          </w:p>
        </w:tc>
        <w:tc>
          <w:tcPr>
            <w:tcW w:w="1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4,301</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10,173</w:t>
            </w:r>
          </w:p>
        </w:tc>
        <w:tc>
          <w:tcPr>
            <w:tcW w:w="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64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17,328</w:t>
            </w:r>
          </w:p>
        </w:tc>
        <w:tc>
          <w:tcPr>
            <w:tcW w:w="16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12,015</w:t>
            </w:r>
          </w:p>
        </w:tc>
        <w:tc>
          <w:tcPr>
            <w:tcW w:w="18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42,453</w:t>
            </w:r>
          </w:p>
        </w:tc>
        <w:tc>
          <w:tcPr>
            <w:tcW w:w="14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21,975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(12,015</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(42,453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(21,975</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7"/>
        </w:trPr>
        <w:tc>
          <w:tcPr>
            <w:tcW w:w="56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4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2,910</w:t>
            </w:r>
          </w:p>
        </w:tc>
        <w:tc>
          <w:tcPr>
            <w:tcW w:w="160" w:type="dxa"/>
            <w:vAlign w:val="bottom"/>
            <w:shd w:val="clear" w:color="auto" w:fill="CFF0FC"/>
          </w:tcPr>
          <w:p>
            <w:pPr>
              <w:spacing w:after="0"/>
              <w:rPr>
                <w:sz w:val="21"/>
                <w:szCs w:val="21"/>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5,277</w:t>
            </w:r>
          </w:p>
        </w:tc>
        <w:tc>
          <w:tcPr>
            <w:tcW w:w="140" w:type="dxa"/>
            <w:vAlign w:val="bottom"/>
            <w:shd w:val="clear" w:color="auto" w:fill="CFF0FC"/>
          </w:tcPr>
          <w:p>
            <w:pPr>
              <w:spacing w:after="0"/>
              <w:rPr>
                <w:sz w:val="21"/>
                <w:szCs w:val="21"/>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40" w:type="dxa"/>
            <w:vAlign w:val="bottom"/>
          </w:tcPr>
          <w:p>
            <w:pPr>
              <w:ind w:left="200"/>
              <w:spacing w:after="0"/>
              <w:rPr>
                <w:sz w:val="20"/>
                <w:szCs w:val="20"/>
                <w:color w:val="auto"/>
              </w:rPr>
            </w:pPr>
            <w:r>
              <w:rPr>
                <w:rFonts w:ascii="Arial" w:cs="Arial" w:eastAsia="Arial" w:hAnsi="Arial"/>
                <w:sz w:val="18"/>
                <w:szCs w:val="18"/>
                <w:color w:val="auto"/>
              </w:rPr>
              <w:t>Change in fair value of contingent value right liability</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(1,500 )</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(1,500 )</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564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w:t>
            </w:r>
          </w:p>
        </w:tc>
        <w:tc>
          <w:tcPr>
            <w:tcW w:w="180" w:type="dxa"/>
            <w:vAlign w:val="bottom"/>
            <w:shd w:val="clear" w:color="auto" w:fill="CFF0FC"/>
          </w:tcPr>
          <w:p>
            <w:pPr>
              <w:spacing w:after="0"/>
              <w:rPr>
                <w:sz w:val="21"/>
                <w:szCs w:val="21"/>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w:t>
            </w:r>
          </w:p>
        </w:tc>
        <w:tc>
          <w:tcPr>
            <w:tcW w:w="14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640" w:type="dxa"/>
            <w:vAlign w:val="bottom"/>
            <w:tcBorders>
              <w:right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160" w:type="dxa"/>
            <w:vAlign w:val="bottom"/>
            <w:shd w:val="clear" w:color="auto" w:fill="CFF0FC"/>
          </w:tcPr>
          <w:p>
            <w:pPr>
              <w:spacing w:after="0"/>
              <w:rPr>
                <w:sz w:val="20"/>
                <w:szCs w:val="20"/>
                <w:color w:val="auto"/>
              </w:rPr>
            </w:pPr>
          </w:p>
        </w:tc>
        <w:tc>
          <w:tcPr>
            <w:tcW w:w="4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2,435</w:t>
            </w:r>
          </w:p>
        </w:tc>
        <w:tc>
          <w:tcPr>
            <w:tcW w:w="180" w:type="dxa"/>
            <w:vAlign w:val="bottom"/>
            <w:shd w:val="clear" w:color="auto" w:fill="CFF0FC"/>
          </w:tcPr>
          <w:p>
            <w:pPr>
              <w:spacing w:after="0"/>
              <w:rPr>
                <w:sz w:val="20"/>
                <w:szCs w:val="20"/>
                <w:color w:val="auto"/>
              </w:rPr>
            </w:pPr>
          </w:p>
        </w:tc>
        <w:tc>
          <w:tcPr>
            <w:tcW w:w="3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3,772</w:t>
            </w:r>
          </w:p>
        </w:tc>
        <w:tc>
          <w:tcPr>
            <w:tcW w:w="140" w:type="dxa"/>
            <w:vAlign w:val="bottom"/>
            <w:shd w:val="clear" w:color="auto" w:fill="CFF0FC"/>
          </w:tcPr>
          <w:p>
            <w:pPr>
              <w:spacing w:after="0"/>
              <w:rPr>
                <w:sz w:val="20"/>
                <w:szCs w:val="20"/>
                <w:color w:val="auto"/>
              </w:rPr>
            </w:pPr>
          </w:p>
        </w:tc>
        <w:tc>
          <w:tcPr>
            <w:tcW w:w="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2,542</w:t>
            </w:r>
          </w:p>
        </w:tc>
        <w:tc>
          <w:tcPr>
            <w:tcW w:w="1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(15,923 )</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(9,580 )</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(38,681 )</w:t>
            </w: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(19,433 )</w:t>
            </w:r>
          </w:p>
        </w:tc>
        <w:tc>
          <w:tcPr>
            <w:tcW w:w="0" w:type="dxa"/>
            <w:vAlign w:val="bottom"/>
          </w:tcPr>
          <w:p>
            <w:pPr>
              <w:spacing w:after="0"/>
              <w:rPr>
                <w:sz w:val="1"/>
                <w:szCs w:val="1"/>
                <w:color w:val="auto"/>
              </w:rPr>
            </w:pPr>
          </w:p>
        </w:tc>
      </w:tr>
      <w:tr>
        <w:trPr>
          <w:trHeight w:val="243"/>
        </w:trPr>
        <w:tc>
          <w:tcPr>
            <w:tcW w:w="564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22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4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Net loss and comprehensive loss</w:t>
            </w:r>
          </w:p>
        </w:tc>
        <w:tc>
          <w:tcPr>
            <w:tcW w:w="220" w:type="dxa"/>
            <w:vAlign w:val="bottom"/>
          </w:tcPr>
          <w:p>
            <w:pPr>
              <w:spacing w:after="0" w:line="242"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(15,947 )</w:t>
            </w:r>
          </w:p>
        </w:tc>
        <w:tc>
          <w:tcPr>
            <w:tcW w:w="420" w:type="dxa"/>
            <w:vAlign w:val="bottom"/>
            <w:gridSpan w:val="2"/>
          </w:tcPr>
          <w:p>
            <w:pPr>
              <w:ind w:left="120"/>
              <w:spacing w:after="0" w:line="242"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(9,580 )</w:t>
            </w:r>
          </w:p>
        </w:tc>
        <w:tc>
          <w:tcPr>
            <w:tcW w:w="340" w:type="dxa"/>
            <w:vAlign w:val="bottom"/>
            <w:gridSpan w:val="2"/>
          </w:tcPr>
          <w:p>
            <w:pPr>
              <w:ind w:left="100"/>
              <w:spacing w:after="0" w:line="242"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(38,728 )</w:t>
            </w:r>
          </w:p>
        </w:tc>
        <w:tc>
          <w:tcPr>
            <w:tcW w:w="580" w:type="dxa"/>
            <w:vAlign w:val="bottom"/>
            <w:gridSpan w:val="2"/>
          </w:tcPr>
          <w:p>
            <w:pPr>
              <w:ind w:left="140"/>
              <w:spacing w:after="0" w:line="242"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(19,433 )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stockholders-basic and diluted</w:t>
            </w:r>
          </w:p>
        </w:tc>
        <w:tc>
          <w:tcPr>
            <w:tcW w:w="220" w:type="dxa"/>
            <w:vAlign w:val="bottom"/>
            <w:shd w:val="clear" w:color="auto" w:fill="CFF0FC"/>
          </w:tcPr>
          <w:p>
            <w:pPr>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ind w:left="12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(9,580</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ind w:left="10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(38,728</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ind w:left="1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(19,433</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outstanding-basic and diluted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21,484,955</w:t>
            </w:r>
          </w:p>
        </w:tc>
        <w:tc>
          <w:tcPr>
            <w:tcW w:w="160" w:type="dxa"/>
            <w:vAlign w:val="bottom"/>
          </w:tcPr>
          <w:p>
            <w:pPr>
              <w:spacing w:after="0"/>
              <w:rPr>
                <w:sz w:val="19"/>
                <w:szCs w:val="19"/>
                <w:color w:val="auto"/>
              </w:rPr>
            </w:pP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944,706</w:t>
            </w:r>
          </w:p>
        </w:tc>
        <w:tc>
          <w:tcPr>
            <w:tcW w:w="180" w:type="dxa"/>
            <w:vAlign w:val="bottom"/>
          </w:tcPr>
          <w:p>
            <w:pPr>
              <w:spacing w:after="0"/>
              <w:rPr>
                <w:sz w:val="19"/>
                <w:szCs w:val="19"/>
                <w:color w:val="auto"/>
              </w:rPr>
            </w:pP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20,226,923</w:t>
            </w:r>
          </w:p>
        </w:tc>
        <w:tc>
          <w:tcPr>
            <w:tcW w:w="140" w:type="dxa"/>
            <w:vAlign w:val="bottom"/>
          </w:tcPr>
          <w:p>
            <w:pPr>
              <w:spacing w:after="0"/>
              <w:rPr>
                <w:sz w:val="19"/>
                <w:szCs w:val="19"/>
                <w:color w:val="auto"/>
              </w:rPr>
            </w:pPr>
          </w:p>
        </w:tc>
        <w:tc>
          <w:tcPr>
            <w:tcW w:w="5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934,286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4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95"/>
              </w:rPr>
              <w:t>Net loss per share attributable to common stockholders-basic and diluted</w:t>
            </w:r>
          </w:p>
        </w:tc>
        <w:tc>
          <w:tcPr>
            <w:tcW w:w="220" w:type="dxa"/>
            <w:vAlign w:val="bottom"/>
            <w:shd w:val="clear" w:color="auto" w:fill="CFF0FC"/>
          </w:tcPr>
          <w:p>
            <w:pPr>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FF0FC"/>
          </w:tcPr>
          <w:p>
            <w:pPr>
              <w:ind w:left="12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340" w:type="dxa"/>
            <w:vAlign w:val="bottom"/>
            <w:gridSpan w:val="2"/>
            <w:shd w:val="clear" w:color="auto" w:fill="CFF0FC"/>
          </w:tcPr>
          <w:p>
            <w:pPr>
              <w:ind w:left="10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FF0FC"/>
          </w:tcPr>
          <w:p>
            <w:pPr>
              <w:ind w:left="140"/>
              <w:spacing w:after="0" w:line="223" w:lineRule="exact"/>
              <w:rPr>
                <w:sz w:val="20"/>
                <w:szCs w:val="20"/>
                <w:color w:val="auto"/>
              </w:rPr>
            </w:pPr>
            <w:r>
              <w:rPr>
                <w:rFonts w:ascii="Arial" w:cs="Arial" w:eastAsia="Arial" w:hAnsi="Arial"/>
                <w:sz w:val="14"/>
                <w:szCs w:val="14"/>
                <w:color w:val="auto"/>
              </w:rPr>
              <w:t>​</w:t>
            </w:r>
            <w:r>
              <w:rPr>
                <w:rFonts w:ascii="Arial" w:cs="Arial" w:eastAsia="Arial" w:hAnsi="Arial"/>
                <w:sz w:val="25"/>
                <w:szCs w:val="25"/>
                <w:color w:val="auto"/>
                <w:vertAlign w:val="superscript"/>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(20.80</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6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-2305050</wp:posOffset>
            </wp:positionV>
            <wp:extent cx="85725"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-2305050</wp:posOffset>
            </wp:positionV>
            <wp:extent cx="85725"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-2305050</wp:posOffset>
            </wp:positionV>
            <wp:extent cx="85725"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-2305050</wp:posOffset>
            </wp:positionV>
            <wp:extent cx="8572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5725" cy="17145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-1045210</wp:posOffset>
            </wp:positionV>
            <wp:extent cx="85725" cy="1631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-1045210</wp:posOffset>
            </wp:positionV>
            <wp:extent cx="8572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-1045210</wp:posOffset>
            </wp:positionV>
            <wp:extent cx="85725"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-1045210</wp:posOffset>
            </wp:positionV>
            <wp:extent cx="8572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5725" cy="1631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-728345</wp:posOffset>
            </wp:positionV>
            <wp:extent cx="85725"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-728345</wp:posOffset>
            </wp:positionV>
            <wp:extent cx="85725" cy="1885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-728345</wp:posOffset>
            </wp:positionV>
            <wp:extent cx="85725"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-728345</wp:posOffset>
            </wp:positionV>
            <wp:extent cx="85725"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18859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-385445</wp:posOffset>
            </wp:positionV>
            <wp:extent cx="2828925" cy="2057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828925" cy="205740"/>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-24765</wp:posOffset>
            </wp:positionV>
            <wp:extent cx="857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-7620</wp:posOffset>
            </wp:positionV>
            <wp:extent cx="857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-24765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-7620</wp:posOffset>
            </wp:positionV>
            <wp:extent cx="857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857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CONVERTIBLE PREFERRED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148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0" w:type="dxa"/>
            <w:vAlign w:val="bottom"/>
            <w:gridSpan w:val="8"/>
          </w:tcPr>
          <w:p>
            <w:pPr>
              <w:jc w:val="right"/>
              <w:ind w:right="186"/>
              <w:spacing w:after="0"/>
              <w:rPr>
                <w:sz w:val="20"/>
                <w:szCs w:val="20"/>
                <w:color w:val="auto"/>
              </w:rPr>
            </w:pPr>
            <w:r>
              <w:rPr>
                <w:rFonts w:ascii="Arial" w:cs="Arial" w:eastAsia="Arial" w:hAnsi="Arial"/>
                <w:sz w:val="11"/>
                <w:szCs w:val="11"/>
                <w:b w:val="1"/>
                <w:bCs w:val="1"/>
                <w:color w:val="auto"/>
                <w:w w:val="92"/>
              </w:rPr>
              <w:t>Convertible Preferred Stock</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100" w:type="dxa"/>
            <w:vAlign w:val="bottom"/>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tcBorders>
              <w:top w:val="single" w:sz="8" w:color="auto"/>
            </w:tcBorders>
            <w:gridSpan w:val="5"/>
          </w:tcPr>
          <w:p>
            <w:pPr>
              <w:jc w:val="center"/>
              <w:ind w:right="26"/>
              <w:spacing w:after="0" w:line="115" w:lineRule="exact"/>
              <w:rPr>
                <w:sz w:val="20"/>
                <w:szCs w:val="20"/>
                <w:color w:val="auto"/>
              </w:rPr>
            </w:pPr>
            <w:r>
              <w:rPr>
                <w:rFonts w:ascii="Arial" w:cs="Arial" w:eastAsia="Arial" w:hAnsi="Arial"/>
                <w:sz w:val="11"/>
                <w:szCs w:val="11"/>
                <w:b w:val="1"/>
                <w:bCs w:val="1"/>
                <w:color w:val="auto"/>
                <w:w w:val="83"/>
              </w:rPr>
              <w:t>Series Seed</w:t>
            </w: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gridSpan w:val="3"/>
          </w:tcPr>
          <w:p>
            <w:pPr>
              <w:jc w:val="center"/>
              <w:ind w:right="86"/>
              <w:spacing w:after="0" w:line="115" w:lineRule="exact"/>
              <w:rPr>
                <w:sz w:val="20"/>
                <w:szCs w:val="20"/>
                <w:color w:val="auto"/>
              </w:rPr>
            </w:pPr>
            <w:r>
              <w:rPr>
                <w:rFonts w:ascii="Arial" w:cs="Arial" w:eastAsia="Arial" w:hAnsi="Arial"/>
                <w:sz w:val="11"/>
                <w:szCs w:val="11"/>
                <w:b w:val="1"/>
                <w:bCs w:val="1"/>
                <w:color w:val="auto"/>
                <w:w w:val="86"/>
              </w:rPr>
              <w:t>Series A</w:t>
            </w: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3"/>
          </w:tcPr>
          <w:p>
            <w:pPr>
              <w:jc w:val="center"/>
              <w:ind w:left="126"/>
              <w:spacing w:after="0" w:line="115" w:lineRule="exact"/>
              <w:rPr>
                <w:sz w:val="20"/>
                <w:szCs w:val="20"/>
                <w:color w:val="auto"/>
              </w:rPr>
            </w:pPr>
            <w:r>
              <w:rPr>
                <w:rFonts w:ascii="Arial" w:cs="Arial" w:eastAsia="Arial" w:hAnsi="Arial"/>
                <w:sz w:val="11"/>
                <w:szCs w:val="11"/>
                <w:b w:val="1"/>
                <w:bCs w:val="1"/>
                <w:color w:val="auto"/>
                <w:w w:val="86"/>
              </w:rPr>
              <w:t>Series B</w:t>
            </w: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center"/>
              <w:ind w:left="346"/>
              <w:spacing w:after="0" w:line="115" w:lineRule="exact"/>
              <w:rPr>
                <w:sz w:val="20"/>
                <w:szCs w:val="20"/>
                <w:color w:val="auto"/>
              </w:rPr>
            </w:pPr>
            <w:r>
              <w:rPr>
                <w:rFonts w:ascii="Arial" w:cs="Arial" w:eastAsia="Arial" w:hAnsi="Arial"/>
                <w:sz w:val="11"/>
                <w:szCs w:val="11"/>
                <w:b w:val="1"/>
                <w:bCs w:val="1"/>
                <w:color w:val="auto"/>
                <w:w w:val="86"/>
              </w:rPr>
              <w:t>Common Stock</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5"/>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$0.0001 Par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ind w:left="166"/>
              <w:spacing w:after="0" w:line="122" w:lineRule="exact"/>
              <w:rPr>
                <w:sz w:val="20"/>
                <w:szCs w:val="20"/>
                <w:color w:val="auto"/>
              </w:rPr>
            </w:pPr>
            <w:r>
              <w:rPr>
                <w:rFonts w:ascii="Arial" w:cs="Arial" w:eastAsia="Arial" w:hAnsi="Arial"/>
                <w:sz w:val="11"/>
                <w:szCs w:val="11"/>
                <w:b w:val="1"/>
                <w:bCs w:val="1"/>
                <w:color w:val="auto"/>
                <w:w w:val="89"/>
              </w:rPr>
              <w:t>$0.0001 Par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left="126"/>
              <w:spacing w:after="0" w:line="122" w:lineRule="exact"/>
              <w:rPr>
                <w:sz w:val="20"/>
                <w:szCs w:val="20"/>
                <w:color w:val="auto"/>
              </w:rPr>
            </w:pPr>
            <w:r>
              <w:rPr>
                <w:rFonts w:ascii="Arial" w:cs="Arial" w:eastAsia="Arial" w:hAnsi="Arial"/>
                <w:sz w:val="11"/>
                <w:szCs w:val="11"/>
                <w:b w:val="1"/>
                <w:bCs w:val="1"/>
                <w:color w:val="auto"/>
                <w:w w:val="89"/>
              </w:rPr>
              <w:t>$0.0001 Par</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left="426"/>
              <w:spacing w:after="0" w:line="122" w:lineRule="exact"/>
              <w:rPr>
                <w:sz w:val="20"/>
                <w:szCs w:val="20"/>
                <w:color w:val="auto"/>
              </w:rPr>
            </w:pPr>
            <w:r>
              <w:rPr>
                <w:rFonts w:ascii="Arial" w:cs="Arial" w:eastAsia="Arial" w:hAnsi="Arial"/>
                <w:sz w:val="11"/>
                <w:szCs w:val="11"/>
                <w:b w:val="1"/>
                <w:bCs w:val="1"/>
                <w:color w:val="auto"/>
                <w:w w:val="89"/>
              </w:rPr>
              <w:t>$0.0001 Par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Value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Value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40" w:type="dxa"/>
            <w:vAlign w:val="bottom"/>
          </w:tcPr>
          <w:p>
            <w:pPr>
              <w:jc w:val="center"/>
              <w:ind w:left="326"/>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100" w:type="dxa"/>
            <w:vAlign w:val="bottom"/>
          </w:tcPr>
          <w:p>
            <w:pPr>
              <w:jc w:val="center"/>
              <w:ind w:left="426"/>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right="186"/>
              <w:spacing w:after="0"/>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center"/>
              <w:ind w:right="66"/>
              <w:spacing w:after="0"/>
              <w:rPr>
                <w:sz w:val="20"/>
                <w:szCs w:val="20"/>
                <w:color w:val="auto"/>
              </w:rPr>
            </w:pPr>
            <w:r>
              <w:rPr>
                <w:rFonts w:ascii="Arial" w:cs="Arial" w:eastAsia="Arial" w:hAnsi="Arial"/>
                <w:sz w:val="11"/>
                <w:szCs w:val="11"/>
                <w:b w:val="1"/>
                <w:bCs w:val="1"/>
                <w:color w:val="auto"/>
                <w:w w:val="89"/>
              </w:rPr>
              <w:t>Accumulated</w:t>
            </w: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center"/>
              <w:ind w:right="66"/>
              <w:spacing w:after="0" w:line="115" w:lineRule="exact"/>
              <w:rPr>
                <w:sz w:val="20"/>
                <w:szCs w:val="20"/>
                <w:color w:val="auto"/>
              </w:rPr>
            </w:pPr>
            <w:r>
              <w:rPr>
                <w:rFonts w:ascii="Arial" w:cs="Arial" w:eastAsia="Arial" w:hAnsi="Arial"/>
                <w:sz w:val="11"/>
                <w:szCs w:val="11"/>
                <w:b w:val="1"/>
                <w:bCs w:val="1"/>
                <w:color w:val="auto"/>
                <w:w w:val="89"/>
              </w:rPr>
              <w:t>Amoun</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2"/>
          </w:tcPr>
          <w:p>
            <w:pPr>
              <w:jc w:val="center"/>
              <w:ind w:right="66"/>
              <w:spacing w:after="0" w:line="115" w:lineRule="exact"/>
              <w:rPr>
                <w:sz w:val="20"/>
                <w:szCs w:val="20"/>
                <w:color w:val="auto"/>
              </w:rPr>
            </w:pPr>
            <w:r>
              <w:rPr>
                <w:rFonts w:ascii="Arial" w:cs="Arial" w:eastAsia="Arial" w:hAnsi="Arial"/>
                <w:sz w:val="11"/>
                <w:szCs w:val="11"/>
                <w:b w:val="1"/>
                <w:bCs w:val="1"/>
                <w:color w:val="auto"/>
                <w:w w:val="89"/>
              </w:rPr>
              <w:t>Amou</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2"/>
                <w:szCs w:val="12"/>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60" w:type="dxa"/>
            <w:vAlign w:val="bottom"/>
          </w:tcPr>
          <w:p>
            <w:pPr>
              <w:ind w:left="60"/>
              <w:spacing w:after="0"/>
              <w:rPr>
                <w:sz w:val="20"/>
                <w:szCs w:val="20"/>
                <w:color w:val="auto"/>
              </w:rPr>
            </w:pPr>
            <w:r>
              <w:rPr>
                <w:rFonts w:ascii="Arial" w:cs="Arial" w:eastAsia="Arial" w:hAnsi="Arial"/>
                <w:sz w:val="11"/>
                <w:szCs w:val="11"/>
                <w:b w:val="1"/>
                <w:bCs w:val="1"/>
                <w:color w:val="auto"/>
                <w:w w:val="76"/>
              </w:rPr>
              <w:t>Shares</w:t>
            </w:r>
          </w:p>
        </w:tc>
        <w:tc>
          <w:tcPr>
            <w:tcW w:w="260" w:type="dxa"/>
            <w:vAlign w:val="bottom"/>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226"/>
              <w:spacing w:after="0"/>
              <w:rPr>
                <w:sz w:val="20"/>
                <w:szCs w:val="20"/>
                <w:color w:val="auto"/>
              </w:rPr>
            </w:pPr>
            <w:r>
              <w:rPr>
                <w:rFonts w:ascii="Arial" w:cs="Arial" w:eastAsia="Arial" w:hAnsi="Arial"/>
                <w:sz w:val="11"/>
                <w:szCs w:val="11"/>
                <w:b w:val="1"/>
                <w:bCs w:val="1"/>
                <w:color w:val="auto"/>
                <w:w w:val="92"/>
              </w:rPr>
              <w:t>Shares</w:t>
            </w:r>
          </w:p>
        </w:tc>
        <w:tc>
          <w:tcPr>
            <w:tcW w:w="24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380" w:type="dxa"/>
            <w:vAlign w:val="bottom"/>
          </w:tcPr>
          <w:p>
            <w:pPr>
              <w:jc w:val="center"/>
              <w:ind w:right="206"/>
              <w:spacing w:after="0"/>
              <w:rPr>
                <w:sz w:val="20"/>
                <w:szCs w:val="20"/>
                <w:color w:val="auto"/>
              </w:rPr>
            </w:pPr>
            <w:r>
              <w:rPr>
                <w:rFonts w:ascii="Arial" w:cs="Arial" w:eastAsia="Arial" w:hAnsi="Arial"/>
                <w:sz w:val="11"/>
                <w:szCs w:val="11"/>
                <w:b w:val="1"/>
                <w:bCs w:val="1"/>
                <w:color w:val="auto"/>
              </w:rPr>
              <w:t>t</w:t>
            </w: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4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380" w:type="dxa"/>
            <w:vAlign w:val="bottom"/>
          </w:tcPr>
          <w:p>
            <w:pPr>
              <w:jc w:val="center"/>
              <w:ind w:right="146"/>
              <w:spacing w:after="0"/>
              <w:rPr>
                <w:sz w:val="20"/>
                <w:szCs w:val="20"/>
                <w:color w:val="auto"/>
              </w:rPr>
            </w:pPr>
            <w:r>
              <w:rPr>
                <w:rFonts w:ascii="Arial" w:cs="Arial" w:eastAsia="Arial" w:hAnsi="Arial"/>
                <w:sz w:val="11"/>
                <w:szCs w:val="11"/>
                <w:b w:val="1"/>
                <w:bCs w:val="1"/>
                <w:color w:val="auto"/>
                <w:w w:val="95"/>
              </w:rPr>
              <w:t>nt</w:t>
            </w: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right="186"/>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206"/>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89"/>
              </w:rPr>
              <w:t>Deficit</w:t>
            </w:r>
          </w:p>
        </w:tc>
        <w:tc>
          <w:tcPr>
            <w:tcW w:w="0" w:type="dxa"/>
            <w:vAlign w:val="bottom"/>
          </w:tcPr>
          <w:p>
            <w:pPr>
              <w:spacing w:after="0"/>
              <w:rPr>
                <w:sz w:val="1"/>
                <w:szCs w:val="1"/>
                <w:color w:val="auto"/>
              </w:rPr>
            </w:pPr>
          </w:p>
        </w:tc>
      </w:tr>
      <w:tr>
        <w:trPr>
          <w:trHeight w:val="119"/>
        </w:trPr>
        <w:tc>
          <w:tcPr>
            <w:tcW w:w="148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w w:val="91"/>
              </w:rPr>
              <w:t>Balance at December 31, 2021</w:t>
            </w:r>
          </w:p>
        </w:tc>
        <w:tc>
          <w:tcPr>
            <w:tcW w:w="160" w:type="dxa"/>
            <w:vAlign w:val="bottom"/>
            <w:tcBorders>
              <w:right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9" w:lineRule="exact"/>
              <w:rPr>
                <w:sz w:val="20"/>
                <w:szCs w:val="20"/>
                <w:color w:val="auto"/>
              </w:rPr>
            </w:pPr>
            <w:r>
              <w:rPr>
                <w:rFonts w:ascii="Arial" w:cs="Arial" w:eastAsia="Arial" w:hAnsi="Arial"/>
                <w:sz w:val="11"/>
                <w:szCs w:val="11"/>
                <w:color w:val="auto"/>
              </w:rPr>
              <w:t>5,000,0</w:t>
            </w: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gridSpan w:val="2"/>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41,666,6</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49,76</w:t>
            </w: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w w:val="97"/>
              </w:rPr>
              <w:t>37,499,99</w:t>
            </w:r>
          </w:p>
        </w:tc>
        <w:tc>
          <w:tcPr>
            <w:tcW w:w="120" w:type="dxa"/>
            <w:vAlign w:val="bottom"/>
            <w:tcBorders>
              <w:lef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89,7</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48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ind w:left="140"/>
              <w:spacing w:after="0" w:line="125" w:lineRule="exact"/>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FF0FC"/>
          </w:tcPr>
          <w:p>
            <w:pPr>
              <w:spacing w:after="0"/>
              <w:rPr>
                <w:sz w:val="16"/>
                <w:szCs w:val="16"/>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2,350</w:t>
            </w:r>
          </w:p>
        </w:tc>
        <w:tc>
          <w:tcPr>
            <w:tcW w:w="80" w:type="dxa"/>
            <w:vAlign w:val="bottom"/>
            <w:shd w:val="clear" w:color="auto" w:fill="CFF0FC"/>
          </w:tcPr>
          <w:p>
            <w:pPr>
              <w:spacing w:after="0"/>
              <w:rPr>
                <w:sz w:val="16"/>
                <w:szCs w:val="16"/>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81"/>
              </w:rPr>
              <w:t>66</w:t>
            </w:r>
          </w:p>
        </w:tc>
        <w:tc>
          <w:tcPr>
            <w:tcW w:w="1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44</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909,418</w:t>
            </w:r>
          </w:p>
        </w:tc>
        <w:tc>
          <w:tcPr>
            <w:tcW w:w="120" w:type="dxa"/>
            <w:vAlign w:val="bottom"/>
            <w:tcBorders>
              <w:left w:val="single" w:sz="8" w:color="CFF0FC"/>
            </w:tcBorders>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1,185</w:t>
            </w:r>
          </w:p>
        </w:tc>
        <w:tc>
          <w:tcPr>
            <w:tcW w:w="120" w:type="dxa"/>
            <w:vAlign w:val="bottom"/>
            <w:tcBorders>
              <w:right w:val="single" w:sz="8" w:color="CFF0FC"/>
            </w:tcBorders>
            <w:shd w:val="clear" w:color="auto" w:fill="CFF0FC"/>
          </w:tcPr>
          <w:p>
            <w:pPr>
              <w:spacing w:after="0"/>
              <w:rPr>
                <w:sz w:val="16"/>
                <w:szCs w:val="16"/>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(65,389 )</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(64,203 )</w:t>
            </w:r>
          </w:p>
        </w:tc>
        <w:tc>
          <w:tcPr>
            <w:tcW w:w="0" w:type="dxa"/>
            <w:vAlign w:val="bottom"/>
          </w:tcPr>
          <w:p>
            <w:pPr>
              <w:spacing w:after="0"/>
              <w:rPr>
                <w:sz w:val="1"/>
                <w:szCs w:val="1"/>
                <w:color w:val="auto"/>
              </w:rPr>
            </w:pPr>
          </w:p>
        </w:tc>
      </w:tr>
      <w:tr>
        <w:trPr>
          <w:trHeight w:val="106"/>
        </w:trPr>
        <w:tc>
          <w:tcPr>
            <w:tcW w:w="1480" w:type="dxa"/>
            <w:vAlign w:val="bottom"/>
            <w:tcBorders>
              <w:top w:val="single" w:sz="8" w:color="CFF0FC"/>
            </w:tcBorders>
          </w:tcPr>
          <w:p>
            <w:pPr>
              <w:ind w:left="20"/>
              <w:spacing w:after="0" w:line="106" w:lineRule="exact"/>
              <w:rPr>
                <w:sz w:val="20"/>
                <w:szCs w:val="20"/>
                <w:color w:val="auto"/>
              </w:rPr>
            </w:pPr>
            <w:r>
              <w:rPr>
                <w:rFonts w:ascii="Arial" w:cs="Arial" w:eastAsia="Arial" w:hAnsi="Arial"/>
                <w:sz w:val="11"/>
                <w:szCs w:val="11"/>
                <w:color w:val="auto"/>
              </w:rPr>
              <w:t>Issuance of common stock</w:t>
            </w:r>
          </w:p>
        </w:tc>
        <w:tc>
          <w:tcPr>
            <w:tcW w:w="16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Pr>
          <w:p>
            <w:pPr>
              <w:ind w:left="100"/>
              <w:spacing w:after="0" w:line="122" w:lineRule="exact"/>
              <w:rPr>
                <w:sz w:val="20"/>
                <w:szCs w:val="20"/>
                <w:color w:val="auto"/>
              </w:rPr>
            </w:pPr>
            <w:r>
              <w:rPr>
                <w:rFonts w:ascii="Arial" w:cs="Arial" w:eastAsia="Arial" w:hAnsi="Arial"/>
                <w:sz w:val="11"/>
                <w:szCs w:val="11"/>
                <w:color w:val="auto"/>
              </w:rPr>
              <w:t>upon exercise of stock</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80" w:type="dxa"/>
            <w:vAlign w:val="bottom"/>
          </w:tcPr>
          <w:p>
            <w:pPr>
              <w:ind w:left="100"/>
              <w:spacing w:after="0"/>
              <w:rPr>
                <w:sz w:val="20"/>
                <w:szCs w:val="20"/>
                <w:color w:val="auto"/>
              </w:rPr>
            </w:pPr>
            <w:r>
              <w:rPr>
                <w:rFonts w:ascii="Arial" w:cs="Arial" w:eastAsia="Arial" w:hAnsi="Arial"/>
                <w:sz w:val="11"/>
                <w:szCs w:val="11"/>
                <w:color w:val="auto"/>
              </w:rPr>
              <w:t>options</w:t>
            </w:r>
          </w:p>
        </w:tc>
        <w:tc>
          <w:tcPr>
            <w:tcW w:w="160" w:type="dxa"/>
            <w:vAlign w:val="bottom"/>
          </w:tcPr>
          <w:p>
            <w:pPr>
              <w:ind w:lef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ind w:lef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31,725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Vesting of restricted</w:t>
            </w:r>
          </w:p>
        </w:tc>
        <w:tc>
          <w:tcPr>
            <w:tcW w:w="1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common stock</w:t>
            </w:r>
          </w:p>
        </w:tc>
        <w:tc>
          <w:tcPr>
            <w:tcW w:w="1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2"/>
                <w:szCs w:val="12"/>
                <w:color w:val="auto"/>
              </w:rPr>
            </w:pPr>
          </w:p>
        </w:tc>
        <w:tc>
          <w:tcPr>
            <w:tcW w:w="38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2,285</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1"/>
                <w:szCs w:val="11"/>
                <w:color w:val="auto"/>
              </w:rPr>
              <w:t>Stock-based compensation</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80" w:type="dxa"/>
            <w:vAlign w:val="bottom"/>
          </w:tcPr>
          <w:p>
            <w:pPr>
              <w:ind w:left="100"/>
              <w:spacing w:after="0"/>
              <w:rPr>
                <w:sz w:val="20"/>
                <w:szCs w:val="20"/>
                <w:color w:val="auto"/>
              </w:rPr>
            </w:pPr>
            <w:r>
              <w:rPr>
                <w:rFonts w:ascii="Arial" w:cs="Arial" w:eastAsia="Arial" w:hAnsi="Arial"/>
                <w:sz w:val="11"/>
                <w:szCs w:val="11"/>
                <w:color w:val="auto"/>
              </w:rPr>
              <w:t>expense</w:t>
            </w:r>
          </w:p>
        </w:tc>
        <w:tc>
          <w:tcPr>
            <w:tcW w:w="160" w:type="dxa"/>
            <w:vAlign w:val="bottom"/>
          </w:tcPr>
          <w:p>
            <w:pPr>
              <w:ind w:lef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ind w:lef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332</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332</w:t>
            </w:r>
          </w:p>
        </w:tc>
        <w:tc>
          <w:tcPr>
            <w:tcW w:w="0" w:type="dxa"/>
            <w:vAlign w:val="bottom"/>
          </w:tcPr>
          <w:p>
            <w:pPr>
              <w:spacing w:after="0"/>
              <w:rPr>
                <w:sz w:val="1"/>
                <w:szCs w:val="1"/>
                <w:color w:val="auto"/>
              </w:rPr>
            </w:pPr>
          </w:p>
        </w:tc>
      </w:tr>
      <w:tr>
        <w:trPr>
          <w:trHeight w:val="153"/>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Net loss</w:t>
            </w:r>
          </w:p>
        </w:tc>
        <w:tc>
          <w:tcPr>
            <w:tcW w:w="1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3"/>
                <w:szCs w:val="13"/>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3"/>
                <w:szCs w:val="13"/>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3"/>
                <w:szCs w:val="13"/>
                <w:color w:val="auto"/>
              </w:rPr>
            </w:pPr>
          </w:p>
        </w:tc>
        <w:tc>
          <w:tcPr>
            <w:tcW w:w="38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highlight w:val="black"/>
              </w:rPr>
              <w:t>​</w:t>
            </w:r>
          </w:p>
        </w:tc>
        <w:tc>
          <w:tcPr>
            <w:tcW w:w="120" w:type="dxa"/>
            <w:vAlign w:val="bottom"/>
            <w:shd w:val="clear" w:color="auto" w:fill="CFF0FC"/>
          </w:tcPr>
          <w:p>
            <w:pPr>
              <w:spacing w:after="0"/>
              <w:rPr>
                <w:sz w:val="13"/>
                <w:szCs w:val="13"/>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3"/>
                <w:szCs w:val="13"/>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(9,853 )</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(9,853 )</w:t>
            </w:r>
          </w:p>
        </w:tc>
        <w:tc>
          <w:tcPr>
            <w:tcW w:w="0" w:type="dxa"/>
            <w:vAlign w:val="bottom"/>
          </w:tcPr>
          <w:p>
            <w:pPr>
              <w:spacing w:after="0"/>
              <w:rPr>
                <w:sz w:val="1"/>
                <w:szCs w:val="1"/>
                <w:color w:val="auto"/>
              </w:rPr>
            </w:pPr>
          </w:p>
        </w:tc>
      </w:tr>
      <w:tr>
        <w:trPr>
          <w:trHeight w:val="119"/>
        </w:trPr>
        <w:tc>
          <w:tcPr>
            <w:tcW w:w="1480" w:type="dxa"/>
            <w:vAlign w:val="bottom"/>
            <w:tcBorders>
              <w:top w:val="single" w:sz="8" w:color="CFF0FC"/>
            </w:tcBorders>
          </w:tcPr>
          <w:p>
            <w:pPr>
              <w:ind w:left="20"/>
              <w:spacing w:after="0" w:line="119" w:lineRule="exact"/>
              <w:rPr>
                <w:sz w:val="20"/>
                <w:szCs w:val="20"/>
                <w:color w:val="auto"/>
              </w:rPr>
            </w:pPr>
            <w:r>
              <w:rPr>
                <w:rFonts w:ascii="Arial" w:cs="Arial" w:eastAsia="Arial" w:hAnsi="Arial"/>
                <w:sz w:val="11"/>
                <w:szCs w:val="11"/>
                <w:b w:val="1"/>
                <w:bCs w:val="1"/>
                <w:color w:val="auto"/>
              </w:rPr>
              <w:t>Balance at March 31, 2022</w:t>
            </w:r>
          </w:p>
        </w:tc>
        <w:tc>
          <w:tcPr>
            <w:tcW w:w="160" w:type="dxa"/>
            <w:vAlign w:val="bottom"/>
            <w:tcBorders>
              <w:top w:val="single" w:sz="8" w:color="CFF0FC"/>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1"/>
                <w:szCs w:val="11"/>
                <w:color w:val="auto"/>
              </w:rPr>
              <w:t>5,000,0</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jc w:val="right"/>
              <w:ind w:right="86"/>
              <w:spacing w:after="0" w:line="119" w:lineRule="exact"/>
              <w:rPr>
                <w:sz w:val="20"/>
                <w:szCs w:val="20"/>
                <w:color w:val="auto"/>
              </w:rPr>
            </w:pPr>
            <w:r>
              <w:rPr>
                <w:rFonts w:ascii="Arial" w:cs="Arial" w:eastAsia="Arial" w:hAnsi="Arial"/>
                <w:sz w:val="11"/>
                <w:szCs w:val="11"/>
                <w:color w:val="auto"/>
              </w:rPr>
              <w:t>41,666,6</w:t>
            </w: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jc w:val="right"/>
              <w:ind w:right="86"/>
              <w:spacing w:after="0" w:line="119" w:lineRule="exact"/>
              <w:rPr>
                <w:sz w:val="20"/>
                <w:szCs w:val="20"/>
                <w:color w:val="auto"/>
              </w:rPr>
            </w:pPr>
            <w:r>
              <w:rPr>
                <w:rFonts w:ascii="Arial" w:cs="Arial" w:eastAsia="Arial" w:hAnsi="Arial"/>
                <w:sz w:val="11"/>
                <w:szCs w:val="11"/>
                <w:color w:val="auto"/>
              </w:rPr>
              <w:t>49,76</w:t>
            </w: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ind w:right="86"/>
              <w:spacing w:after="0" w:line="119" w:lineRule="exact"/>
              <w:rPr>
                <w:sz w:val="20"/>
                <w:szCs w:val="20"/>
                <w:color w:val="auto"/>
              </w:rPr>
            </w:pPr>
            <w:r>
              <w:rPr>
                <w:rFonts w:ascii="Arial" w:cs="Arial" w:eastAsia="Arial" w:hAnsi="Arial"/>
                <w:sz w:val="11"/>
                <w:szCs w:val="11"/>
                <w:color w:val="auto"/>
                <w:w w:val="97"/>
              </w:rPr>
              <w:t>37,499,99</w:t>
            </w:r>
          </w:p>
        </w:tc>
        <w:tc>
          <w:tcPr>
            <w:tcW w:w="1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jc w:val="right"/>
              <w:ind w:right="86"/>
              <w:spacing w:after="0" w:line="119" w:lineRule="exact"/>
              <w:rPr>
                <w:sz w:val="20"/>
                <w:szCs w:val="20"/>
                <w:color w:val="auto"/>
              </w:rPr>
            </w:pPr>
            <w:r>
              <w:rPr>
                <w:rFonts w:ascii="Arial" w:cs="Arial" w:eastAsia="Arial" w:hAnsi="Arial"/>
                <w:sz w:val="11"/>
                <w:szCs w:val="11"/>
                <w:color w:val="auto"/>
              </w:rPr>
              <w:t>89,7</w:t>
            </w:r>
          </w:p>
        </w:tc>
        <w:tc>
          <w:tcPr>
            <w:tcW w:w="140" w:type="dxa"/>
            <w:vAlign w:val="bottom"/>
            <w:tcBorders>
              <w:top w:val="single" w:sz="8" w:color="CFF0FC"/>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1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80" w:type="dxa"/>
            <w:vAlign w:val="bottom"/>
          </w:tcPr>
          <w:p>
            <w:pPr>
              <w:spacing w:after="0"/>
              <w:rPr>
                <w:sz w:val="12"/>
                <w:szCs w:val="12"/>
                <w:color w:val="auto"/>
              </w:rPr>
            </w:pPr>
          </w:p>
        </w:tc>
        <w:tc>
          <w:tcPr>
            <w:tcW w:w="160" w:type="dxa"/>
            <w:vAlign w:val="bottom"/>
          </w:tcPr>
          <w:p>
            <w:pPr>
              <w:ind w:lef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00</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2,350</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260" w:type="dxa"/>
            <w:vAlign w:val="bottom"/>
          </w:tcPr>
          <w:p>
            <w:pPr>
              <w:jc w:val="right"/>
              <w:ind w:right="86"/>
              <w:spacing w:after="0"/>
              <w:rPr>
                <w:sz w:val="20"/>
                <w:szCs w:val="20"/>
                <w:color w:val="auto"/>
              </w:rPr>
            </w:pPr>
            <w:r>
              <w:rPr>
                <w:rFonts w:ascii="Arial" w:cs="Arial" w:eastAsia="Arial" w:hAnsi="Arial"/>
                <w:sz w:val="11"/>
                <w:szCs w:val="11"/>
                <w:color w:val="auto"/>
                <w:w w:val="81"/>
              </w:rPr>
              <w:t>66</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44</w:t>
            </w:r>
          </w:p>
        </w:tc>
        <w:tc>
          <w:tcPr>
            <w:tcW w:w="26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943,428</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1,572</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(75,242 )</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(73,669 )</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Issuance of common stock</w:t>
            </w:r>
          </w:p>
        </w:tc>
        <w:tc>
          <w:tcPr>
            <w:tcW w:w="1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48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upon exercise of stock</w:t>
            </w:r>
          </w:p>
        </w:tc>
        <w:tc>
          <w:tcPr>
            <w:tcW w:w="160" w:type="dxa"/>
            <w:vAlign w:val="bottom"/>
            <w:tcBorders>
              <w:right w:val="single" w:sz="8" w:color="CFF0FC"/>
            </w:tcBorders>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1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options</w:t>
            </w:r>
          </w:p>
        </w:tc>
        <w:tc>
          <w:tcPr>
            <w:tcW w:w="1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2"/>
                <w:szCs w:val="12"/>
                <w:color w:val="auto"/>
              </w:rPr>
            </w:pPr>
          </w:p>
        </w:tc>
        <w:tc>
          <w:tcPr>
            <w:tcW w:w="38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8,768</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86</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86</w:t>
            </w: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1"/>
                <w:szCs w:val="11"/>
                <w:color w:val="auto"/>
              </w:rPr>
              <w:t>Vesting of restricted</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480" w:type="dxa"/>
            <w:vAlign w:val="bottom"/>
          </w:tcPr>
          <w:p>
            <w:pPr>
              <w:ind w:left="100"/>
              <w:spacing w:after="0"/>
              <w:rPr>
                <w:sz w:val="20"/>
                <w:szCs w:val="20"/>
                <w:color w:val="auto"/>
              </w:rPr>
            </w:pPr>
            <w:r>
              <w:rPr>
                <w:rFonts w:ascii="Arial" w:cs="Arial" w:eastAsia="Arial" w:hAnsi="Arial"/>
                <w:sz w:val="11"/>
                <w:szCs w:val="11"/>
                <w:color w:val="auto"/>
              </w:rPr>
              <w:t>common stock</w:t>
            </w:r>
          </w:p>
        </w:tc>
        <w:tc>
          <w:tcPr>
            <w:tcW w:w="160" w:type="dxa"/>
            <w:vAlign w:val="bottom"/>
          </w:tcPr>
          <w:p>
            <w:pPr>
              <w:ind w:lef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tcPr>
          <w:p>
            <w:pPr>
              <w:ind w:lef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2,285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Stock-based compensation</w:t>
            </w:r>
          </w:p>
        </w:tc>
        <w:tc>
          <w:tcPr>
            <w:tcW w:w="1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1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expense</w:t>
            </w:r>
          </w:p>
        </w:tc>
        <w:tc>
          <w:tcPr>
            <w:tcW w:w="1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2"/>
                <w:szCs w:val="12"/>
                <w:color w:val="auto"/>
              </w:rPr>
            </w:pPr>
          </w:p>
        </w:tc>
        <w:tc>
          <w:tcPr>
            <w:tcW w:w="38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382</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148"/>
        </w:trPr>
        <w:tc>
          <w:tcPr>
            <w:tcW w:w="1480" w:type="dxa"/>
            <w:vAlign w:val="bottom"/>
          </w:tcPr>
          <w:p>
            <w:pPr>
              <w:ind w:left="20"/>
              <w:spacing w:after="0"/>
              <w:rPr>
                <w:sz w:val="20"/>
                <w:szCs w:val="20"/>
                <w:color w:val="auto"/>
              </w:rPr>
            </w:pPr>
            <w:r>
              <w:rPr>
                <w:rFonts w:ascii="Arial" w:cs="Arial" w:eastAsia="Arial" w:hAnsi="Arial"/>
                <w:sz w:val="11"/>
                <w:szCs w:val="11"/>
                <w:color w:val="auto"/>
              </w:rPr>
              <w:t>Net loss</w:t>
            </w:r>
          </w:p>
        </w:tc>
        <w:tc>
          <w:tcPr>
            <w:tcW w:w="160" w:type="dxa"/>
            <w:vAlign w:val="bottom"/>
          </w:tcPr>
          <w:p>
            <w:pPr>
              <w:ind w:lef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gridSpan w:val="2"/>
          </w:tcPr>
          <w:p>
            <w:pPr>
              <w:ind w:left="100"/>
              <w:spacing w:after="0"/>
              <w:rPr>
                <w:sz w:val="20"/>
                <w:szCs w:val="20"/>
                <w:color w:val="auto"/>
              </w:rPr>
            </w:pPr>
            <w:r>
              <w:rPr>
                <w:rFonts w:ascii="Arial" w:cs="Arial" w:eastAsia="Arial" w:hAnsi="Arial"/>
                <w:sz w:val="11"/>
                <w:szCs w:val="11"/>
                <w:color w:val="auto"/>
                <w:highlight w:val="black"/>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(9,580 )</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(9,580 )</w:t>
            </w:r>
          </w:p>
        </w:tc>
        <w:tc>
          <w:tcPr>
            <w:tcW w:w="0" w:type="dxa"/>
            <w:vAlign w:val="bottom"/>
          </w:tcPr>
          <w:p>
            <w:pPr>
              <w:spacing w:after="0"/>
              <w:rPr>
                <w:sz w:val="1"/>
                <w:szCs w:val="1"/>
                <w:color w:val="auto"/>
              </w:rPr>
            </w:pPr>
          </w:p>
        </w:tc>
      </w:tr>
      <w:tr>
        <w:trPr>
          <w:trHeight w:val="119"/>
        </w:trPr>
        <w:tc>
          <w:tcPr>
            <w:tcW w:w="1480" w:type="dxa"/>
            <w:vAlign w:val="bottom"/>
            <w:shd w:val="clear" w:color="auto" w:fill="CFF0FC"/>
          </w:tcPr>
          <w:p>
            <w:pPr>
              <w:ind w:left="20"/>
              <w:spacing w:after="0" w:line="119" w:lineRule="exact"/>
              <w:rPr>
                <w:sz w:val="20"/>
                <w:szCs w:val="20"/>
                <w:color w:val="auto"/>
              </w:rPr>
            </w:pPr>
            <w:r>
              <w:rPr>
                <w:rFonts w:ascii="Arial" w:cs="Arial" w:eastAsia="Arial" w:hAnsi="Arial"/>
                <w:sz w:val="11"/>
                <w:szCs w:val="11"/>
                <w:b w:val="1"/>
                <w:bCs w:val="1"/>
                <w:color w:val="auto"/>
              </w:rPr>
              <w:t>Balance at June 30, 2022</w:t>
            </w:r>
          </w:p>
        </w:tc>
        <w:tc>
          <w:tcPr>
            <w:tcW w:w="160" w:type="dxa"/>
            <w:vAlign w:val="bottom"/>
            <w:tcBorders>
              <w:right w:val="single" w:sz="8" w:color="CFF0FC"/>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19" w:lineRule="exact"/>
              <w:rPr>
                <w:sz w:val="20"/>
                <w:szCs w:val="20"/>
                <w:color w:val="auto"/>
              </w:rPr>
            </w:pPr>
            <w:r>
              <w:rPr>
                <w:rFonts w:ascii="Arial" w:cs="Arial" w:eastAsia="Arial" w:hAnsi="Arial"/>
                <w:sz w:val="11"/>
                <w:szCs w:val="11"/>
                <w:color w:val="auto"/>
              </w:rPr>
              <w:t>5,000,0</w:t>
            </w:r>
          </w:p>
        </w:tc>
        <w:tc>
          <w:tcPr>
            <w:tcW w:w="1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gridSpan w:val="2"/>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41,666,6</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44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49,76</w:t>
            </w: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4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w w:val="97"/>
              </w:rPr>
              <w:t>37,499,99</w:t>
            </w:r>
          </w:p>
        </w:tc>
        <w:tc>
          <w:tcPr>
            <w:tcW w:w="120" w:type="dxa"/>
            <w:vAlign w:val="bottom"/>
            <w:tcBorders>
              <w:left w:val="single" w:sz="8" w:color="CFF0FC"/>
            </w:tcBorders>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jc w:val="right"/>
              <w:ind w:right="86"/>
              <w:spacing w:after="0" w:line="119" w:lineRule="exact"/>
              <w:rPr>
                <w:sz w:val="20"/>
                <w:szCs w:val="20"/>
                <w:color w:val="auto"/>
              </w:rPr>
            </w:pPr>
            <w:r>
              <w:rPr>
                <w:rFonts w:ascii="Arial" w:cs="Arial" w:eastAsia="Arial" w:hAnsi="Arial"/>
                <w:sz w:val="11"/>
                <w:szCs w:val="11"/>
                <w:color w:val="auto"/>
              </w:rPr>
              <w:t>89,7</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tcBorders>
              <w:top w:val="single" w:sz="8" w:color="auto"/>
            </w:tcBorders>
            <w:shd w:val="clear" w:color="auto" w:fill="CFF0FC"/>
          </w:tcPr>
          <w:p>
            <w:pPr>
              <w:spacing w:after="0"/>
              <w:rPr>
                <w:sz w:val="10"/>
                <w:szCs w:val="10"/>
                <w:color w:val="auto"/>
              </w:rPr>
            </w:pP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68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80" w:type="dxa"/>
            <w:vAlign w:val="bottom"/>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ind w:left="140"/>
              <w:spacing w:after="0" w:line="125" w:lineRule="exact"/>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00</w:t>
            </w:r>
          </w:p>
        </w:tc>
        <w:tc>
          <w:tcPr>
            <w:tcW w:w="1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2,350</w:t>
            </w:r>
          </w:p>
        </w:tc>
        <w:tc>
          <w:tcPr>
            <w:tcW w:w="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w w:val="81"/>
              </w:rPr>
              <w:t>66</w:t>
            </w:r>
          </w:p>
        </w:tc>
        <w:tc>
          <w:tcPr>
            <w:tcW w:w="12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44</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954,481</w:t>
            </w: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2,040</w:t>
            </w:r>
          </w:p>
        </w:tc>
        <w:tc>
          <w:tcPr>
            <w:tcW w:w="12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(84,822 )</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FF0FC"/>
          </w:tcPr>
          <w:p>
            <w:pPr>
              <w:jc w:val="right"/>
              <w:ind w:right="26"/>
              <w:spacing w:after="0"/>
              <w:rPr>
                <w:sz w:val="20"/>
                <w:szCs w:val="20"/>
                <w:color w:val="auto"/>
              </w:rPr>
            </w:pPr>
            <w:r>
              <w:rPr>
                <w:rFonts w:ascii="Arial" w:cs="Arial" w:eastAsia="Arial" w:hAnsi="Arial"/>
                <w:sz w:val="11"/>
                <w:szCs w:val="11"/>
                <w:color w:val="auto"/>
              </w:rPr>
              <w:t>(82,781 )</w:t>
            </w:r>
          </w:p>
        </w:tc>
        <w:tc>
          <w:tcPr>
            <w:tcW w:w="0" w:type="dxa"/>
            <w:vAlign w:val="bottom"/>
          </w:tcPr>
          <w:p>
            <w:pPr>
              <w:spacing w:after="0"/>
              <w:rPr>
                <w:sz w:val="1"/>
                <w:szCs w:val="1"/>
                <w:color w:val="auto"/>
              </w:rPr>
            </w:pPr>
          </w:p>
        </w:tc>
      </w:tr>
      <w:tr>
        <w:trPr>
          <w:trHeight w:val="20"/>
        </w:trPr>
        <w:tc>
          <w:tcPr>
            <w:tcW w:w="1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480" w:type="dxa"/>
            <w:vAlign w:val="bottom"/>
          </w:tcPr>
          <w:p>
            <w:pPr>
              <w:spacing w:after="0"/>
              <w:rPr>
                <w:sz w:val="24"/>
                <w:szCs w:val="24"/>
                <w:color w:val="auto"/>
              </w:rPr>
            </w:pPr>
          </w:p>
        </w:tc>
        <w:tc>
          <w:tcPr>
            <w:tcW w:w="160" w:type="dxa"/>
            <w:vAlign w:val="bottom"/>
          </w:tcPr>
          <w:p>
            <w:pPr>
              <w:ind w:left="8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8"/>
          </w:tcPr>
          <w:p>
            <w:pPr>
              <w:jc w:val="right"/>
              <w:ind w:right="186"/>
              <w:spacing w:after="0"/>
              <w:rPr>
                <w:sz w:val="20"/>
                <w:szCs w:val="20"/>
                <w:color w:val="auto"/>
              </w:rPr>
            </w:pPr>
            <w:r>
              <w:rPr>
                <w:rFonts w:ascii="Arial" w:cs="Arial" w:eastAsia="Arial" w:hAnsi="Arial"/>
                <w:sz w:val="11"/>
                <w:szCs w:val="11"/>
                <w:b w:val="1"/>
                <w:bCs w:val="1"/>
                <w:color w:val="auto"/>
                <w:w w:val="92"/>
              </w:rPr>
              <w:t>Convertible Preferred Stock</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10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20" w:type="dxa"/>
            <w:vAlign w:val="bottom"/>
            <w:gridSpan w:val="5"/>
          </w:tcPr>
          <w:p>
            <w:pPr>
              <w:jc w:val="center"/>
              <w:ind w:right="26"/>
              <w:spacing w:after="0" w:line="115" w:lineRule="exact"/>
              <w:rPr>
                <w:sz w:val="20"/>
                <w:szCs w:val="20"/>
                <w:color w:val="auto"/>
              </w:rPr>
            </w:pPr>
            <w:r>
              <w:rPr>
                <w:rFonts w:ascii="Arial" w:cs="Arial" w:eastAsia="Arial" w:hAnsi="Arial"/>
                <w:sz w:val="11"/>
                <w:szCs w:val="11"/>
                <w:b w:val="1"/>
                <w:bCs w:val="1"/>
                <w:color w:val="auto"/>
                <w:w w:val="83"/>
              </w:rPr>
              <w:t>Series Seed</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20" w:type="dxa"/>
            <w:vAlign w:val="bottom"/>
            <w:gridSpan w:val="3"/>
          </w:tcPr>
          <w:p>
            <w:pPr>
              <w:jc w:val="center"/>
              <w:ind w:right="86"/>
              <w:spacing w:after="0" w:line="115" w:lineRule="exact"/>
              <w:rPr>
                <w:sz w:val="20"/>
                <w:szCs w:val="20"/>
                <w:color w:val="auto"/>
              </w:rPr>
            </w:pPr>
            <w:r>
              <w:rPr>
                <w:rFonts w:ascii="Arial" w:cs="Arial" w:eastAsia="Arial" w:hAnsi="Arial"/>
                <w:sz w:val="11"/>
                <w:szCs w:val="11"/>
                <w:b w:val="1"/>
                <w:bCs w:val="1"/>
                <w:color w:val="auto"/>
                <w:w w:val="86"/>
              </w:rPr>
              <w:t>Series A</w:t>
            </w: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tcPr>
          <w:p>
            <w:pPr>
              <w:jc w:val="center"/>
              <w:ind w:left="126"/>
              <w:spacing w:after="0" w:line="115" w:lineRule="exact"/>
              <w:rPr>
                <w:sz w:val="20"/>
                <w:szCs w:val="20"/>
                <w:color w:val="auto"/>
              </w:rPr>
            </w:pPr>
            <w:r>
              <w:rPr>
                <w:rFonts w:ascii="Arial" w:cs="Arial" w:eastAsia="Arial" w:hAnsi="Arial"/>
                <w:sz w:val="11"/>
                <w:szCs w:val="11"/>
                <w:b w:val="1"/>
                <w:bCs w:val="1"/>
                <w:color w:val="auto"/>
                <w:w w:val="86"/>
              </w:rPr>
              <w:t>Series B</w:t>
            </w: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center"/>
              <w:ind w:left="346"/>
              <w:spacing w:after="0" w:line="115" w:lineRule="exact"/>
              <w:rPr>
                <w:sz w:val="20"/>
                <w:szCs w:val="20"/>
                <w:color w:val="auto"/>
              </w:rPr>
            </w:pPr>
            <w:r>
              <w:rPr>
                <w:rFonts w:ascii="Arial" w:cs="Arial" w:eastAsia="Arial" w:hAnsi="Arial"/>
                <w:sz w:val="11"/>
                <w:szCs w:val="11"/>
                <w:b w:val="1"/>
                <w:bCs w:val="1"/>
                <w:color w:val="auto"/>
                <w:w w:val="86"/>
              </w:rPr>
              <w:t>Common Stock</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4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5"/>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$0.0001 Par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4"/>
          </w:tcPr>
          <w:p>
            <w:pPr>
              <w:jc w:val="center"/>
              <w:ind w:left="166"/>
              <w:spacing w:after="0" w:line="122" w:lineRule="exact"/>
              <w:rPr>
                <w:sz w:val="20"/>
                <w:szCs w:val="20"/>
                <w:color w:val="auto"/>
              </w:rPr>
            </w:pPr>
            <w:r>
              <w:rPr>
                <w:rFonts w:ascii="Arial" w:cs="Arial" w:eastAsia="Arial" w:hAnsi="Arial"/>
                <w:sz w:val="11"/>
                <w:szCs w:val="11"/>
                <w:b w:val="1"/>
                <w:bCs w:val="1"/>
                <w:color w:val="auto"/>
                <w:w w:val="89"/>
              </w:rPr>
              <w:t>$0.0001 Par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tcPr>
          <w:p>
            <w:pPr>
              <w:jc w:val="center"/>
              <w:ind w:left="126"/>
              <w:spacing w:after="0" w:line="122" w:lineRule="exact"/>
              <w:rPr>
                <w:sz w:val="20"/>
                <w:szCs w:val="20"/>
                <w:color w:val="auto"/>
              </w:rPr>
            </w:pPr>
            <w:r>
              <w:rPr>
                <w:rFonts w:ascii="Arial" w:cs="Arial" w:eastAsia="Arial" w:hAnsi="Arial"/>
                <w:sz w:val="11"/>
                <w:szCs w:val="11"/>
                <w:b w:val="1"/>
                <w:bCs w:val="1"/>
                <w:color w:val="auto"/>
                <w:w w:val="89"/>
              </w:rPr>
              <w:t>$0.0001 Par</w:t>
            </w: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left="426"/>
              <w:spacing w:after="0" w:line="122" w:lineRule="exact"/>
              <w:rPr>
                <w:sz w:val="20"/>
                <w:szCs w:val="20"/>
                <w:color w:val="auto"/>
              </w:rPr>
            </w:pPr>
            <w:r>
              <w:rPr>
                <w:rFonts w:ascii="Arial" w:cs="Arial" w:eastAsia="Arial" w:hAnsi="Arial"/>
                <w:sz w:val="11"/>
                <w:szCs w:val="11"/>
                <w:b w:val="1"/>
                <w:bCs w:val="1"/>
                <w:color w:val="auto"/>
                <w:w w:val="89"/>
              </w:rPr>
              <w:t>$0.0001 Par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center"/>
              <w:ind w:right="206"/>
              <w:spacing w:after="0" w:line="122" w:lineRule="exact"/>
              <w:rPr>
                <w:sz w:val="20"/>
                <w:szCs w:val="20"/>
                <w:color w:val="auto"/>
              </w:rPr>
            </w:pPr>
            <w:r>
              <w:rPr>
                <w:rFonts w:ascii="Arial" w:cs="Arial" w:eastAsia="Arial" w:hAnsi="Arial"/>
                <w:sz w:val="11"/>
                <w:szCs w:val="11"/>
                <w:b w:val="1"/>
                <w:bCs w:val="1"/>
                <w:color w:val="auto"/>
                <w:w w:val="89"/>
              </w:rPr>
              <w:t>Additional</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center"/>
              <w:ind w:right="146"/>
              <w:spacing w:after="0" w:line="122" w:lineRule="exact"/>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2"/>
                <w:szCs w:val="12"/>
                <w:color w:val="auto"/>
              </w:rPr>
            </w:pPr>
          </w:p>
        </w:tc>
        <w:tc>
          <w:tcPr>
            <w:tcW w:w="3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Value</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8"/>
              </w:rPr>
              <w:t>Value</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640" w:type="dxa"/>
            <w:vAlign w:val="bottom"/>
          </w:tcPr>
          <w:p>
            <w:pPr>
              <w:jc w:val="center"/>
              <w:ind w:left="326"/>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100" w:type="dxa"/>
            <w:vAlign w:val="bottom"/>
          </w:tcPr>
          <w:p>
            <w:pPr>
              <w:jc w:val="center"/>
              <w:ind w:left="426"/>
              <w:spacing w:after="0"/>
              <w:rPr>
                <w:sz w:val="20"/>
                <w:szCs w:val="20"/>
                <w:color w:val="auto"/>
              </w:rPr>
            </w:pPr>
            <w:r>
              <w:rPr>
                <w:rFonts w:ascii="Arial" w:cs="Arial" w:eastAsia="Arial" w:hAnsi="Arial"/>
                <w:sz w:val="11"/>
                <w:szCs w:val="11"/>
                <w:b w:val="1"/>
                <w:bCs w:val="1"/>
                <w:color w:val="auto"/>
                <w:w w:val="88"/>
              </w:rPr>
              <w:t>Value</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20" w:type="dxa"/>
            <w:vAlign w:val="bottom"/>
          </w:tcPr>
          <w:p>
            <w:pPr>
              <w:jc w:val="center"/>
              <w:ind w:right="186"/>
              <w:spacing w:after="0"/>
              <w:rPr>
                <w:sz w:val="20"/>
                <w:szCs w:val="20"/>
                <w:color w:val="auto"/>
              </w:rPr>
            </w:pPr>
            <w:r>
              <w:rPr>
                <w:rFonts w:ascii="Arial" w:cs="Arial" w:eastAsia="Arial" w:hAnsi="Arial"/>
                <w:sz w:val="11"/>
                <w:szCs w:val="11"/>
                <w:b w:val="1"/>
                <w:bCs w:val="1"/>
                <w:color w:val="auto"/>
                <w:w w:val="92"/>
              </w:rPr>
              <w:t>Paid-In</w:t>
            </w: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center"/>
              <w:ind w:right="66"/>
              <w:spacing w:after="0"/>
              <w:rPr>
                <w:sz w:val="20"/>
                <w:szCs w:val="20"/>
                <w:color w:val="auto"/>
              </w:rPr>
            </w:pPr>
            <w:r>
              <w:rPr>
                <w:rFonts w:ascii="Arial" w:cs="Arial" w:eastAsia="Arial" w:hAnsi="Arial"/>
                <w:sz w:val="11"/>
                <w:szCs w:val="11"/>
                <w:b w:val="1"/>
                <w:bCs w:val="1"/>
                <w:color w:val="auto"/>
                <w:w w:val="89"/>
              </w:rPr>
              <w:t>Accumulated</w:t>
            </w:r>
          </w:p>
        </w:tc>
        <w:tc>
          <w:tcPr>
            <w:tcW w:w="200" w:type="dxa"/>
            <w:vAlign w:val="bottom"/>
            <w:gridSpan w:val="2"/>
          </w:tcPr>
          <w:p>
            <w:pPr>
              <w:ind w:left="80"/>
              <w:spacing w:after="0"/>
              <w:rPr>
                <w:sz w:val="20"/>
                <w:szCs w:val="20"/>
                <w:color w:val="auto"/>
              </w:rPr>
            </w:pPr>
            <w:r>
              <w:rPr>
                <w:rFonts w:ascii="Arial" w:cs="Arial" w:eastAsia="Arial" w:hAnsi="Arial"/>
                <w:sz w:val="11"/>
                <w:szCs w:val="11"/>
                <w:color w:val="auto"/>
              </w:rPr>
              <w:t>​</w:t>
            </w: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85"/>
              </w:rPr>
              <w:t>Stockholders’</w:t>
            </w:r>
          </w:p>
        </w:tc>
        <w:tc>
          <w:tcPr>
            <w:tcW w:w="0" w:type="dxa"/>
            <w:vAlign w:val="bottom"/>
          </w:tcPr>
          <w:p>
            <w:pPr>
              <w:spacing w:after="0"/>
              <w:rPr>
                <w:sz w:val="1"/>
                <w:szCs w:val="1"/>
                <w:color w:val="auto"/>
              </w:rPr>
            </w:pPr>
          </w:p>
        </w:tc>
      </w:tr>
      <w:tr>
        <w:trPr>
          <w:trHeight w:val="115"/>
        </w:trPr>
        <w:tc>
          <w:tcPr>
            <w:tcW w:w="1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gridSpan w:val="2"/>
          </w:tcPr>
          <w:p>
            <w:pPr>
              <w:jc w:val="center"/>
              <w:ind w:right="66"/>
              <w:spacing w:after="0" w:line="115" w:lineRule="exact"/>
              <w:rPr>
                <w:sz w:val="20"/>
                <w:szCs w:val="20"/>
                <w:color w:val="auto"/>
              </w:rPr>
            </w:pPr>
            <w:r>
              <w:rPr>
                <w:rFonts w:ascii="Arial" w:cs="Arial" w:eastAsia="Arial" w:hAnsi="Arial"/>
                <w:sz w:val="11"/>
                <w:szCs w:val="11"/>
                <w:b w:val="1"/>
                <w:bCs w:val="1"/>
                <w:color w:val="auto"/>
                <w:w w:val="89"/>
              </w:rPr>
              <w:t>Amoun</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gridSpan w:val="2"/>
          </w:tcPr>
          <w:p>
            <w:pPr>
              <w:jc w:val="center"/>
              <w:ind w:right="66"/>
              <w:spacing w:after="0" w:line="115" w:lineRule="exact"/>
              <w:rPr>
                <w:sz w:val="20"/>
                <w:szCs w:val="20"/>
                <w:color w:val="auto"/>
              </w:rPr>
            </w:pPr>
            <w:r>
              <w:rPr>
                <w:rFonts w:ascii="Arial" w:cs="Arial" w:eastAsia="Arial" w:hAnsi="Arial"/>
                <w:sz w:val="11"/>
                <w:szCs w:val="11"/>
                <w:b w:val="1"/>
                <w:bCs w:val="1"/>
                <w:color w:val="auto"/>
                <w:w w:val="89"/>
              </w:rPr>
              <w:t>Amou</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480" w:type="dxa"/>
            <w:vAlign w:val="bottom"/>
          </w:tcPr>
          <w:p>
            <w:pPr>
              <w:spacing w:after="0"/>
              <w:rPr>
                <w:sz w:val="12"/>
                <w:szCs w:val="12"/>
                <w:color w:val="auto"/>
              </w:rPr>
            </w:pPr>
          </w:p>
        </w:tc>
        <w:tc>
          <w:tcPr>
            <w:tcW w:w="160" w:type="dxa"/>
            <w:vAlign w:val="bottom"/>
          </w:tcPr>
          <w:p>
            <w:pPr>
              <w:ind w:left="80"/>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Shares</w:t>
            </w:r>
          </w:p>
        </w:tc>
        <w:tc>
          <w:tcPr>
            <w:tcW w:w="100" w:type="dxa"/>
            <w:vAlign w:val="bottom"/>
            <w:tcBorders>
              <w:bottom w:val="single" w:sz="8" w:color="auto"/>
            </w:tcBorders>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Borders>
              <w:bottom w:val="single" w:sz="8" w:color="auto"/>
            </w:tcBorders>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ind w:left="60"/>
              <w:spacing w:after="0"/>
              <w:rPr>
                <w:sz w:val="20"/>
                <w:szCs w:val="20"/>
                <w:color w:val="auto"/>
              </w:rPr>
            </w:pPr>
            <w:r>
              <w:rPr>
                <w:rFonts w:ascii="Arial" w:cs="Arial" w:eastAsia="Arial" w:hAnsi="Arial"/>
                <w:sz w:val="11"/>
                <w:szCs w:val="11"/>
                <w:b w:val="1"/>
                <w:bCs w:val="1"/>
                <w:color w:val="auto"/>
                <w:w w:val="76"/>
              </w:rPr>
              <w:t>Shares</w:t>
            </w:r>
          </w:p>
        </w:tc>
        <w:tc>
          <w:tcPr>
            <w:tcW w:w="260" w:type="dxa"/>
            <w:vAlign w:val="bottom"/>
            <w:tcBorders>
              <w:bottom w:val="single" w:sz="8" w:color="auto"/>
            </w:tcBorders>
          </w:tcPr>
          <w:p>
            <w:pPr>
              <w:spacing w:after="0"/>
              <w:rPr>
                <w:sz w:val="12"/>
                <w:szCs w:val="12"/>
                <w:color w:val="auto"/>
              </w:rPr>
            </w:pP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1"/>
                <w:szCs w:val="11"/>
                <w:b w:val="1"/>
                <w:bCs w:val="1"/>
                <w:color w:val="auto"/>
                <w:w w:val="96"/>
              </w:rPr>
              <w:t>Amount</w:t>
            </w: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w w:val="92"/>
              </w:rPr>
              <w:t>Shares</w:t>
            </w: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rPr>
              <w:t>t</w:t>
            </w:r>
          </w:p>
        </w:tc>
        <w:tc>
          <w:tcPr>
            <w:tcW w:w="26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406"/>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ind w:lef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95"/>
              </w:rPr>
              <w:t>nt</w:t>
            </w:r>
          </w:p>
        </w:tc>
        <w:tc>
          <w:tcPr>
            <w:tcW w:w="140" w:type="dxa"/>
            <w:vAlign w:val="bottom"/>
          </w:tcPr>
          <w:p>
            <w:pPr>
              <w:ind w:left="8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86"/>
              <w:spacing w:after="0"/>
              <w:rPr>
                <w:sz w:val="20"/>
                <w:szCs w:val="20"/>
                <w:color w:val="auto"/>
              </w:rPr>
            </w:pPr>
            <w:r>
              <w:rPr>
                <w:rFonts w:ascii="Arial" w:cs="Arial" w:eastAsia="Arial" w:hAnsi="Arial"/>
                <w:sz w:val="11"/>
                <w:szCs w:val="11"/>
                <w:b w:val="1"/>
                <w:bCs w:val="1"/>
                <w:color w:val="auto"/>
                <w:w w:val="92"/>
              </w:rPr>
              <w:t>Capital</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06"/>
              <w:spacing w:after="0"/>
              <w:rPr>
                <w:sz w:val="20"/>
                <w:szCs w:val="20"/>
                <w:color w:val="auto"/>
              </w:rPr>
            </w:pPr>
            <w:r>
              <w:rPr>
                <w:rFonts w:ascii="Arial" w:cs="Arial" w:eastAsia="Arial" w:hAnsi="Arial"/>
                <w:sz w:val="11"/>
                <w:szCs w:val="11"/>
                <w:b w:val="1"/>
                <w:bCs w:val="1"/>
                <w:color w:val="auto"/>
                <w:w w:val="89"/>
              </w:rPr>
              <w:t>Deficit</w:t>
            </w: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46"/>
              <w:spacing w:after="0"/>
              <w:rPr>
                <w:sz w:val="20"/>
                <w:szCs w:val="20"/>
                <w:color w:val="auto"/>
              </w:rPr>
            </w:pPr>
            <w:r>
              <w:rPr>
                <w:rFonts w:ascii="Arial" w:cs="Arial" w:eastAsia="Arial" w:hAnsi="Arial"/>
                <w:sz w:val="11"/>
                <w:szCs w:val="11"/>
                <w:b w:val="1"/>
                <w:bCs w:val="1"/>
                <w:color w:val="auto"/>
                <w:w w:val="89"/>
              </w:rPr>
              <w:t>Equity</w:t>
            </w:r>
          </w:p>
        </w:tc>
        <w:tc>
          <w:tcPr>
            <w:tcW w:w="0" w:type="dxa"/>
            <w:vAlign w:val="bottom"/>
          </w:tcPr>
          <w:p>
            <w:pPr>
              <w:spacing w:after="0"/>
              <w:rPr>
                <w:sz w:val="1"/>
                <w:szCs w:val="1"/>
                <w:color w:val="auto"/>
              </w:rPr>
            </w:pPr>
          </w:p>
        </w:tc>
      </w:tr>
      <w:tr>
        <w:trPr>
          <w:trHeight w:val="182"/>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w w:val="91"/>
              </w:rPr>
              <w:t>Balance at December 31, 2022</w:t>
            </w:r>
          </w:p>
        </w:tc>
        <w:tc>
          <w:tcPr>
            <w:tcW w:w="1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5"/>
                <w:szCs w:val="15"/>
                <w:color w:val="auto"/>
              </w:rPr>
            </w:pPr>
          </w:p>
        </w:tc>
        <w:tc>
          <w:tcPr>
            <w:tcW w:w="38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17,403,315</w:t>
            </w:r>
          </w:p>
        </w:tc>
        <w:tc>
          <w:tcPr>
            <w:tcW w:w="120" w:type="dxa"/>
            <w:vAlign w:val="bottom"/>
            <w:tcBorders>
              <w:left w:val="single" w:sz="8" w:color="CFF0FC"/>
            </w:tcBorders>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288,814</w:t>
            </w:r>
          </w:p>
        </w:tc>
        <w:tc>
          <w:tcPr>
            <w:tcW w:w="120" w:type="dxa"/>
            <w:vAlign w:val="bottom"/>
            <w:tcBorders>
              <w:right w:val="single" w:sz="8" w:color="CFF0FC"/>
            </w:tcBorders>
            <w:shd w:val="clear" w:color="auto" w:fill="CFF0FC"/>
          </w:tcPr>
          <w:p>
            <w:pPr>
              <w:spacing w:after="0"/>
              <w:rPr>
                <w:sz w:val="15"/>
                <w:szCs w:val="15"/>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(112,216 )</w:t>
            </w:r>
          </w:p>
        </w:tc>
        <w:tc>
          <w:tcPr>
            <w:tcW w:w="200" w:type="dxa"/>
            <w:vAlign w:val="bottom"/>
            <w:gridSpan w:val="2"/>
            <w:shd w:val="clear" w:color="auto" w:fill="CFF0FC"/>
          </w:tcPr>
          <w:p>
            <w:pPr>
              <w:ind w:left="120"/>
              <w:spacing w:after="0"/>
              <w:rPr>
                <w:sz w:val="20"/>
                <w:szCs w:val="20"/>
                <w:color w:val="auto"/>
              </w:rPr>
            </w:pPr>
            <w:r>
              <w:rPr>
                <w:rFonts w:ascii="Arial" w:cs="Arial" w:eastAsia="Arial" w:hAnsi="Arial"/>
                <w:sz w:val="11"/>
                <w:szCs w:val="11"/>
                <w:color w:val="auto"/>
                <w:w w:val="97"/>
              </w:rPr>
              <w:t>​$</w:t>
            </w:r>
          </w:p>
        </w:tc>
        <w:tc>
          <w:tcPr>
            <w:tcW w:w="8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176,600</w:t>
            </w:r>
          </w:p>
        </w:tc>
        <w:tc>
          <w:tcPr>
            <w:tcW w:w="0" w:type="dxa"/>
            <w:vAlign w:val="bottom"/>
          </w:tcPr>
          <w:p>
            <w:pPr>
              <w:spacing w:after="0"/>
              <w:rPr>
                <w:sz w:val="1"/>
                <w:szCs w:val="1"/>
                <w:color w:val="auto"/>
              </w:rPr>
            </w:pPr>
          </w:p>
        </w:tc>
      </w:tr>
      <w:tr>
        <w:trPr>
          <w:trHeight w:val="106"/>
        </w:trPr>
        <w:tc>
          <w:tcPr>
            <w:tcW w:w="1480" w:type="dxa"/>
            <w:vAlign w:val="bottom"/>
            <w:tcBorders>
              <w:top w:val="single" w:sz="8" w:color="CFF0FC"/>
            </w:tcBorders>
          </w:tcPr>
          <w:p>
            <w:pPr>
              <w:ind w:left="20"/>
              <w:spacing w:after="0" w:line="106" w:lineRule="exact"/>
              <w:rPr>
                <w:sz w:val="20"/>
                <w:szCs w:val="20"/>
                <w:color w:val="auto"/>
              </w:rPr>
            </w:pPr>
            <w:r>
              <w:rPr>
                <w:rFonts w:ascii="Arial" w:cs="Arial" w:eastAsia="Arial" w:hAnsi="Arial"/>
                <w:sz w:val="11"/>
                <w:szCs w:val="11"/>
                <w:color w:val="auto"/>
              </w:rPr>
              <w:t>Issuance of common stock</w:t>
            </w:r>
          </w:p>
        </w:tc>
        <w:tc>
          <w:tcPr>
            <w:tcW w:w="160" w:type="dxa"/>
            <w:vAlign w:val="bottom"/>
            <w:tcBorders>
              <w:top w:val="single" w:sz="8" w:color="CFF0FC"/>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10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480" w:type="dxa"/>
            <w:vAlign w:val="bottom"/>
          </w:tcPr>
          <w:p>
            <w:pPr>
              <w:ind w:left="100"/>
              <w:spacing w:after="0" w:line="122" w:lineRule="exact"/>
              <w:rPr>
                <w:sz w:val="20"/>
                <w:szCs w:val="20"/>
                <w:color w:val="auto"/>
              </w:rPr>
            </w:pPr>
            <w:r>
              <w:rPr>
                <w:rFonts w:ascii="Arial" w:cs="Arial" w:eastAsia="Arial" w:hAnsi="Arial"/>
                <w:sz w:val="11"/>
                <w:szCs w:val="11"/>
                <w:color w:val="auto"/>
              </w:rPr>
              <w:t>upon exercise of stock</w:t>
            </w:r>
          </w:p>
        </w:tc>
        <w:tc>
          <w:tcPr>
            <w:tcW w:w="160" w:type="dxa"/>
            <w:vAlign w:val="bottom"/>
          </w:tcPr>
          <w:p>
            <w:pPr>
              <w:ind w:left="14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380" w:type="dxa"/>
            <w:vAlign w:val="bottom"/>
            <w:gridSpan w:val="2"/>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1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74,753</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1,067</w:t>
            </w:r>
          </w:p>
        </w:tc>
        <w:tc>
          <w:tcPr>
            <w:tcW w:w="12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1,067</w:t>
            </w:r>
          </w:p>
        </w:tc>
        <w:tc>
          <w:tcPr>
            <w:tcW w:w="0" w:type="dxa"/>
            <w:vAlign w:val="bottom"/>
          </w:tcPr>
          <w:p>
            <w:pPr>
              <w:spacing w:after="0"/>
              <w:rPr>
                <w:sz w:val="1"/>
                <w:szCs w:val="1"/>
                <w:color w:val="auto"/>
              </w:rPr>
            </w:pPr>
          </w:p>
        </w:tc>
      </w:tr>
      <w:tr>
        <w:trPr>
          <w:trHeight w:val="140"/>
        </w:trPr>
        <w:tc>
          <w:tcPr>
            <w:tcW w:w="1480" w:type="dxa"/>
            <w:vAlign w:val="bottom"/>
          </w:tcPr>
          <w:p>
            <w:pPr>
              <w:ind w:left="100"/>
              <w:spacing w:after="0"/>
              <w:rPr>
                <w:sz w:val="20"/>
                <w:szCs w:val="20"/>
                <w:color w:val="auto"/>
              </w:rPr>
            </w:pPr>
            <w:r>
              <w:rPr>
                <w:rFonts w:ascii="Arial" w:cs="Arial" w:eastAsia="Arial" w:hAnsi="Arial"/>
                <w:sz w:val="11"/>
                <w:szCs w:val="11"/>
                <w:color w:val="auto"/>
              </w:rPr>
              <w:t>options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Vesting of restricted</w:t>
            </w:r>
          </w:p>
        </w:tc>
        <w:tc>
          <w:tcPr>
            <w:tcW w:w="160" w:type="dxa"/>
            <w:vAlign w:val="bottom"/>
            <w:tcBorders>
              <w:right w:val="single" w:sz="8" w:color="CFF0FC"/>
            </w:tcBorders>
            <w:vMerge w:val="restart"/>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260" w:type="dxa"/>
            <w:vAlign w:val="bottom"/>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200" w:type="dxa"/>
            <w:vAlign w:val="bottom"/>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2"/>
            <w:vMerge w:val="restart"/>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958</w:t>
            </w: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2"/>
        </w:trPr>
        <w:tc>
          <w:tcPr>
            <w:tcW w:w="1480" w:type="dxa"/>
            <w:vAlign w:val="bottom"/>
            <w:vMerge w:val="restart"/>
            <w:shd w:val="clear" w:color="auto" w:fill="CFF0FC"/>
          </w:tcPr>
          <w:p>
            <w:pPr>
              <w:ind w:left="100"/>
              <w:spacing w:after="0"/>
              <w:rPr>
                <w:sz w:val="20"/>
                <w:szCs w:val="20"/>
                <w:color w:val="auto"/>
              </w:rPr>
            </w:pPr>
            <w:r>
              <w:rPr>
                <w:rFonts w:ascii="Arial" w:cs="Arial" w:eastAsia="Arial" w:hAnsi="Arial"/>
                <w:sz w:val="11"/>
                <w:szCs w:val="11"/>
                <w:color w:val="auto"/>
              </w:rPr>
              <w:t>common stock</w:t>
            </w:r>
          </w:p>
        </w:tc>
        <w:tc>
          <w:tcPr>
            <w:tcW w:w="160" w:type="dxa"/>
            <w:vAlign w:val="bottom"/>
            <w:tcBorders>
              <w:right w:val="single" w:sz="8" w:color="CFF0FC"/>
            </w:tcBorders>
            <w:vMerge w:val="continue"/>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60" w:type="dxa"/>
            <w:vAlign w:val="bottom"/>
            <w:gridSpan w:val="2"/>
            <w:vMerge w:val="continue"/>
            <w:shd w:val="clear" w:color="auto" w:fill="CFF0FC"/>
          </w:tcPr>
          <w:p>
            <w:pPr>
              <w:spacing w:after="0"/>
              <w:rPr>
                <w:sz w:val="7"/>
                <w:szCs w:val="7"/>
                <w:color w:val="auto"/>
              </w:rPr>
            </w:pPr>
          </w:p>
        </w:tc>
        <w:tc>
          <w:tcPr>
            <w:tcW w:w="62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0" w:type="dxa"/>
            <w:vAlign w:val="bottom"/>
            <w:gridSpan w:val="2"/>
            <w:vMerge w:val="continue"/>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380" w:type="dxa"/>
            <w:vAlign w:val="bottom"/>
            <w:tcBorders>
              <w:right w:val="single" w:sz="8" w:color="CFF0FC"/>
            </w:tcBorders>
            <w:gridSpan w:val="2"/>
            <w:vMerge w:val="continue"/>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440" w:type="dxa"/>
            <w:vAlign w:val="bottom"/>
            <w:vMerge w:val="continue"/>
            <w:shd w:val="clear" w:color="auto" w:fill="CFF0FC"/>
          </w:tcPr>
          <w:p>
            <w:pPr>
              <w:spacing w:after="0"/>
              <w:rPr>
                <w:sz w:val="7"/>
                <w:szCs w:val="7"/>
                <w:color w:val="auto"/>
              </w:rPr>
            </w:pPr>
          </w:p>
        </w:tc>
        <w:tc>
          <w:tcPr>
            <w:tcW w:w="200" w:type="dxa"/>
            <w:vAlign w:val="bottom"/>
            <w:gridSpan w:val="2"/>
            <w:vMerge w:val="continue"/>
            <w:shd w:val="clear" w:color="auto" w:fill="CFF0FC"/>
          </w:tcPr>
          <w:p>
            <w:pPr>
              <w:spacing w:after="0"/>
              <w:rPr>
                <w:sz w:val="7"/>
                <w:szCs w:val="7"/>
                <w:color w:val="auto"/>
              </w:rPr>
            </w:pPr>
          </w:p>
        </w:tc>
        <w:tc>
          <w:tcPr>
            <w:tcW w:w="640" w:type="dxa"/>
            <w:vAlign w:val="bottom"/>
            <w:vMerge w:val="continue"/>
            <w:shd w:val="clear" w:color="auto" w:fill="CFF0FC"/>
          </w:tcPr>
          <w:p>
            <w:pPr>
              <w:spacing w:after="0"/>
              <w:rPr>
                <w:sz w:val="7"/>
                <w:szCs w:val="7"/>
                <w:color w:val="auto"/>
              </w:rPr>
            </w:pPr>
          </w:p>
        </w:tc>
        <w:tc>
          <w:tcPr>
            <w:tcW w:w="240" w:type="dxa"/>
            <w:vAlign w:val="bottom"/>
            <w:tcBorders>
              <w:left w:val="single" w:sz="8" w:color="CFF0FC"/>
            </w:tcBorders>
            <w:gridSpan w:val="2"/>
            <w:vMerge w:val="continue"/>
            <w:shd w:val="clear" w:color="auto" w:fill="CFF0FC"/>
          </w:tcPr>
          <w:p>
            <w:pPr>
              <w:spacing w:after="0"/>
              <w:rPr>
                <w:sz w:val="7"/>
                <w:szCs w:val="7"/>
                <w:color w:val="auto"/>
              </w:rPr>
            </w:pPr>
          </w:p>
        </w:tc>
        <w:tc>
          <w:tcPr>
            <w:tcW w:w="380" w:type="dxa"/>
            <w:vAlign w:val="bottom"/>
            <w:vMerge w:val="continue"/>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vMerge w:val="continue"/>
            <w:shd w:val="clear" w:color="auto" w:fill="CFF0FC"/>
          </w:tcPr>
          <w:p>
            <w:pPr>
              <w:spacing w:after="0"/>
              <w:rPr>
                <w:sz w:val="7"/>
                <w:szCs w:val="7"/>
                <w:color w:val="auto"/>
              </w:rPr>
            </w:pPr>
          </w:p>
        </w:tc>
        <w:tc>
          <w:tcPr>
            <w:tcW w:w="120" w:type="dxa"/>
            <w:vAlign w:val="bottom"/>
            <w:tcBorders>
              <w:lef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80" w:type="dxa"/>
            <w:vAlign w:val="bottom"/>
            <w:vMerge w:val="continue"/>
            <w:shd w:val="clear" w:color="auto" w:fill="CFF0FC"/>
          </w:tcPr>
          <w:p>
            <w:pPr>
              <w:spacing w:after="0"/>
              <w:rPr>
                <w:sz w:val="7"/>
                <w:szCs w:val="7"/>
                <w:color w:val="auto"/>
              </w:rPr>
            </w:pPr>
          </w:p>
        </w:tc>
        <w:tc>
          <w:tcPr>
            <w:tcW w:w="240" w:type="dxa"/>
            <w:vAlign w:val="bottom"/>
            <w:gridSpan w:val="2"/>
            <w:vMerge w:val="continue"/>
            <w:shd w:val="clear" w:color="auto" w:fill="CFF0FC"/>
          </w:tcPr>
          <w:p>
            <w:pPr>
              <w:spacing w:after="0"/>
              <w:rPr>
                <w:sz w:val="7"/>
                <w:szCs w:val="7"/>
                <w:color w:val="auto"/>
              </w:rPr>
            </w:pPr>
          </w:p>
        </w:tc>
        <w:tc>
          <w:tcPr>
            <w:tcW w:w="820" w:type="dxa"/>
            <w:vAlign w:val="bottom"/>
            <w:vMerge w:val="continue"/>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200" w:type="dxa"/>
            <w:vAlign w:val="bottom"/>
            <w:gridSpan w:val="2"/>
            <w:vMerge w:val="continue"/>
            <w:shd w:val="clear" w:color="auto" w:fill="CFF0FC"/>
          </w:tcPr>
          <w:p>
            <w:pPr>
              <w:spacing w:after="0"/>
              <w:rPr>
                <w:sz w:val="7"/>
                <w:szCs w:val="7"/>
                <w:color w:val="auto"/>
              </w:rPr>
            </w:pPr>
          </w:p>
        </w:tc>
        <w:tc>
          <w:tcPr>
            <w:tcW w:w="86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480" w:type="dxa"/>
            <w:vAlign w:val="bottom"/>
            <w:vMerge w:val="continue"/>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left w:val="single" w:sz="8" w:color="CFF0FC"/>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120" w:type="dxa"/>
            <w:vAlign w:val="bottom"/>
            <w:tcBorders>
              <w:lef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1"/>
                <w:szCs w:val="11"/>
                <w:color w:val="auto"/>
              </w:rPr>
              <w:t>Stock-based compensation</w:t>
            </w:r>
          </w:p>
        </w:tc>
        <w:tc>
          <w:tcPr>
            <w:tcW w:w="160" w:type="dxa"/>
            <w:vAlign w:val="bottom"/>
            <w:vMerge w:val="restart"/>
          </w:tcPr>
          <w:p>
            <w:pPr>
              <w:ind w:left="1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380" w:type="dxa"/>
            <w:vAlign w:val="bottom"/>
            <w:gridSpan w:val="2"/>
            <w:vMerge w:val="restart"/>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4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ind w:lef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1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86"/>
              <w:spacing w:after="0"/>
              <w:rPr>
                <w:sz w:val="20"/>
                <w:szCs w:val="20"/>
                <w:color w:val="auto"/>
              </w:rPr>
            </w:pPr>
            <w:r>
              <w:rPr>
                <w:rFonts w:ascii="Arial" w:cs="Arial" w:eastAsia="Arial" w:hAnsi="Arial"/>
                <w:sz w:val="11"/>
                <w:szCs w:val="11"/>
                <w:color w:val="auto"/>
              </w:rPr>
              <w:t>1,024</w:t>
            </w:r>
          </w:p>
        </w:tc>
        <w:tc>
          <w:tcPr>
            <w:tcW w:w="12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86"/>
              <w:spacing w:after="0"/>
              <w:rPr>
                <w:sz w:val="20"/>
                <w:szCs w:val="20"/>
                <w:color w:val="auto"/>
              </w:rPr>
            </w:pPr>
            <w:r>
              <w:rPr>
                <w:rFonts w:ascii="Arial" w:cs="Arial" w:eastAsia="Arial" w:hAnsi="Arial"/>
                <w:sz w:val="11"/>
                <w:szCs w:val="11"/>
                <w:color w:val="auto"/>
              </w:rPr>
              <w:t>1,024</w:t>
            </w:r>
          </w:p>
        </w:tc>
        <w:tc>
          <w:tcPr>
            <w:tcW w:w="0" w:type="dxa"/>
            <w:vAlign w:val="bottom"/>
          </w:tcPr>
          <w:p>
            <w:pPr>
              <w:spacing w:after="0"/>
              <w:rPr>
                <w:sz w:val="1"/>
                <w:szCs w:val="1"/>
                <w:color w:val="auto"/>
              </w:rPr>
            </w:pPr>
          </w:p>
        </w:tc>
      </w:tr>
      <w:tr>
        <w:trPr>
          <w:trHeight w:val="82"/>
        </w:trPr>
        <w:tc>
          <w:tcPr>
            <w:tcW w:w="1480" w:type="dxa"/>
            <w:vAlign w:val="bottom"/>
            <w:vMerge w:val="restart"/>
          </w:tcPr>
          <w:p>
            <w:pPr>
              <w:ind w:left="100"/>
              <w:spacing w:after="0"/>
              <w:rPr>
                <w:sz w:val="20"/>
                <w:szCs w:val="20"/>
                <w:color w:val="auto"/>
              </w:rPr>
            </w:pPr>
            <w:r>
              <w:rPr>
                <w:rFonts w:ascii="Arial" w:cs="Arial" w:eastAsia="Arial" w:hAnsi="Arial"/>
                <w:sz w:val="11"/>
                <w:szCs w:val="11"/>
                <w:color w:val="auto"/>
              </w:rPr>
              <w:t>expense</w:t>
            </w:r>
          </w:p>
        </w:tc>
        <w:tc>
          <w:tcPr>
            <w:tcW w:w="1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Sale of common stock in</w:t>
            </w:r>
          </w:p>
        </w:tc>
        <w:tc>
          <w:tcPr>
            <w:tcW w:w="1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8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registered direct offering,</w:t>
            </w:r>
          </w:p>
        </w:tc>
        <w:tc>
          <w:tcPr>
            <w:tcW w:w="160" w:type="dxa"/>
            <w:vAlign w:val="bottom"/>
            <w:tcBorders>
              <w:right w:val="single" w:sz="8" w:color="CFF0FC"/>
            </w:tcBorders>
            <w:shd w:val="clear" w:color="auto" w:fill="CFF0FC"/>
          </w:tcPr>
          <w:p>
            <w:pPr>
              <w:ind w:left="14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380" w:type="dxa"/>
            <w:vAlign w:val="bottom"/>
            <w:tcBorders>
              <w:right w:val="single" w:sz="8" w:color="CFF0FC"/>
            </w:tcBorders>
            <w:gridSpan w:val="2"/>
            <w:shd w:val="clear" w:color="auto" w:fill="CFF0FC"/>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1,488,166</w:t>
            </w: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FF0FC"/>
          </w:tcPr>
          <w:p>
            <w:pPr>
              <w:ind w:left="120"/>
              <w:spacing w:after="0" w:line="122" w:lineRule="exact"/>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34,148</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20"/>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34,148</w:t>
            </w:r>
          </w:p>
        </w:tc>
        <w:tc>
          <w:tcPr>
            <w:tcW w:w="0" w:type="dxa"/>
            <w:vAlign w:val="bottom"/>
          </w:tcPr>
          <w:p>
            <w:pPr>
              <w:spacing w:after="0"/>
              <w:rPr>
                <w:sz w:val="1"/>
                <w:szCs w:val="1"/>
                <w:color w:val="auto"/>
              </w:rPr>
            </w:pPr>
          </w:p>
        </w:tc>
      </w:tr>
      <w:tr>
        <w:trPr>
          <w:trHeight w:val="145"/>
        </w:trPr>
        <w:tc>
          <w:tcPr>
            <w:tcW w:w="1480" w:type="dxa"/>
            <w:vAlign w:val="bottom"/>
            <w:shd w:val="clear" w:color="auto" w:fill="CFF0FC"/>
          </w:tcPr>
          <w:p>
            <w:pPr>
              <w:ind w:left="100"/>
              <w:spacing w:after="0"/>
              <w:rPr>
                <w:sz w:val="20"/>
                <w:szCs w:val="20"/>
                <w:color w:val="auto"/>
              </w:rPr>
            </w:pPr>
            <w:r>
              <w:rPr>
                <w:rFonts w:ascii="Arial" w:cs="Arial" w:eastAsia="Arial" w:hAnsi="Arial"/>
                <w:sz w:val="11"/>
                <w:szCs w:val="11"/>
                <w:color w:val="auto"/>
                <w:w w:val="99"/>
              </w:rPr>
              <w:t>net of issuance costs of $80</w:t>
            </w:r>
          </w:p>
        </w:tc>
        <w:tc>
          <w:tcPr>
            <w:tcW w:w="160" w:type="dxa"/>
            <w:vAlign w:val="bottom"/>
            <w:tcBorders>
              <w:right w:val="single" w:sz="8" w:color="CFF0FC"/>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1"/>
                <w:szCs w:val="11"/>
                <w:color w:val="auto"/>
              </w:rPr>
              <w:t>Sale of pre-funded warrants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80" w:type="dxa"/>
            <w:vAlign w:val="bottom"/>
          </w:tcPr>
          <w:p>
            <w:pPr>
              <w:ind w:left="100"/>
              <w:spacing w:after="0" w:line="122" w:lineRule="exact"/>
              <w:rPr>
                <w:sz w:val="20"/>
                <w:szCs w:val="20"/>
                <w:color w:val="auto"/>
              </w:rPr>
            </w:pPr>
            <w:r>
              <w:rPr>
                <w:rFonts w:ascii="Arial" w:cs="Arial" w:eastAsia="Arial" w:hAnsi="Arial"/>
                <w:sz w:val="11"/>
                <w:szCs w:val="11"/>
                <w:color w:val="auto"/>
              </w:rPr>
              <w:t>in registered direct offering,</w:t>
            </w: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380" w:type="dxa"/>
            <w:vAlign w:val="bottom"/>
            <w:gridSpan w:val="2"/>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28,206</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28,206</w:t>
            </w:r>
          </w:p>
        </w:tc>
        <w:tc>
          <w:tcPr>
            <w:tcW w:w="0" w:type="dxa"/>
            <w:vAlign w:val="bottom"/>
          </w:tcPr>
          <w:p>
            <w:pPr>
              <w:spacing w:after="0"/>
              <w:rPr>
                <w:sz w:val="1"/>
                <w:szCs w:val="1"/>
                <w:color w:val="auto"/>
              </w:rPr>
            </w:pPr>
          </w:p>
        </w:tc>
      </w:tr>
      <w:tr>
        <w:trPr>
          <w:trHeight w:val="140"/>
        </w:trPr>
        <w:tc>
          <w:tcPr>
            <w:tcW w:w="1480" w:type="dxa"/>
            <w:vAlign w:val="bottom"/>
          </w:tcPr>
          <w:p>
            <w:pPr>
              <w:ind w:left="100"/>
              <w:spacing w:after="0"/>
              <w:rPr>
                <w:sz w:val="20"/>
                <w:szCs w:val="20"/>
                <w:color w:val="auto"/>
              </w:rPr>
            </w:pPr>
            <w:r>
              <w:rPr>
                <w:rFonts w:ascii="Arial" w:cs="Arial" w:eastAsia="Arial" w:hAnsi="Arial"/>
                <w:sz w:val="11"/>
                <w:szCs w:val="11"/>
                <w:color w:val="auto"/>
                <w:w w:val="99"/>
              </w:rPr>
              <w:t>net of issuance costs of $66</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Sale of common stock in</w:t>
            </w:r>
          </w:p>
        </w:tc>
        <w:tc>
          <w:tcPr>
            <w:tcW w:w="1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8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at-the-market offerings, net</w:t>
            </w:r>
          </w:p>
        </w:tc>
        <w:tc>
          <w:tcPr>
            <w:tcW w:w="160" w:type="dxa"/>
            <w:vAlign w:val="bottom"/>
            <w:tcBorders>
              <w:right w:val="single" w:sz="8" w:color="CFF0FC"/>
            </w:tcBorders>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380" w:type="dxa"/>
            <w:vAlign w:val="bottom"/>
            <w:tcBorders>
              <w:right w:val="single" w:sz="8" w:color="CFF0FC"/>
            </w:tcBorders>
            <w:gridSpan w:val="2"/>
            <w:shd w:val="clear" w:color="auto" w:fill="CFF0FC"/>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608,050</w:t>
            </w: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14,591</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14,591</w:t>
            </w:r>
          </w:p>
        </w:tc>
        <w:tc>
          <w:tcPr>
            <w:tcW w:w="0" w:type="dxa"/>
            <w:vAlign w:val="bottom"/>
          </w:tcPr>
          <w:p>
            <w:pPr>
              <w:spacing w:after="0"/>
              <w:rPr>
                <w:sz w:val="1"/>
                <w:szCs w:val="1"/>
                <w:color w:val="auto"/>
              </w:rPr>
            </w:pPr>
          </w:p>
        </w:tc>
      </w:tr>
      <w:tr>
        <w:trPr>
          <w:trHeight w:val="145"/>
        </w:trPr>
        <w:tc>
          <w:tcPr>
            <w:tcW w:w="1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of issuance costs of $408</w:t>
            </w:r>
          </w:p>
        </w:tc>
        <w:tc>
          <w:tcPr>
            <w:tcW w:w="160" w:type="dxa"/>
            <w:vAlign w:val="bottom"/>
            <w:tcBorders>
              <w:right w:val="single" w:sz="8" w:color="CFF0FC"/>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ind w:left="20"/>
              <w:spacing w:after="0"/>
              <w:rPr>
                <w:sz w:val="20"/>
                <w:szCs w:val="20"/>
                <w:color w:val="auto"/>
              </w:rPr>
            </w:pPr>
            <w:r>
              <w:rPr>
                <w:rFonts w:ascii="Arial" w:cs="Arial" w:eastAsia="Arial" w:hAnsi="Arial"/>
                <w:sz w:val="11"/>
                <w:szCs w:val="11"/>
                <w:color w:val="auto"/>
              </w:rPr>
              <w:t>Net loss</w:t>
            </w:r>
          </w:p>
        </w:tc>
        <w:tc>
          <w:tcPr>
            <w:tcW w:w="160" w:type="dxa"/>
            <w:vAlign w:val="bottom"/>
          </w:tcPr>
          <w:p>
            <w:pPr>
              <w:ind w:lef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gridSpan w:val="2"/>
          </w:tcPr>
          <w:p>
            <w:pPr>
              <w:ind w:left="100"/>
              <w:spacing w:after="0"/>
              <w:rPr>
                <w:sz w:val="20"/>
                <w:szCs w:val="20"/>
                <w:color w:val="auto"/>
              </w:rPr>
            </w:pPr>
            <w:r>
              <w:rPr>
                <w:rFonts w:ascii="Arial" w:cs="Arial" w:eastAsia="Arial" w:hAnsi="Arial"/>
                <w:sz w:val="11"/>
                <w:szCs w:val="11"/>
                <w:color w:val="auto"/>
                <w:highlight w:val="black"/>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(22,781 )</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(22,781 )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March 31, 2023</w:t>
            </w:r>
          </w:p>
        </w:tc>
        <w:tc>
          <w:tcPr>
            <w:tcW w:w="1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2"/>
                <w:szCs w:val="12"/>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2"/>
                <w:szCs w:val="12"/>
                <w:color w:val="auto"/>
              </w:rPr>
            </w:pPr>
          </w:p>
        </w:tc>
        <w:tc>
          <w:tcPr>
            <w:tcW w:w="38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19,575,242</w:t>
            </w: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367,850</w:t>
            </w: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(134,997 )</w:t>
            </w:r>
          </w:p>
        </w:tc>
        <w:tc>
          <w:tcPr>
            <w:tcW w:w="20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232,855</w:t>
            </w: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1"/>
                <w:szCs w:val="11"/>
                <w:color w:val="auto"/>
              </w:rPr>
              <w:t>Issuance of common stock</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80" w:type="dxa"/>
            <w:vAlign w:val="bottom"/>
          </w:tcPr>
          <w:p>
            <w:pPr>
              <w:ind w:left="100"/>
              <w:spacing w:after="0" w:line="122" w:lineRule="exact"/>
              <w:rPr>
                <w:sz w:val="20"/>
                <w:szCs w:val="20"/>
                <w:color w:val="auto"/>
              </w:rPr>
            </w:pPr>
            <w:r>
              <w:rPr>
                <w:rFonts w:ascii="Arial" w:cs="Arial" w:eastAsia="Arial" w:hAnsi="Arial"/>
                <w:sz w:val="11"/>
                <w:szCs w:val="11"/>
                <w:color w:val="auto"/>
              </w:rPr>
              <w:t>upon exercise of stock</w:t>
            </w:r>
          </w:p>
        </w:tc>
        <w:tc>
          <w:tcPr>
            <w:tcW w:w="160" w:type="dxa"/>
            <w:vAlign w:val="bottom"/>
          </w:tcPr>
          <w:p>
            <w:pPr>
              <w:ind w:left="14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380" w:type="dxa"/>
            <w:vAlign w:val="bottom"/>
            <w:gridSpan w:val="2"/>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ind w:left="100"/>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1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41,475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242</w:t>
            </w:r>
          </w:p>
        </w:tc>
        <w:tc>
          <w:tcPr>
            <w:tcW w:w="12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120"/>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40"/>
        </w:trPr>
        <w:tc>
          <w:tcPr>
            <w:tcW w:w="1480" w:type="dxa"/>
            <w:vAlign w:val="bottom"/>
          </w:tcPr>
          <w:p>
            <w:pPr>
              <w:ind w:left="100"/>
              <w:spacing w:after="0"/>
              <w:rPr>
                <w:sz w:val="20"/>
                <w:szCs w:val="20"/>
                <w:color w:val="auto"/>
              </w:rPr>
            </w:pPr>
            <w:r>
              <w:rPr>
                <w:rFonts w:ascii="Arial" w:cs="Arial" w:eastAsia="Arial" w:hAnsi="Arial"/>
                <w:sz w:val="11"/>
                <w:szCs w:val="11"/>
                <w:color w:val="auto"/>
              </w:rPr>
              <w:t>options</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Vesting of restricted</w:t>
            </w:r>
          </w:p>
        </w:tc>
        <w:tc>
          <w:tcPr>
            <w:tcW w:w="160" w:type="dxa"/>
            <w:vAlign w:val="bottom"/>
            <w:tcBorders>
              <w:right w:val="single" w:sz="8" w:color="CFF0FC"/>
            </w:tcBorders>
            <w:vMerge w:val="restart"/>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1"/>
                <w:szCs w:val="11"/>
                <w:color w:val="auto"/>
              </w:rPr>
            </w:pPr>
          </w:p>
        </w:tc>
        <w:tc>
          <w:tcPr>
            <w:tcW w:w="260" w:type="dxa"/>
            <w:vAlign w:val="bottom"/>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vMerge w:val="restart"/>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1"/>
                <w:szCs w:val="11"/>
                <w:color w:val="auto"/>
              </w:rPr>
            </w:pPr>
          </w:p>
        </w:tc>
        <w:tc>
          <w:tcPr>
            <w:tcW w:w="200" w:type="dxa"/>
            <w:vAlign w:val="bottom"/>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1"/>
                <w:szCs w:val="11"/>
                <w:color w:val="auto"/>
              </w:rPr>
            </w:pPr>
          </w:p>
        </w:tc>
        <w:tc>
          <w:tcPr>
            <w:tcW w:w="380" w:type="dxa"/>
            <w:vAlign w:val="bottom"/>
            <w:tcBorders>
              <w:right w:val="single" w:sz="8" w:color="CFF0FC"/>
            </w:tcBorders>
            <w:gridSpan w:val="2"/>
            <w:vMerge w:val="restart"/>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4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vMerge w:val="restart"/>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1"/>
                <w:szCs w:val="11"/>
                <w:color w:val="auto"/>
              </w:rPr>
            </w:pPr>
          </w:p>
        </w:tc>
        <w:tc>
          <w:tcPr>
            <w:tcW w:w="110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958</w:t>
            </w: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2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vMerge w:val="restart"/>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FF0FC"/>
          </w:tcPr>
          <w:p>
            <w:pPr>
              <w:ind w:left="120"/>
              <w:spacing w:after="0"/>
              <w:rPr>
                <w:sz w:val="20"/>
                <w:szCs w:val="20"/>
                <w:color w:val="auto"/>
              </w:rPr>
            </w:pPr>
            <w:r>
              <w:rPr>
                <w:rFonts w:ascii="Arial" w:cs="Arial" w:eastAsia="Arial" w:hAnsi="Arial"/>
                <w:sz w:val="11"/>
                <w:szCs w:val="11"/>
                <w:color w:val="auto"/>
              </w:rPr>
              <w:t>​</w:t>
            </w:r>
          </w:p>
        </w:tc>
        <w:tc>
          <w:tcPr>
            <w:tcW w:w="860" w:type="dxa"/>
            <w:vAlign w:val="bottom"/>
            <w:vMerge w:val="restart"/>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82"/>
        </w:trPr>
        <w:tc>
          <w:tcPr>
            <w:tcW w:w="1480" w:type="dxa"/>
            <w:vAlign w:val="bottom"/>
            <w:vMerge w:val="restart"/>
            <w:shd w:val="clear" w:color="auto" w:fill="CFF0FC"/>
          </w:tcPr>
          <w:p>
            <w:pPr>
              <w:ind w:left="100"/>
              <w:spacing w:after="0"/>
              <w:rPr>
                <w:sz w:val="20"/>
                <w:szCs w:val="20"/>
                <w:color w:val="auto"/>
              </w:rPr>
            </w:pPr>
            <w:r>
              <w:rPr>
                <w:rFonts w:ascii="Arial" w:cs="Arial" w:eastAsia="Arial" w:hAnsi="Arial"/>
                <w:sz w:val="11"/>
                <w:szCs w:val="11"/>
                <w:color w:val="auto"/>
              </w:rPr>
              <w:t>common stock</w:t>
            </w:r>
          </w:p>
        </w:tc>
        <w:tc>
          <w:tcPr>
            <w:tcW w:w="160" w:type="dxa"/>
            <w:vAlign w:val="bottom"/>
            <w:tcBorders>
              <w:right w:val="single" w:sz="8" w:color="CFF0FC"/>
            </w:tcBorders>
            <w:vMerge w:val="continue"/>
            <w:shd w:val="clear" w:color="auto" w:fill="CFF0FC"/>
          </w:tcPr>
          <w:p>
            <w:pPr>
              <w:spacing w:after="0"/>
              <w:rPr>
                <w:sz w:val="7"/>
                <w:szCs w:val="7"/>
                <w:color w:val="auto"/>
              </w:rPr>
            </w:pPr>
          </w:p>
        </w:tc>
        <w:tc>
          <w:tcPr>
            <w:tcW w:w="540" w:type="dxa"/>
            <w:vAlign w:val="bottom"/>
            <w:vMerge w:val="continue"/>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260" w:type="dxa"/>
            <w:vAlign w:val="bottom"/>
            <w:gridSpan w:val="2"/>
            <w:vMerge w:val="continue"/>
            <w:shd w:val="clear" w:color="auto" w:fill="CFF0FC"/>
          </w:tcPr>
          <w:p>
            <w:pPr>
              <w:spacing w:after="0"/>
              <w:rPr>
                <w:sz w:val="7"/>
                <w:szCs w:val="7"/>
                <w:color w:val="auto"/>
              </w:rPr>
            </w:pPr>
          </w:p>
        </w:tc>
        <w:tc>
          <w:tcPr>
            <w:tcW w:w="620" w:type="dxa"/>
            <w:vAlign w:val="bottom"/>
            <w:vMerge w:val="continue"/>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200" w:type="dxa"/>
            <w:vAlign w:val="bottom"/>
            <w:gridSpan w:val="2"/>
            <w:vMerge w:val="continue"/>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380" w:type="dxa"/>
            <w:vAlign w:val="bottom"/>
            <w:tcBorders>
              <w:right w:val="single" w:sz="8" w:color="CFF0FC"/>
            </w:tcBorders>
            <w:gridSpan w:val="2"/>
            <w:vMerge w:val="continue"/>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440" w:type="dxa"/>
            <w:vAlign w:val="bottom"/>
            <w:vMerge w:val="continue"/>
            <w:shd w:val="clear" w:color="auto" w:fill="CFF0FC"/>
          </w:tcPr>
          <w:p>
            <w:pPr>
              <w:spacing w:after="0"/>
              <w:rPr>
                <w:sz w:val="7"/>
                <w:szCs w:val="7"/>
                <w:color w:val="auto"/>
              </w:rPr>
            </w:pPr>
          </w:p>
        </w:tc>
        <w:tc>
          <w:tcPr>
            <w:tcW w:w="200" w:type="dxa"/>
            <w:vAlign w:val="bottom"/>
            <w:gridSpan w:val="2"/>
            <w:vMerge w:val="continue"/>
            <w:shd w:val="clear" w:color="auto" w:fill="CFF0FC"/>
          </w:tcPr>
          <w:p>
            <w:pPr>
              <w:spacing w:after="0"/>
              <w:rPr>
                <w:sz w:val="7"/>
                <w:szCs w:val="7"/>
                <w:color w:val="auto"/>
              </w:rPr>
            </w:pPr>
          </w:p>
        </w:tc>
        <w:tc>
          <w:tcPr>
            <w:tcW w:w="640" w:type="dxa"/>
            <w:vAlign w:val="bottom"/>
            <w:vMerge w:val="continue"/>
            <w:shd w:val="clear" w:color="auto" w:fill="CFF0FC"/>
          </w:tcPr>
          <w:p>
            <w:pPr>
              <w:spacing w:after="0"/>
              <w:rPr>
                <w:sz w:val="7"/>
                <w:szCs w:val="7"/>
                <w:color w:val="auto"/>
              </w:rPr>
            </w:pPr>
          </w:p>
        </w:tc>
        <w:tc>
          <w:tcPr>
            <w:tcW w:w="240" w:type="dxa"/>
            <w:vAlign w:val="bottom"/>
            <w:tcBorders>
              <w:left w:val="single" w:sz="8" w:color="CFF0FC"/>
            </w:tcBorders>
            <w:gridSpan w:val="2"/>
            <w:vMerge w:val="continue"/>
            <w:shd w:val="clear" w:color="auto" w:fill="CFF0FC"/>
          </w:tcPr>
          <w:p>
            <w:pPr>
              <w:spacing w:after="0"/>
              <w:rPr>
                <w:sz w:val="7"/>
                <w:szCs w:val="7"/>
                <w:color w:val="auto"/>
              </w:rPr>
            </w:pPr>
          </w:p>
        </w:tc>
        <w:tc>
          <w:tcPr>
            <w:tcW w:w="380" w:type="dxa"/>
            <w:vAlign w:val="bottom"/>
            <w:vMerge w:val="continue"/>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100" w:type="dxa"/>
            <w:vAlign w:val="bottom"/>
            <w:vMerge w:val="continue"/>
            <w:shd w:val="clear" w:color="auto" w:fill="CFF0FC"/>
          </w:tcPr>
          <w:p>
            <w:pPr>
              <w:spacing w:after="0"/>
              <w:rPr>
                <w:sz w:val="7"/>
                <w:szCs w:val="7"/>
                <w:color w:val="auto"/>
              </w:rPr>
            </w:pPr>
          </w:p>
        </w:tc>
        <w:tc>
          <w:tcPr>
            <w:tcW w:w="120" w:type="dxa"/>
            <w:vAlign w:val="bottom"/>
            <w:tcBorders>
              <w:left w:val="single" w:sz="8" w:color="CFF0FC"/>
            </w:tcBorders>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380" w:type="dxa"/>
            <w:vAlign w:val="bottom"/>
            <w:vMerge w:val="continue"/>
            <w:shd w:val="clear" w:color="auto" w:fill="CFF0FC"/>
          </w:tcPr>
          <w:p>
            <w:pPr>
              <w:spacing w:after="0"/>
              <w:rPr>
                <w:sz w:val="7"/>
                <w:szCs w:val="7"/>
                <w:color w:val="auto"/>
              </w:rPr>
            </w:pPr>
          </w:p>
        </w:tc>
        <w:tc>
          <w:tcPr>
            <w:tcW w:w="240" w:type="dxa"/>
            <w:vAlign w:val="bottom"/>
            <w:gridSpan w:val="2"/>
            <w:vMerge w:val="continue"/>
            <w:shd w:val="clear" w:color="auto" w:fill="CFF0FC"/>
          </w:tcPr>
          <w:p>
            <w:pPr>
              <w:spacing w:after="0"/>
              <w:rPr>
                <w:sz w:val="7"/>
                <w:szCs w:val="7"/>
                <w:color w:val="auto"/>
              </w:rPr>
            </w:pPr>
          </w:p>
        </w:tc>
        <w:tc>
          <w:tcPr>
            <w:tcW w:w="820" w:type="dxa"/>
            <w:vAlign w:val="bottom"/>
            <w:vMerge w:val="continue"/>
            <w:shd w:val="clear" w:color="auto" w:fill="CFF0FC"/>
          </w:tcPr>
          <w:p>
            <w:pPr>
              <w:spacing w:after="0"/>
              <w:rPr>
                <w:sz w:val="7"/>
                <w:szCs w:val="7"/>
                <w:color w:val="auto"/>
              </w:rPr>
            </w:pPr>
          </w:p>
        </w:tc>
        <w:tc>
          <w:tcPr>
            <w:tcW w:w="120" w:type="dxa"/>
            <w:vAlign w:val="bottom"/>
            <w:tcBorders>
              <w:right w:val="single" w:sz="8" w:color="CFF0FC"/>
            </w:tcBorders>
            <w:shd w:val="clear" w:color="auto" w:fill="CFF0FC"/>
          </w:tcPr>
          <w:p>
            <w:pPr>
              <w:spacing w:after="0"/>
              <w:rPr>
                <w:sz w:val="7"/>
                <w:szCs w:val="7"/>
                <w:color w:val="auto"/>
              </w:rPr>
            </w:pPr>
          </w:p>
        </w:tc>
        <w:tc>
          <w:tcPr>
            <w:tcW w:w="140" w:type="dxa"/>
            <w:vAlign w:val="bottom"/>
            <w:vMerge w:val="continue"/>
            <w:shd w:val="clear" w:color="auto" w:fill="CFF0FC"/>
          </w:tcPr>
          <w:p>
            <w:pPr>
              <w:spacing w:after="0"/>
              <w:rPr>
                <w:sz w:val="7"/>
                <w:szCs w:val="7"/>
                <w:color w:val="auto"/>
              </w:rPr>
            </w:pPr>
          </w:p>
        </w:tc>
        <w:tc>
          <w:tcPr>
            <w:tcW w:w="680" w:type="dxa"/>
            <w:vAlign w:val="bottom"/>
            <w:vMerge w:val="continue"/>
            <w:shd w:val="clear" w:color="auto" w:fill="CFF0FC"/>
          </w:tcPr>
          <w:p>
            <w:pPr>
              <w:spacing w:after="0"/>
              <w:rPr>
                <w:sz w:val="7"/>
                <w:szCs w:val="7"/>
                <w:color w:val="auto"/>
              </w:rPr>
            </w:pPr>
          </w:p>
        </w:tc>
        <w:tc>
          <w:tcPr>
            <w:tcW w:w="200" w:type="dxa"/>
            <w:vAlign w:val="bottom"/>
            <w:gridSpan w:val="2"/>
            <w:vMerge w:val="continue"/>
            <w:shd w:val="clear" w:color="auto" w:fill="CFF0FC"/>
          </w:tcPr>
          <w:p>
            <w:pPr>
              <w:spacing w:after="0"/>
              <w:rPr>
                <w:sz w:val="7"/>
                <w:szCs w:val="7"/>
                <w:color w:val="auto"/>
              </w:rPr>
            </w:pPr>
          </w:p>
        </w:tc>
        <w:tc>
          <w:tcPr>
            <w:tcW w:w="860" w:type="dxa"/>
            <w:vAlign w:val="bottom"/>
            <w:vMerge w:val="continue"/>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1480" w:type="dxa"/>
            <w:vAlign w:val="bottom"/>
            <w:vMerge w:val="continue"/>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360" w:type="dxa"/>
            <w:vAlign w:val="bottom"/>
            <w:shd w:val="clear" w:color="auto" w:fill="CFF0FC"/>
          </w:tcPr>
          <w:p>
            <w:pPr>
              <w:spacing w:after="0"/>
              <w:rPr>
                <w:sz w:val="5"/>
                <w:szCs w:val="5"/>
                <w:color w:val="auto"/>
              </w:rPr>
            </w:pPr>
          </w:p>
        </w:tc>
        <w:tc>
          <w:tcPr>
            <w:tcW w:w="26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4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tcBorders>
              <w:left w:val="single" w:sz="8" w:color="CFF0FC"/>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100" w:type="dxa"/>
            <w:vAlign w:val="bottom"/>
            <w:shd w:val="clear" w:color="auto" w:fill="CFF0FC"/>
          </w:tcPr>
          <w:p>
            <w:pPr>
              <w:spacing w:after="0"/>
              <w:rPr>
                <w:sz w:val="5"/>
                <w:szCs w:val="5"/>
                <w:color w:val="auto"/>
              </w:rPr>
            </w:pPr>
          </w:p>
        </w:tc>
        <w:tc>
          <w:tcPr>
            <w:tcW w:w="120" w:type="dxa"/>
            <w:vAlign w:val="bottom"/>
            <w:tcBorders>
              <w:left w:val="single" w:sz="8" w:color="CFF0FC"/>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3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820" w:type="dxa"/>
            <w:vAlign w:val="bottom"/>
            <w:shd w:val="clear" w:color="auto" w:fill="CFF0FC"/>
          </w:tcPr>
          <w:p>
            <w:pPr>
              <w:spacing w:after="0"/>
              <w:rPr>
                <w:sz w:val="5"/>
                <w:szCs w:val="5"/>
                <w:color w:val="auto"/>
              </w:rPr>
            </w:pPr>
          </w:p>
        </w:tc>
        <w:tc>
          <w:tcPr>
            <w:tcW w:w="120" w:type="dxa"/>
            <w:vAlign w:val="bottom"/>
            <w:tcBorders>
              <w:right w:val="single" w:sz="8" w:color="CFF0FC"/>
            </w:tcBorders>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86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1"/>
                <w:szCs w:val="11"/>
                <w:color w:val="auto"/>
              </w:rPr>
              <w:t>Stock-based compensation</w:t>
            </w:r>
          </w:p>
        </w:tc>
        <w:tc>
          <w:tcPr>
            <w:tcW w:w="160" w:type="dxa"/>
            <w:vAlign w:val="bottom"/>
            <w:vMerge w:val="restart"/>
          </w:tcPr>
          <w:p>
            <w:pPr>
              <w:ind w:left="140"/>
              <w:spacing w:after="0"/>
              <w:rPr>
                <w:sz w:val="20"/>
                <w:szCs w:val="20"/>
                <w:color w:val="auto"/>
              </w:rPr>
            </w:pPr>
            <w:r>
              <w:rPr>
                <w:rFonts w:ascii="Arial" w:cs="Arial" w:eastAsia="Arial" w:hAnsi="Arial"/>
                <w:sz w:val="11"/>
                <w:szCs w:val="11"/>
                <w:color w:val="auto"/>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620" w:type="dxa"/>
            <w:vAlign w:val="bottom"/>
            <w:vMerge w:val="restart"/>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380" w:type="dxa"/>
            <w:vAlign w:val="bottom"/>
            <w:gridSpan w:val="2"/>
            <w:vMerge w:val="restart"/>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4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64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tcPr>
          <w:p>
            <w:pPr>
              <w:ind w:left="100"/>
              <w:spacing w:after="0"/>
              <w:rPr>
                <w:sz w:val="20"/>
                <w:szCs w:val="20"/>
                <w:color w:val="auto"/>
              </w:rPr>
            </w:pPr>
            <w:r>
              <w:rPr>
                <w:rFonts w:ascii="Arial" w:cs="Arial" w:eastAsia="Arial" w:hAnsi="Arial"/>
                <w:sz w:val="11"/>
                <w:szCs w:val="11"/>
                <w:color w:val="auto"/>
              </w:rPr>
              <w:t>​</w:t>
            </w:r>
          </w:p>
        </w:tc>
        <w:tc>
          <w:tcPr>
            <w:tcW w:w="3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vMerge w:val="restart"/>
          </w:tcPr>
          <w:p>
            <w:pPr>
              <w:ind w:left="10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10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820" w:type="dxa"/>
            <w:vAlign w:val="bottom"/>
            <w:vMerge w:val="restart"/>
          </w:tcPr>
          <w:p>
            <w:pPr>
              <w:jc w:val="right"/>
              <w:ind w:right="86"/>
              <w:spacing w:after="0"/>
              <w:rPr>
                <w:sz w:val="20"/>
                <w:szCs w:val="20"/>
                <w:color w:val="auto"/>
              </w:rPr>
            </w:pPr>
            <w:r>
              <w:rPr>
                <w:rFonts w:ascii="Arial" w:cs="Arial" w:eastAsia="Arial" w:hAnsi="Arial"/>
                <w:sz w:val="11"/>
                <w:szCs w:val="11"/>
                <w:color w:val="auto"/>
              </w:rPr>
              <w:t>1,309</w:t>
            </w:r>
          </w:p>
        </w:tc>
        <w:tc>
          <w:tcPr>
            <w:tcW w:w="120" w:type="dxa"/>
            <w:vAlign w:val="bottom"/>
          </w:tcPr>
          <w:p>
            <w:pPr>
              <w:spacing w:after="0"/>
              <w:rPr>
                <w:sz w:val="10"/>
                <w:szCs w:val="10"/>
                <w:color w:val="auto"/>
              </w:rPr>
            </w:pPr>
          </w:p>
        </w:tc>
        <w:tc>
          <w:tcPr>
            <w:tcW w:w="140" w:type="dxa"/>
            <w:vAlign w:val="bottom"/>
            <w:vMerge w:val="restart"/>
          </w:tcPr>
          <w:p>
            <w:pPr>
              <w:spacing w:after="0"/>
              <w:rPr>
                <w:sz w:val="20"/>
                <w:szCs w:val="20"/>
                <w:color w:val="auto"/>
              </w:rPr>
            </w:pPr>
            <w:r>
              <w:rPr>
                <w:rFonts w:ascii="Arial" w:cs="Arial" w:eastAsia="Arial" w:hAnsi="Arial"/>
                <w:sz w:val="11"/>
                <w:szCs w:val="11"/>
                <w:color w:val="auto"/>
              </w:rPr>
              <w:t>​</w:t>
            </w:r>
          </w:p>
        </w:tc>
        <w:tc>
          <w:tcPr>
            <w:tcW w:w="680" w:type="dxa"/>
            <w:vAlign w:val="bottom"/>
            <w:vMerge w:val="restart"/>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p>
        </w:tc>
        <w:tc>
          <w:tcPr>
            <w:tcW w:w="860" w:type="dxa"/>
            <w:vAlign w:val="bottom"/>
            <w:vMerge w:val="restart"/>
          </w:tcPr>
          <w:p>
            <w:pPr>
              <w:jc w:val="right"/>
              <w:ind w:right="86"/>
              <w:spacing w:after="0"/>
              <w:rPr>
                <w:sz w:val="20"/>
                <w:szCs w:val="20"/>
                <w:color w:val="auto"/>
              </w:rPr>
            </w:pPr>
            <w:r>
              <w:rPr>
                <w:rFonts w:ascii="Arial" w:cs="Arial" w:eastAsia="Arial" w:hAnsi="Arial"/>
                <w:sz w:val="11"/>
                <w:szCs w:val="11"/>
                <w:color w:val="auto"/>
              </w:rPr>
              <w:t>1,309</w:t>
            </w:r>
          </w:p>
        </w:tc>
        <w:tc>
          <w:tcPr>
            <w:tcW w:w="0" w:type="dxa"/>
            <w:vAlign w:val="bottom"/>
          </w:tcPr>
          <w:p>
            <w:pPr>
              <w:spacing w:after="0"/>
              <w:rPr>
                <w:sz w:val="1"/>
                <w:szCs w:val="1"/>
                <w:color w:val="auto"/>
              </w:rPr>
            </w:pPr>
          </w:p>
        </w:tc>
      </w:tr>
      <w:tr>
        <w:trPr>
          <w:trHeight w:val="82"/>
        </w:trPr>
        <w:tc>
          <w:tcPr>
            <w:tcW w:w="1480" w:type="dxa"/>
            <w:vAlign w:val="bottom"/>
            <w:vMerge w:val="restart"/>
          </w:tcPr>
          <w:p>
            <w:pPr>
              <w:ind w:left="100"/>
              <w:spacing w:after="0"/>
              <w:rPr>
                <w:sz w:val="20"/>
                <w:szCs w:val="20"/>
                <w:color w:val="auto"/>
              </w:rPr>
            </w:pPr>
            <w:r>
              <w:rPr>
                <w:rFonts w:ascii="Arial" w:cs="Arial" w:eastAsia="Arial" w:hAnsi="Arial"/>
                <w:sz w:val="11"/>
                <w:szCs w:val="11"/>
                <w:color w:val="auto"/>
              </w:rPr>
              <w:t>expense</w:t>
            </w:r>
          </w:p>
        </w:tc>
        <w:tc>
          <w:tcPr>
            <w:tcW w:w="1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24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14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Sale of common stock in</w:t>
            </w:r>
          </w:p>
        </w:tc>
        <w:tc>
          <w:tcPr>
            <w:tcW w:w="1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8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w w:val="99"/>
              </w:rPr>
              <w:t>follow-on public offering, net</w:t>
            </w:r>
          </w:p>
        </w:tc>
        <w:tc>
          <w:tcPr>
            <w:tcW w:w="160" w:type="dxa"/>
            <w:vAlign w:val="bottom"/>
            <w:tcBorders>
              <w:right w:val="single" w:sz="8" w:color="CFF0FC"/>
            </w:tcBorders>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380" w:type="dxa"/>
            <w:vAlign w:val="bottom"/>
            <w:tcBorders>
              <w:right w:val="single" w:sz="8" w:color="CFF0FC"/>
            </w:tcBorders>
            <w:gridSpan w:val="2"/>
            <w:shd w:val="clear" w:color="auto" w:fill="CFF0FC"/>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3,015,919</w:t>
            </w: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138,508</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138,508</w:t>
            </w:r>
          </w:p>
        </w:tc>
        <w:tc>
          <w:tcPr>
            <w:tcW w:w="0" w:type="dxa"/>
            <w:vAlign w:val="bottom"/>
          </w:tcPr>
          <w:p>
            <w:pPr>
              <w:spacing w:after="0"/>
              <w:rPr>
                <w:sz w:val="1"/>
                <w:szCs w:val="1"/>
                <w:color w:val="auto"/>
              </w:rPr>
            </w:pPr>
          </w:p>
        </w:tc>
      </w:tr>
      <w:tr>
        <w:trPr>
          <w:trHeight w:val="145"/>
        </w:trPr>
        <w:tc>
          <w:tcPr>
            <w:tcW w:w="1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of issuance costs of $9,272</w:t>
            </w:r>
          </w:p>
        </w:tc>
        <w:tc>
          <w:tcPr>
            <w:tcW w:w="160" w:type="dxa"/>
            <w:vAlign w:val="bottom"/>
            <w:tcBorders>
              <w:right w:val="single" w:sz="8" w:color="CFF0FC"/>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1480" w:type="dxa"/>
            <w:vAlign w:val="bottom"/>
          </w:tcPr>
          <w:p>
            <w:pPr>
              <w:ind w:left="20"/>
              <w:spacing w:after="0" w:line="125" w:lineRule="exact"/>
              <w:rPr>
                <w:sz w:val="20"/>
                <w:szCs w:val="20"/>
                <w:color w:val="auto"/>
              </w:rPr>
            </w:pPr>
            <w:r>
              <w:rPr>
                <w:rFonts w:ascii="Arial" w:cs="Arial" w:eastAsia="Arial" w:hAnsi="Arial"/>
                <w:sz w:val="11"/>
                <w:szCs w:val="11"/>
                <w:color w:val="auto"/>
              </w:rPr>
              <w:t>Sale of pre-funded warrants</w:t>
            </w: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480" w:type="dxa"/>
            <w:vAlign w:val="bottom"/>
          </w:tcPr>
          <w:p>
            <w:pPr>
              <w:ind w:left="100"/>
              <w:spacing w:after="0" w:line="122" w:lineRule="exact"/>
              <w:rPr>
                <w:sz w:val="20"/>
                <w:szCs w:val="20"/>
                <w:color w:val="auto"/>
              </w:rPr>
            </w:pPr>
            <w:r>
              <w:rPr>
                <w:rFonts w:ascii="Arial" w:cs="Arial" w:eastAsia="Arial" w:hAnsi="Arial"/>
                <w:sz w:val="11"/>
                <w:szCs w:val="11"/>
                <w:color w:val="auto"/>
              </w:rPr>
              <w:t>in follow-on public offering,</w:t>
            </w:r>
          </w:p>
        </w:tc>
        <w:tc>
          <w:tcPr>
            <w:tcW w:w="16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26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tcPr>
          <w:p>
            <w:pPr>
              <w:spacing w:after="0"/>
              <w:rPr>
                <w:sz w:val="10"/>
                <w:szCs w:val="10"/>
                <w:color w:val="auto"/>
              </w:rPr>
            </w:pPr>
          </w:p>
        </w:tc>
        <w:tc>
          <w:tcPr>
            <w:tcW w:w="380" w:type="dxa"/>
            <w:vAlign w:val="bottom"/>
            <w:gridSpan w:val="2"/>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9,373</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jc w:val="right"/>
              <w:ind w:right="86"/>
              <w:spacing w:after="0" w:line="122" w:lineRule="exact"/>
              <w:rPr>
                <w:sz w:val="20"/>
                <w:szCs w:val="20"/>
                <w:color w:val="auto"/>
              </w:rPr>
            </w:pPr>
            <w:r>
              <w:rPr>
                <w:rFonts w:ascii="Arial" w:cs="Arial" w:eastAsia="Arial" w:hAnsi="Arial"/>
                <w:sz w:val="11"/>
                <w:szCs w:val="11"/>
                <w:color w:val="auto"/>
              </w:rPr>
              <w:t>9,373</w:t>
            </w:r>
          </w:p>
        </w:tc>
        <w:tc>
          <w:tcPr>
            <w:tcW w:w="0" w:type="dxa"/>
            <w:vAlign w:val="bottom"/>
          </w:tcPr>
          <w:p>
            <w:pPr>
              <w:spacing w:after="0"/>
              <w:rPr>
                <w:sz w:val="1"/>
                <w:szCs w:val="1"/>
                <w:color w:val="auto"/>
              </w:rPr>
            </w:pPr>
          </w:p>
        </w:tc>
      </w:tr>
      <w:tr>
        <w:trPr>
          <w:trHeight w:val="140"/>
        </w:trPr>
        <w:tc>
          <w:tcPr>
            <w:tcW w:w="1480" w:type="dxa"/>
            <w:vAlign w:val="bottom"/>
          </w:tcPr>
          <w:p>
            <w:pPr>
              <w:ind w:left="100"/>
              <w:spacing w:after="0"/>
              <w:rPr>
                <w:sz w:val="20"/>
                <w:szCs w:val="20"/>
                <w:color w:val="auto"/>
              </w:rPr>
            </w:pPr>
            <w:r>
              <w:rPr>
                <w:rFonts w:ascii="Arial" w:cs="Arial" w:eastAsia="Arial" w:hAnsi="Arial"/>
                <w:sz w:val="11"/>
                <w:szCs w:val="11"/>
                <w:color w:val="auto"/>
                <w:w w:val="95"/>
              </w:rPr>
              <w:t>net of issuance costs of $627</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color w:val="auto"/>
              </w:rPr>
              <w:t>Sale of common stock in</w:t>
            </w:r>
          </w:p>
        </w:tc>
        <w:tc>
          <w:tcPr>
            <w:tcW w:w="160" w:type="dxa"/>
            <w:vAlign w:val="bottom"/>
            <w:tcBorders>
              <w:right w:val="single" w:sz="8" w:color="CFF0FC"/>
            </w:tcBorders>
            <w:shd w:val="clear" w:color="auto" w:fill="CFF0FC"/>
          </w:tcPr>
          <w:p>
            <w:pPr>
              <w:spacing w:after="0"/>
              <w:rPr>
                <w:sz w:val="11"/>
                <w:szCs w:val="11"/>
                <w:color w:val="auto"/>
              </w:rPr>
            </w:pPr>
          </w:p>
        </w:tc>
        <w:tc>
          <w:tcPr>
            <w:tcW w:w="5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36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4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20" w:type="dxa"/>
            <w:vAlign w:val="bottom"/>
            <w:tcBorders>
              <w:left w:val="single" w:sz="8" w:color="CFF0FC"/>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20" w:type="dxa"/>
            <w:vAlign w:val="bottom"/>
            <w:tcBorders>
              <w:right w:val="single" w:sz="8" w:color="CFF0FC"/>
            </w:tcBorders>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480" w:type="dxa"/>
            <w:vAlign w:val="bottom"/>
            <w:shd w:val="clear" w:color="auto" w:fill="CFF0FC"/>
          </w:tcPr>
          <w:p>
            <w:pPr>
              <w:ind w:left="100"/>
              <w:spacing w:after="0" w:line="122" w:lineRule="exact"/>
              <w:rPr>
                <w:sz w:val="20"/>
                <w:szCs w:val="20"/>
                <w:color w:val="auto"/>
              </w:rPr>
            </w:pPr>
            <w:r>
              <w:rPr>
                <w:rFonts w:ascii="Arial" w:cs="Arial" w:eastAsia="Arial" w:hAnsi="Arial"/>
                <w:sz w:val="11"/>
                <w:szCs w:val="11"/>
                <w:color w:val="auto"/>
              </w:rPr>
              <w:t>at-the-market offerings, net</w:t>
            </w:r>
          </w:p>
        </w:tc>
        <w:tc>
          <w:tcPr>
            <w:tcW w:w="160" w:type="dxa"/>
            <w:vAlign w:val="bottom"/>
            <w:tcBorders>
              <w:right w:val="single" w:sz="8" w:color="CFF0FC"/>
            </w:tcBorders>
            <w:shd w:val="clear" w:color="auto" w:fill="CFF0FC"/>
          </w:tcPr>
          <w:p>
            <w:pPr>
              <w:spacing w:after="0"/>
              <w:rPr>
                <w:sz w:val="10"/>
                <w:szCs w:val="10"/>
                <w:color w:val="auto"/>
              </w:rPr>
            </w:pPr>
          </w:p>
        </w:tc>
        <w:tc>
          <w:tcPr>
            <w:tcW w:w="540" w:type="dxa"/>
            <w:vAlign w:val="bottom"/>
            <w:shd w:val="clear" w:color="auto" w:fill="CFF0F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0"/>
                <w:szCs w:val="10"/>
                <w:color w:val="auto"/>
              </w:rPr>
            </w:pPr>
          </w:p>
        </w:tc>
        <w:tc>
          <w:tcPr>
            <w:tcW w:w="26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0"/>
                <w:szCs w:val="10"/>
                <w:color w:val="auto"/>
              </w:rPr>
            </w:pP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0"/>
                <w:szCs w:val="10"/>
                <w:color w:val="auto"/>
              </w:rPr>
            </w:pPr>
          </w:p>
        </w:tc>
        <w:tc>
          <w:tcPr>
            <w:tcW w:w="380" w:type="dxa"/>
            <w:vAlign w:val="bottom"/>
            <w:tcBorders>
              <w:right w:val="single" w:sz="8" w:color="CFF0FC"/>
            </w:tcBorders>
            <w:gridSpan w:val="2"/>
            <w:shd w:val="clear" w:color="auto" w:fill="CFF0FC"/>
          </w:tcPr>
          <w:p>
            <w:pPr>
              <w:jc w:val="right"/>
              <w:ind w:right="206"/>
              <w:spacing w:after="0" w:line="122" w:lineRule="exact"/>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line="122" w:lineRule="exact"/>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00" w:type="dxa"/>
            <w:vAlign w:val="bottom"/>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line="122" w:lineRule="exact"/>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0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217,300</w:t>
            </w:r>
          </w:p>
        </w:tc>
        <w:tc>
          <w:tcPr>
            <w:tcW w:w="120" w:type="dxa"/>
            <w:vAlign w:val="bottom"/>
            <w:tcBorders>
              <w:left w:val="single" w:sz="8" w:color="CFF0FC"/>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4,879</w:t>
            </w:r>
          </w:p>
        </w:tc>
        <w:tc>
          <w:tcPr>
            <w:tcW w:w="120" w:type="dxa"/>
            <w:vAlign w:val="bottom"/>
            <w:tcBorders>
              <w:right w:val="single" w:sz="8" w:color="CFF0FC"/>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8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60" w:type="dxa"/>
            <w:vAlign w:val="bottom"/>
            <w:shd w:val="clear" w:color="auto" w:fill="CFF0FC"/>
          </w:tcPr>
          <w:p>
            <w:pPr>
              <w:jc w:val="right"/>
              <w:ind w:right="86"/>
              <w:spacing w:after="0" w:line="122" w:lineRule="exact"/>
              <w:rPr>
                <w:sz w:val="20"/>
                <w:szCs w:val="20"/>
                <w:color w:val="auto"/>
              </w:rPr>
            </w:pPr>
            <w:r>
              <w:rPr>
                <w:rFonts w:ascii="Arial" w:cs="Arial" w:eastAsia="Arial" w:hAnsi="Arial"/>
                <w:sz w:val="11"/>
                <w:szCs w:val="11"/>
                <w:color w:val="auto"/>
              </w:rPr>
              <w:t>4,879</w:t>
            </w:r>
          </w:p>
        </w:tc>
        <w:tc>
          <w:tcPr>
            <w:tcW w:w="0" w:type="dxa"/>
            <w:vAlign w:val="bottom"/>
          </w:tcPr>
          <w:p>
            <w:pPr>
              <w:spacing w:after="0"/>
              <w:rPr>
                <w:sz w:val="1"/>
                <w:szCs w:val="1"/>
                <w:color w:val="auto"/>
              </w:rPr>
            </w:pPr>
          </w:p>
        </w:tc>
      </w:tr>
      <w:tr>
        <w:trPr>
          <w:trHeight w:val="145"/>
        </w:trPr>
        <w:tc>
          <w:tcPr>
            <w:tcW w:w="1480" w:type="dxa"/>
            <w:vAlign w:val="bottom"/>
            <w:shd w:val="clear" w:color="auto" w:fill="CFF0FC"/>
          </w:tcPr>
          <w:p>
            <w:pPr>
              <w:ind w:left="100"/>
              <w:spacing w:after="0"/>
              <w:rPr>
                <w:sz w:val="20"/>
                <w:szCs w:val="20"/>
                <w:color w:val="auto"/>
              </w:rPr>
            </w:pPr>
            <w:r>
              <w:rPr>
                <w:rFonts w:ascii="Arial" w:cs="Arial" w:eastAsia="Arial" w:hAnsi="Arial"/>
                <w:sz w:val="11"/>
                <w:szCs w:val="11"/>
                <w:color w:val="auto"/>
              </w:rPr>
              <w:t>of issuance costs of $119</w:t>
            </w:r>
          </w:p>
        </w:tc>
        <w:tc>
          <w:tcPr>
            <w:tcW w:w="160" w:type="dxa"/>
            <w:vAlign w:val="bottom"/>
            <w:tcBorders>
              <w:right w:val="single" w:sz="8" w:color="CFF0FC"/>
            </w:tcBorders>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20" w:type="dxa"/>
            <w:vAlign w:val="bottom"/>
            <w:tcBorders>
              <w:lef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tcBorders>
              <w:right w:val="single" w:sz="8" w:color="CFF0FC"/>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80" w:type="dxa"/>
            <w:vAlign w:val="bottom"/>
          </w:tcPr>
          <w:p>
            <w:pPr>
              <w:ind w:left="20"/>
              <w:spacing w:after="0"/>
              <w:rPr>
                <w:sz w:val="20"/>
                <w:szCs w:val="20"/>
                <w:color w:val="auto"/>
              </w:rPr>
            </w:pPr>
            <w:r>
              <w:rPr>
                <w:rFonts w:ascii="Arial" w:cs="Arial" w:eastAsia="Arial" w:hAnsi="Arial"/>
                <w:sz w:val="11"/>
                <w:szCs w:val="11"/>
                <w:color w:val="auto"/>
              </w:rPr>
              <w:t>Net loss</w:t>
            </w:r>
          </w:p>
        </w:tc>
        <w:tc>
          <w:tcPr>
            <w:tcW w:w="160" w:type="dxa"/>
            <w:vAlign w:val="bottom"/>
          </w:tcPr>
          <w:p>
            <w:pPr>
              <w:ind w:left="140"/>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26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2"/>
                <w:szCs w:val="12"/>
                <w:color w:val="auto"/>
              </w:rPr>
            </w:pPr>
          </w:p>
        </w:tc>
        <w:tc>
          <w:tcPr>
            <w:tcW w:w="380" w:type="dxa"/>
            <w:vAlign w:val="bottom"/>
            <w:gridSpan w:val="2"/>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6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0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60" w:type="dxa"/>
            <w:vAlign w:val="bottom"/>
            <w:gridSpan w:val="2"/>
          </w:tcPr>
          <w:p>
            <w:pPr>
              <w:ind w:left="100"/>
              <w:spacing w:after="0"/>
              <w:rPr>
                <w:sz w:val="20"/>
                <w:szCs w:val="20"/>
                <w:color w:val="auto"/>
              </w:rPr>
            </w:pPr>
            <w:r>
              <w:rPr>
                <w:rFonts w:ascii="Arial" w:cs="Arial" w:eastAsia="Arial" w:hAnsi="Arial"/>
                <w:sz w:val="11"/>
                <w:szCs w:val="11"/>
                <w:color w:val="auto"/>
                <w:highlight w:val="black"/>
              </w:rPr>
              <w:t>​</w:t>
            </w:r>
          </w:p>
        </w:tc>
        <w:tc>
          <w:tcPr>
            <w:tcW w:w="110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2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1"/>
                <w:szCs w:val="11"/>
                <w:color w:val="auto"/>
              </w:rPr>
              <w:t>​</w:t>
            </w:r>
          </w:p>
        </w:tc>
        <w:tc>
          <w:tcPr>
            <w:tcW w:w="680" w:type="dxa"/>
            <w:vAlign w:val="bottom"/>
          </w:tcPr>
          <w:p>
            <w:pPr>
              <w:jc w:val="right"/>
              <w:ind w:right="6"/>
              <w:spacing w:after="0"/>
              <w:rPr>
                <w:sz w:val="20"/>
                <w:szCs w:val="20"/>
                <w:color w:val="auto"/>
              </w:rPr>
            </w:pPr>
            <w:r>
              <w:rPr>
                <w:rFonts w:ascii="Arial" w:cs="Arial" w:eastAsia="Arial" w:hAnsi="Arial"/>
                <w:sz w:val="11"/>
                <w:szCs w:val="11"/>
                <w:color w:val="auto"/>
              </w:rPr>
              <w:t>(15,947 )</w:t>
            </w:r>
          </w:p>
        </w:tc>
        <w:tc>
          <w:tcPr>
            <w:tcW w:w="200" w:type="dxa"/>
            <w:vAlign w:val="bottom"/>
            <w:gridSpan w:val="2"/>
          </w:tcPr>
          <w:p>
            <w:pPr>
              <w:ind w:left="120"/>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(15,947 )</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480" w:type="dxa"/>
            <w:vAlign w:val="bottom"/>
            <w:shd w:val="clear" w:color="auto" w:fill="CFF0FC"/>
          </w:tcPr>
          <w:p>
            <w:pPr>
              <w:ind w:left="20"/>
              <w:spacing w:after="0"/>
              <w:rPr>
                <w:sz w:val="20"/>
                <w:szCs w:val="20"/>
                <w:color w:val="auto"/>
              </w:rPr>
            </w:pPr>
            <w:r>
              <w:rPr>
                <w:rFonts w:ascii="Arial" w:cs="Arial" w:eastAsia="Arial" w:hAnsi="Arial"/>
                <w:sz w:val="11"/>
                <w:szCs w:val="11"/>
                <w:b w:val="1"/>
                <w:bCs w:val="1"/>
                <w:color w:val="auto"/>
              </w:rPr>
              <w:t>Balance at June 30, 2023</w:t>
            </w:r>
          </w:p>
        </w:tc>
        <w:tc>
          <w:tcPr>
            <w:tcW w:w="160" w:type="dxa"/>
            <w:vAlign w:val="bottom"/>
            <w:tcBorders>
              <w:right w:val="single" w:sz="8" w:color="CFF0FC"/>
            </w:tcBorders>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FF0FC"/>
          </w:tcPr>
          <w:p>
            <w:pPr>
              <w:spacing w:after="0"/>
              <w:rPr>
                <w:sz w:val="14"/>
                <w:szCs w:val="14"/>
                <w:color w:val="auto"/>
              </w:rPr>
            </w:pP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62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shd w:val="clear" w:color="auto" w:fill="CFF0FC"/>
          </w:tcPr>
          <w:p>
            <w:pPr>
              <w:spacing w:after="0"/>
              <w:rPr>
                <w:sz w:val="14"/>
                <w:szCs w:val="14"/>
                <w:color w:val="auto"/>
              </w:rPr>
            </w:pP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60" w:type="dxa"/>
            <w:vAlign w:val="bottom"/>
            <w:shd w:val="clear" w:color="auto" w:fill="CFF0FC"/>
          </w:tcPr>
          <w:p>
            <w:pPr>
              <w:spacing w:after="0"/>
              <w:rPr>
                <w:sz w:val="14"/>
                <w:szCs w:val="14"/>
                <w:color w:val="auto"/>
              </w:rPr>
            </w:pPr>
          </w:p>
        </w:tc>
        <w:tc>
          <w:tcPr>
            <w:tcW w:w="380" w:type="dxa"/>
            <w:vAlign w:val="bottom"/>
            <w:tcBorders>
              <w:right w:val="single" w:sz="8" w:color="CFF0FC"/>
            </w:tcBorders>
            <w:gridSpan w:val="2"/>
            <w:shd w:val="clear" w:color="auto" w:fill="CFF0FC"/>
          </w:tcPr>
          <w:p>
            <w:pPr>
              <w:jc w:val="right"/>
              <w:ind w:right="206"/>
              <w:spacing w:after="0"/>
              <w:rPr>
                <w:sz w:val="20"/>
                <w:szCs w:val="20"/>
                <w:color w:val="auto"/>
              </w:rPr>
            </w:pPr>
            <w:r>
              <w:rPr>
                <w:rFonts w:ascii="Arial" w:cs="Arial" w:eastAsia="Arial" w:hAnsi="Arial"/>
                <w:sz w:val="11"/>
                <w:szCs w:val="11"/>
                <w:color w:val="auto"/>
                <w:w w:val="90"/>
              </w:rPr>
              <w:t>—</w:t>
            </w: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4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240" w:type="dxa"/>
            <w:vAlign w:val="bottom"/>
            <w:tcBorders>
              <w:left w:val="single" w:sz="8" w:color="CFF0FC"/>
            </w:tcBorders>
            <w:gridSpan w:val="2"/>
            <w:shd w:val="clear" w:color="auto" w:fill="CFF0FC"/>
          </w:tcPr>
          <w:p>
            <w:pPr>
              <w:ind w:left="100"/>
              <w:spacing w:after="0"/>
              <w:rPr>
                <w:sz w:val="20"/>
                <w:szCs w:val="20"/>
                <w:color w:val="auto"/>
              </w:rPr>
            </w:pPr>
            <w:r>
              <w:rPr>
                <w:rFonts w:ascii="Arial" w:cs="Arial" w:eastAsia="Arial" w:hAnsi="Arial"/>
                <w:sz w:val="11"/>
                <w:szCs w:val="11"/>
                <w:color w:val="auto"/>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22,850,894</w:t>
            </w:r>
          </w:p>
        </w:tc>
        <w:tc>
          <w:tcPr>
            <w:tcW w:w="120" w:type="dxa"/>
            <w:vAlign w:val="bottom"/>
            <w:tcBorders>
              <w:left w:val="single" w:sz="8" w:color="CFF0FC"/>
            </w:tcBorders>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1"/>
                <w:szCs w:val="11"/>
                <w:color w:val="auto"/>
                <w:w w:val="97"/>
              </w:rPr>
              <w:t>$</w:t>
            </w:r>
          </w:p>
        </w:tc>
        <w:tc>
          <w:tcPr>
            <w:tcW w:w="38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2</w:t>
            </w: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1"/>
                <w:szCs w:val="11"/>
                <w:color w:val="auto"/>
              </w:rPr>
              <w:t>$</w:t>
            </w:r>
          </w:p>
        </w:tc>
        <w:tc>
          <w:tcPr>
            <w:tcW w:w="82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522,161</w:t>
            </w:r>
          </w:p>
        </w:tc>
        <w:tc>
          <w:tcPr>
            <w:tcW w:w="120" w:type="dxa"/>
            <w:vAlign w:val="bottom"/>
            <w:tcBorders>
              <w:right w:val="single" w:sz="8" w:color="CFF0FC"/>
            </w:tcBorders>
            <w:shd w:val="clear" w:color="auto" w:fill="CFF0FC"/>
          </w:tcPr>
          <w:p>
            <w:pPr>
              <w:spacing w:after="0"/>
              <w:rPr>
                <w:sz w:val="14"/>
                <w:szCs w:val="14"/>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1"/>
                <w:szCs w:val="11"/>
                <w:color w:val="auto"/>
              </w:rPr>
              <w:t>​$</w:t>
            </w:r>
          </w:p>
        </w:tc>
        <w:tc>
          <w:tcPr>
            <w:tcW w:w="680" w:type="dxa"/>
            <w:vAlign w:val="bottom"/>
            <w:shd w:val="clear" w:color="auto" w:fill="CFF0FC"/>
          </w:tcPr>
          <w:p>
            <w:pPr>
              <w:jc w:val="right"/>
              <w:ind w:right="6"/>
              <w:spacing w:after="0"/>
              <w:rPr>
                <w:sz w:val="20"/>
                <w:szCs w:val="20"/>
                <w:color w:val="auto"/>
              </w:rPr>
            </w:pPr>
            <w:r>
              <w:rPr>
                <w:rFonts w:ascii="Arial" w:cs="Arial" w:eastAsia="Arial" w:hAnsi="Arial"/>
                <w:sz w:val="11"/>
                <w:szCs w:val="11"/>
                <w:color w:val="auto"/>
              </w:rPr>
              <w:t>(150,944 )</w:t>
            </w:r>
          </w:p>
        </w:tc>
        <w:tc>
          <w:tcPr>
            <w:tcW w:w="200" w:type="dxa"/>
            <w:vAlign w:val="bottom"/>
            <w:gridSpan w:val="2"/>
            <w:shd w:val="clear" w:color="auto" w:fill="CFF0FC"/>
          </w:tcPr>
          <w:p>
            <w:pPr>
              <w:ind w:left="140"/>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ind w:right="86"/>
              <w:spacing w:after="0"/>
              <w:rPr>
                <w:sz w:val="20"/>
                <w:szCs w:val="20"/>
                <w:color w:val="auto"/>
              </w:rPr>
            </w:pPr>
            <w:r>
              <w:rPr>
                <w:rFonts w:ascii="Arial" w:cs="Arial" w:eastAsia="Arial" w:hAnsi="Arial"/>
                <w:sz w:val="11"/>
                <w:szCs w:val="11"/>
                <w:color w:val="auto"/>
              </w:rPr>
              <w:t>371,219</w:t>
            </w:r>
          </w:p>
        </w:tc>
        <w:tc>
          <w:tcPr>
            <w:tcW w:w="0" w:type="dxa"/>
            <w:vAlign w:val="bottom"/>
          </w:tcPr>
          <w:p>
            <w:pPr>
              <w:spacing w:after="0"/>
              <w:rPr>
                <w:sz w:val="1"/>
                <w:szCs w:val="1"/>
                <w:color w:val="auto"/>
              </w:rPr>
            </w:pPr>
          </w:p>
        </w:tc>
      </w:tr>
      <w:tr>
        <w:trPr>
          <w:trHeight w:val="20"/>
        </w:trPr>
        <w:tc>
          <w:tcPr>
            <w:tcW w:w="14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1159510</wp:posOffset>
            </wp:positionH>
            <wp:positionV relativeFrom="page">
              <wp:posOffset>93345</wp:posOffset>
            </wp:positionV>
            <wp:extent cx="6180455" cy="13417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80455" cy="13417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-4996815</wp:posOffset>
            </wp:positionV>
            <wp:extent cx="6103620" cy="5010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03620" cy="5010150"/>
                    </a:xfrm>
                    <a:prstGeom prst="rect">
                      <a:avLst/>
                    </a:prstGeom>
                    <a:noFill/>
                  </pic:spPr>
                </pic:pic>
              </a:graphicData>
            </a:graphic>
          </wp:anchor>
        </w:drawing>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6"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12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280" w:type="dxa"/>
            <w:vAlign w:val="bottom"/>
          </w:tcPr>
          <w:p>
            <w:pPr>
              <w:spacing w:after="0"/>
              <w:rPr>
                <w:sz w:val="14"/>
                <w:szCs w:val="14"/>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8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771"/>
              <w:spacing w:after="0"/>
              <w:rPr>
                <w:sz w:val="20"/>
                <w:szCs w:val="20"/>
                <w:color w:val="auto"/>
              </w:rPr>
            </w:pPr>
            <w:r>
              <w:rPr>
                <w:rFonts w:ascii="Arial" w:cs="Arial" w:eastAsia="Arial" w:hAnsi="Arial"/>
                <w:sz w:val="14"/>
                <w:szCs w:val="14"/>
                <w:b w:val="1"/>
                <w:bCs w:val="1"/>
                <w:color w:val="auto"/>
              </w:rPr>
              <w:t>2022</w:t>
            </w:r>
          </w:p>
        </w:tc>
      </w:tr>
      <w:tr>
        <w:trPr>
          <w:trHeight w:val="237"/>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108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7"/>
              </w:rPr>
              <w:t>(38,728 )</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(19,433 )</w:t>
            </w:r>
          </w:p>
        </w:tc>
      </w:tr>
      <w:tr>
        <w:trPr>
          <w:trHeight w:val="249"/>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used in operations: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7"/>
        </w:trPr>
        <w:tc>
          <w:tcPr>
            <w:tcW w:w="72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40</w:t>
            </w:r>
          </w:p>
        </w:tc>
      </w:tr>
      <w:tr>
        <w:trPr>
          <w:trHeight w:val="249"/>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2,333</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714</w:t>
            </w:r>
          </w:p>
        </w:tc>
      </w:tr>
      <w:tr>
        <w:trPr>
          <w:trHeight w:val="237"/>
        </w:trPr>
        <w:tc>
          <w:tcPr>
            <w:tcW w:w="7280" w:type="dxa"/>
            <w:vAlign w:val="bottom"/>
          </w:tcPr>
          <w:p>
            <w:pPr>
              <w:ind w:left="380"/>
              <w:spacing w:after="0"/>
              <w:rPr>
                <w:sz w:val="20"/>
                <w:szCs w:val="20"/>
                <w:color w:val="auto"/>
              </w:rPr>
            </w:pPr>
            <w:r>
              <w:rPr>
                <w:rFonts w:ascii="Arial" w:cs="Arial" w:eastAsia="Arial" w:hAnsi="Arial"/>
                <w:sz w:val="18"/>
                <w:szCs w:val="18"/>
                <w:color w:val="auto"/>
              </w:rPr>
              <w:t>Change in fair value of contingent value right liability</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1,500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49"/>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fair value of derivative liability</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(2,490 )</w:t>
            </w:r>
          </w:p>
        </w:tc>
      </w:tr>
      <w:tr>
        <w:trPr>
          <w:trHeight w:val="237"/>
        </w:trPr>
        <w:tc>
          <w:tcPr>
            <w:tcW w:w="7280" w:type="dxa"/>
            <w:vAlign w:val="bottom"/>
          </w:tcPr>
          <w:p>
            <w:pPr>
              <w:ind w:left="380"/>
              <w:spacing w:after="0"/>
              <w:rPr>
                <w:sz w:val="20"/>
                <w:szCs w:val="20"/>
                <w:color w:val="auto"/>
              </w:rPr>
            </w:pPr>
            <w:r>
              <w:rPr>
                <w:rFonts w:ascii="Arial" w:cs="Arial" w:eastAsia="Arial" w:hAnsi="Arial"/>
                <w:sz w:val="18"/>
                <w:szCs w:val="18"/>
                <w:color w:val="auto"/>
              </w:rPr>
              <w:t>Noncash lease expense</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134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47</w:t>
            </w:r>
          </w:p>
        </w:tc>
      </w:tr>
      <w:tr>
        <w:trPr>
          <w:trHeight w:val="249"/>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7"/>
        </w:trPr>
        <w:tc>
          <w:tcPr>
            <w:tcW w:w="7280" w:type="dxa"/>
            <w:vAlign w:val="bottom"/>
          </w:tcPr>
          <w:p>
            <w:pPr>
              <w:ind w:left="560"/>
              <w:spacing w:after="0"/>
              <w:rPr>
                <w:sz w:val="20"/>
                <w:szCs w:val="20"/>
                <w:color w:val="auto"/>
              </w:rPr>
            </w:pPr>
            <w:r>
              <w:rPr>
                <w:rFonts w:ascii="Arial" w:cs="Arial" w:eastAsia="Arial" w:hAnsi="Arial"/>
                <w:sz w:val="18"/>
                <w:szCs w:val="18"/>
                <w:color w:val="auto"/>
              </w:rPr>
              <w:t>Prepaid expenses and other current assets</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128</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(1,860 )</w:t>
            </w:r>
          </w:p>
        </w:tc>
      </w:tr>
      <w:tr>
        <w:trPr>
          <w:trHeight w:val="249"/>
        </w:trPr>
        <w:tc>
          <w:tcPr>
            <w:tcW w:w="72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assets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64</w:t>
            </w:r>
          </w:p>
        </w:tc>
      </w:tr>
      <w:tr>
        <w:trPr>
          <w:trHeight w:val="237"/>
        </w:trPr>
        <w:tc>
          <w:tcPr>
            <w:tcW w:w="728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10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7"/>
              </w:rPr>
              <w:t>(11,476 )</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1,003</w:t>
            </w:r>
          </w:p>
        </w:tc>
      </w:tr>
      <w:tr>
        <w:trPr>
          <w:trHeight w:val="249"/>
        </w:trPr>
        <w:tc>
          <w:tcPr>
            <w:tcW w:w="728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expenses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(1,991 )</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(920 )</w:t>
            </w:r>
          </w:p>
        </w:tc>
      </w:tr>
      <w:tr>
        <w:trPr>
          <w:trHeight w:val="237"/>
        </w:trPr>
        <w:tc>
          <w:tcPr>
            <w:tcW w:w="7280" w:type="dxa"/>
            <w:vAlign w:val="bottom"/>
          </w:tcPr>
          <w:p>
            <w:pPr>
              <w:ind w:left="560"/>
              <w:spacing w:after="0"/>
              <w:rPr>
                <w:sz w:val="20"/>
                <w:szCs w:val="20"/>
                <w:color w:val="auto"/>
              </w:rPr>
            </w:pPr>
            <w:r>
              <w:rPr>
                <w:rFonts w:ascii="Arial" w:cs="Arial" w:eastAsia="Arial" w:hAnsi="Arial"/>
                <w:sz w:val="18"/>
                <w:szCs w:val="18"/>
                <w:color w:val="auto"/>
              </w:rPr>
              <w:t>Operating lease liabilities</w:t>
            </w: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(140 )</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(60 )</w:t>
            </w:r>
          </w:p>
        </w:tc>
      </w:tr>
      <w:tr>
        <w:trPr>
          <w:trHeight w:val="237"/>
        </w:trPr>
        <w:tc>
          <w:tcPr>
            <w:tcW w:w="728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(48,190 )</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(22,895 )</w:t>
            </w:r>
          </w:p>
        </w:tc>
      </w:tr>
      <w:tr>
        <w:trPr>
          <w:trHeight w:val="236"/>
        </w:trPr>
        <w:tc>
          <w:tcPr>
            <w:tcW w:w="7280" w:type="dxa"/>
            <w:vAlign w:val="bottom"/>
          </w:tcPr>
          <w:p>
            <w:pPr>
              <w:ind w:left="20"/>
              <w:spacing w:after="0"/>
              <w:rPr>
                <w:sz w:val="20"/>
                <w:szCs w:val="20"/>
                <w:color w:val="auto"/>
              </w:rPr>
            </w:pPr>
            <w:r>
              <w:rPr>
                <w:rFonts w:ascii="Arial" w:cs="Arial" w:eastAsia="Arial" w:hAnsi="Arial"/>
                <w:sz w:val="18"/>
                <w:szCs w:val="18"/>
                <w:color w:val="auto"/>
              </w:rPr>
              <w:t>Cash flow from investing activities</w:t>
            </w:r>
          </w:p>
        </w:tc>
        <w:tc>
          <w:tcPr>
            <w:tcW w:w="10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43"/>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(120 )</w:t>
            </w:r>
          </w:p>
        </w:tc>
      </w:tr>
      <w:tr>
        <w:trPr>
          <w:trHeight w:val="236"/>
        </w:trPr>
        <w:tc>
          <w:tcPr>
            <w:tcW w:w="728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 from financing activities</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spacing w:after="0"/>
              <w:rPr>
                <w:sz w:val="21"/>
                <w:szCs w:val="21"/>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Proceeds from sale of common stock in offerings, net of issuance costs paid</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192,226</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49"/>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sale of pre-funded warrants in offerings, net of issuance costs paid</w:t>
            </w:r>
          </w:p>
        </w:tc>
        <w:tc>
          <w:tcPr>
            <w:tcW w:w="108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37,637</w:t>
            </w:r>
          </w:p>
        </w:tc>
        <w:tc>
          <w:tcPr>
            <w:tcW w:w="2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Proceeds from stock option exercises</w:t>
            </w:r>
          </w:p>
        </w:tc>
        <w:tc>
          <w:tcPr>
            <w:tcW w:w="10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141</w:t>
            </w:r>
          </w:p>
        </w:tc>
      </w:tr>
      <w:tr>
        <w:trPr>
          <w:trHeight w:val="237"/>
        </w:trPr>
        <w:tc>
          <w:tcPr>
            <w:tcW w:w="7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231,161</w:t>
            </w:r>
          </w:p>
        </w:tc>
        <w:tc>
          <w:tcPr>
            <w:tcW w:w="24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141</w:t>
            </w:r>
          </w:p>
        </w:tc>
      </w:tr>
      <w:tr>
        <w:trPr>
          <w:trHeight w:val="236"/>
        </w:trPr>
        <w:tc>
          <w:tcPr>
            <w:tcW w:w="7280" w:type="dxa"/>
            <w:vAlign w:val="bottom"/>
          </w:tcPr>
          <w:p>
            <w:pPr>
              <w:ind w:left="2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080" w:type="dxa"/>
            <w:vAlign w:val="bottom"/>
          </w:tcPr>
          <w:p>
            <w:pPr>
              <w:spacing w:after="0"/>
              <w:rPr>
                <w:sz w:val="20"/>
                <w:szCs w:val="20"/>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182,930</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(22,874 )</w:t>
            </w:r>
          </w:p>
        </w:tc>
      </w:tr>
      <w:tr>
        <w:trPr>
          <w:trHeight w:val="243"/>
        </w:trPr>
        <w:tc>
          <w:tcPr>
            <w:tcW w:w="7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Cash, cash equivalents and restricted cash, beginning of period</w:t>
            </w:r>
          </w:p>
        </w:tc>
        <w:tc>
          <w:tcPr>
            <w:tcW w:w="108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5"/>
              </w:rPr>
              <w:t>194,788</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71"/>
              <w:spacing w:after="0"/>
              <w:rPr>
                <w:sz w:val="20"/>
                <w:szCs w:val="20"/>
                <w:color w:val="auto"/>
              </w:rPr>
            </w:pPr>
            <w:r>
              <w:rPr>
                <w:rFonts w:ascii="Arial" w:cs="Arial" w:eastAsia="Arial" w:hAnsi="Arial"/>
                <w:sz w:val="18"/>
                <w:szCs w:val="18"/>
                <w:color w:val="auto"/>
              </w:rPr>
              <w:t>88,213</w:t>
            </w:r>
          </w:p>
        </w:tc>
      </w:tr>
      <w:tr>
        <w:trPr>
          <w:trHeight w:val="236"/>
        </w:trPr>
        <w:tc>
          <w:tcPr>
            <w:tcW w:w="7280" w:type="dxa"/>
            <w:vAlign w:val="bottom"/>
          </w:tcPr>
          <w:p>
            <w:pPr>
              <w:ind w:left="200"/>
              <w:spacing w:after="0"/>
              <w:rPr>
                <w:sz w:val="20"/>
                <w:szCs w:val="20"/>
                <w:color w:val="auto"/>
              </w:rPr>
            </w:pPr>
            <w:r>
              <w:rPr>
                <w:rFonts w:ascii="Arial" w:cs="Arial" w:eastAsia="Arial" w:hAnsi="Arial"/>
                <w:sz w:val="18"/>
                <w:szCs w:val="18"/>
                <w:color w:val="auto"/>
              </w:rPr>
              <w:t>Cash, cash equivalents and restricted cash, end of period</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w w:val="95"/>
              </w:rPr>
              <w:t>377,718</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65,339</w:t>
            </w:r>
          </w:p>
        </w:tc>
      </w:tr>
      <w:tr>
        <w:trPr>
          <w:trHeight w:val="20"/>
        </w:trPr>
        <w:tc>
          <w:tcPr>
            <w:tcW w:w="7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 of non-cash activities</w:t>
            </w: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1,106</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49"/>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Decrease in right-of-use assets related to lease modification</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237</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37"/>
        </w:trPr>
        <w:tc>
          <w:tcPr>
            <w:tcW w:w="7280" w:type="dxa"/>
            <w:vAlign w:val="bottom"/>
          </w:tcPr>
          <w:p>
            <w:pPr>
              <w:ind w:left="200"/>
              <w:spacing w:after="0"/>
              <w:rPr>
                <w:sz w:val="20"/>
                <w:szCs w:val="20"/>
                <w:color w:val="auto"/>
              </w:rPr>
            </w:pPr>
            <w:r>
              <w:rPr>
                <w:rFonts w:ascii="Arial" w:cs="Arial" w:eastAsia="Arial" w:hAnsi="Arial"/>
                <w:sz w:val="18"/>
                <w:szCs w:val="18"/>
                <w:color w:val="auto"/>
              </w:rPr>
              <w:t>Decrease in operating lease liabilities due to lease modification</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207</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21"/>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Receivable related to deferred issuance costs on sale of common stock and pre-funded</w:t>
            </w:r>
          </w:p>
        </w:tc>
        <w:tc>
          <w:tcPr>
            <w:tcW w:w="10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r>
      <w:tr>
        <w:trPr>
          <w:trHeight w:val="216"/>
        </w:trPr>
        <w:tc>
          <w:tcPr>
            <w:tcW w:w="7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warrants in</w:t>
            </w:r>
          </w:p>
        </w:tc>
        <w:tc>
          <w:tcPr>
            <w:tcW w:w="10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44"/>
        </w:trPr>
        <w:tc>
          <w:tcPr>
            <w:tcW w:w="72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offerings included in other current assets</w:t>
            </w:r>
          </w:p>
        </w:tc>
        <w:tc>
          <w:tcPr>
            <w:tcW w:w="1080" w:type="dxa"/>
            <w:vAlign w:val="bottom"/>
            <w:shd w:val="clear" w:color="auto" w:fill="CFF0FC"/>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400</w:t>
            </w:r>
          </w:p>
        </w:tc>
        <w:tc>
          <w:tcPr>
            <w:tcW w:w="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r>
      <w:tr>
        <w:trPr>
          <w:trHeight w:val="215"/>
        </w:trPr>
        <w:tc>
          <w:tcPr>
            <w:tcW w:w="7280" w:type="dxa"/>
            <w:vAlign w:val="bottom"/>
          </w:tcPr>
          <w:p>
            <w:pPr>
              <w:ind w:left="200"/>
              <w:spacing w:after="0"/>
              <w:rPr>
                <w:sz w:val="20"/>
                <w:szCs w:val="20"/>
                <w:color w:val="auto"/>
              </w:rPr>
            </w:pPr>
            <w:r>
              <w:rPr>
                <w:rFonts w:ascii="Arial" w:cs="Arial" w:eastAsia="Arial" w:hAnsi="Arial"/>
                <w:sz w:val="18"/>
                <w:szCs w:val="18"/>
                <w:color w:val="auto"/>
              </w:rPr>
              <w:t>Deferred issuance costs on sale of common stock and pre-funded warrants in</w:t>
            </w: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0"/>
        </w:trPr>
        <w:tc>
          <w:tcPr>
            <w:tcW w:w="7280" w:type="dxa"/>
            <w:vAlign w:val="bottom"/>
          </w:tcPr>
          <w:p>
            <w:pPr>
              <w:ind w:left="340"/>
              <w:spacing w:after="0"/>
              <w:rPr>
                <w:sz w:val="20"/>
                <w:szCs w:val="20"/>
                <w:color w:val="auto"/>
              </w:rPr>
            </w:pPr>
            <w:r>
              <w:rPr>
                <w:rFonts w:ascii="Arial" w:cs="Arial" w:eastAsia="Arial" w:hAnsi="Arial"/>
                <w:sz w:val="18"/>
                <w:szCs w:val="18"/>
                <w:color w:val="auto"/>
              </w:rPr>
              <w:t>offerings included in accounts payable and accrued expenses</w:t>
            </w:r>
          </w:p>
        </w:tc>
        <w:tc>
          <w:tcPr>
            <w:tcW w:w="1080" w:type="dxa"/>
            <w:vAlign w:val="bottom"/>
          </w:tcPr>
          <w:p>
            <w:pPr>
              <w:jc w:val="right"/>
              <w:ind w:right="892"/>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558</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71"/>
              <w:spacing w:after="0"/>
              <w:rPr>
                <w:sz w:val="20"/>
                <w:szCs w:val="20"/>
                <w:color w:val="auto"/>
              </w:rPr>
            </w:pPr>
            <w:r>
              <w:rPr>
                <w:rFonts w:ascii="Arial" w:cs="Arial" w:eastAsia="Arial" w:hAnsi="Arial"/>
                <w:sz w:val="18"/>
                <w:szCs w:val="18"/>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-3102610</wp:posOffset>
            </wp:positionV>
            <wp:extent cx="146050" cy="1625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6050" cy="16256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-2785745</wp:posOffset>
            </wp:positionV>
            <wp:extent cx="1460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46050" cy="17145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-1833880</wp:posOffset>
            </wp:positionV>
            <wp:extent cx="146050" cy="163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6050" cy="16319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-1517015</wp:posOffset>
            </wp:positionV>
            <wp:extent cx="146050" cy="1885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6050" cy="188595"/>
                    </a:xfrm>
                    <a:prstGeom prst="rect">
                      <a:avLst/>
                    </a:prstGeom>
                    <a:noFill/>
                  </pic:spPr>
                </pic:pic>
              </a:graphicData>
            </a:graphic>
          </wp:anchor>
        </w:drawing>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DISC MEDICINE,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Nature of the Business</w:t>
      </w:r>
    </w:p>
    <w:p>
      <w:pPr>
        <w:spacing w:after="0" w:line="12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Disc Medicine, Inc. (together with its subsidiaries, the “Company”) is a clinical-stage biopharmaceutical company focused on the discovery, development, and commercialization of novel treatments for patients suffering from serious hematologic diseases. The Company has assembled a portfolio of clinical and preclinical product candidates that aim to modify fundamental biological pathways associated with the formation and function of red blood cells, specifically heme biosynthesis and iron homeostasis. The Company’s current pipeline includes, bitopertin for the treatment of erythropoietic porphyrias (“EPs”) including erythropoietic protoporphyria (“EPP”), and X-linked protoporphyria (“XLP”), and Diamond-Blackfan Anemia (“DBA”); DISC-0974 for the treatment of anemia of myelofibrosis (“MF”), and anemia of chronic kidney disease (“CKD”); and MWTX-003 for the treatment of polycythemia vera (“PV”), and other hematologic disorders. In addition, the Company’s preclinical programs also include DISC-0998, for the treatment of anemia associated with inflammatory diseases. The Company’s approach to product candidate development leverages well-understood molecular mechanisms that have been validated in humans. The Company believes that each of its product candidates, if approved, has the potential to improve the lives of patients suffering from hematologic diseases. The Company was founded in October 2017. The Company’s principal offices are in Watertown, Massachusetts.</w:t>
      </w:r>
    </w:p>
    <w:p>
      <w:pPr>
        <w:spacing w:after="0" w:line="8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Company is subject to a number of risks and uncertainties common to development 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reliance on third-party organizations, protection of proprietary technology, compliance with government regulations, the impact of the COVID-19 pandemic or other health crises and the ability to secure additional capital to fund operations. The Company’s research and development programs will require significant additional research and development efforts, including preclinical and clinical testing and regulatory approval, prior to commercialization. Even if the Company’s product development efforts are successful, it is uncertain when, if ever, the Company will realize revenue from product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 with Gemini</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8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Pursuant to the terms of the Merger Agreement, at the effective time of the merger (the “Effective Time”), each then outstanding share of Private Disc common stock (including shares of common stock issued upon conversion of the Company’s preferred stock (see Note 9) and shares of the Company’s common stock issued in the Private Disc pre-closing financing defined below) was exchanged for 0.1096 shares of Gemini’s common stock (the “Exchange Ratio”), after taking into account the Reverse Stock Split, as defined below. In addition, each option to purchase Private Disc shares that was outstanding and unexercised immediately prior to the Effective Time was converted into an option to purchase shares of Gemini based on the Exchange Ratio. Immediately following the merger, stockholders of Private Disc owned approximately 74% of the outstanding common stock of the combined company. The merger was intended to qualify for federal income tax purposes as a tax-free reorganization under the provisions of Section 368(a) of the Internal Revenue Code of 1986, as amended.</w:t>
      </w:r>
    </w:p>
    <w:p>
      <w:pPr>
        <w:spacing w:after="0" w:line="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At the Effective Time, each person who as of immediately prior to the Effective Time was a stockholder of record of Gemini or had the right to receive Gemini’s common stock received a contractual contingent value right (“CVR”) issued by Gemini subject to and in accordance with the terms and conditions of a Contingent Value Rights Agreement between Gemini, the holder’s representative and the rights agent (the “CVR Agreement”), representing the contractual right to receive consideration from the post-closing combined company upon the receipt of certain proceeds from a disposition of Gemini’s pre-merger assets during the period that is one year after the closing of the merger, calculated in accordance with the CVR Agreement. As of June 30, 2023, no such proceeds have been received (See Note 4).</w:t>
      </w:r>
    </w:p>
    <w:p>
      <w:pPr>
        <w:spacing w:after="0" w:line="84"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connection with the Merger Agreement, certain third parties entered into a subscription agreement with Private Disc to purchase shares of Private Disc’s common stock for an aggregate purchase price of $53.5 million (the “pre-closing financing”).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Shares of Private Disc’s common stock issued pursuant to the pre-closing financing were converted into shares of the Company’s common stock based on the Exchange Ratio.</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merger was accounted for as a reverse recapitalization in accordance with U.S. GAAP. For accounting purposes, Private Disc was considered to be acquiring the assets and liabilities of Gemini in the merger based on the terms of the Merger Agreement and other factors, including: (i) Private Disc’s stockholders own a majority of the voting rights in the combined company; (ii) Private Disc designated a majority (eight of nine) of the initial members of the board of directors of the combined company; (iii) Private Disc’s executive management team became the management of the combined company; (iv) the pre-combination assets of Gemini were primarily cash and cash equivalents and other non-operating assets (the in-process research and development assets potentially remaining as of the combination were considered to be of de minimis value); and (v) the combined company was named Disc Medicine, Inc. and is headquartered in Private Disc’s office in Watertown, Massachusetts. Accordingly, the merger was treated as the equivalent of Private Disc issuing stock to acquire the net assets of Gemini. As a result of the merger, the net assets of Gemini were recorded at their acquisition-date fair value in the financial statements of the Company and the reported operating results prior to the merger are those of Private Disc.</w:t>
      </w:r>
    </w:p>
    <w:p>
      <w:pPr>
        <w:spacing w:after="0" w:line="5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Pursuant to the terms of the Roche Agreement (see Note 4), immediately following the Effective Time, the Company issued 482,313 shares of the combined company to Roche for no consideration.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 and Exchange Ratio</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On December 29, 2022, in connection with, and prior to the completion of, the merger, Gemini effected a one-for-ten reverse stock split of its then outstanding common stock (the “Reverse Stock Split”). The par value and the authorized shares of the common stock were not adjusted as a result of the Reverse Stock Split. All of Gemini’s issued and outstanding common stock have been retroactively adjusted to reflect this Reverse Stock Split for all periods presented.</w:t>
      </w:r>
    </w:p>
    <w:p>
      <w:pPr>
        <w:spacing w:after="0" w:line="7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All issued and outstanding Private Disc common stock, convertible preferred stock and options prior to the effective date of the merger have been retroactively adjusted to reflect the 0.1096 Exchange Ratio, which reflects the impact of the reverse stock split, for all periods presented.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The Company’s condensed consolidated financial statements have been prepared on the basis of the Company continuing as a going concern. The Company expects that its existing cash and cash equivalents as of June 30, 2023 of $377.6 million will enable the Company to fund its planned operating expense and capital expenditure requirements for at least twelve months from the date of issuance of these condensed consolidated financial statements. The Company has incurred recurring losses and negative cash flows from operations since inception. As of June 30, 2023, the Company had an accumulated deficit of $150.9 million. The Company expects its operating losses and negative operating cash flows to continue into the foreseeable future. The future viability of the Company is dependent on its ability to generate cash from operating activities or to raise additional capital to finance its operations. There can be no assurance that the Company will ever earn revenues or achieve profitability, or if achieved, that the revenues or profitability will be sustained on a continuing basis. In addition, the Company’s preclinical and clinical development activities, manufacturing and commercialization of the Company’s product candidates, if approved, will require significant additional financing.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significant accounting policies used in preparation of the condensed consolidated financial statements are described in the Company’s audited consolidated financial statements as of and for the year ended December 31, 2022, and the notes thereto, which are included in the Company’s Annual Report on Form 10-K. There have been no material changes to the significant accounting policies previously disclosed in the Company’s Annual Report on Form 10-K for the year ended December 31,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transactions and balances have been eliminated in consolidation.</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Company’s condensed consolidated financial statements are prepared in accordance with U.S. generally accepted accounting principles (“GAAP”). Any reference in these notes to applicable guidance is meant to refer to the authoritative accounting principles generally accepted in the United States as found in the Accounting Standard Codification (“ASC”) and Accounting Standards Updates (“ASU”) of the Financial Accounting Standards Board (“FASB”).</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3" w:name="page14"/>
    <w:bookmarkEnd w:id="13"/>
    <w:p>
      <w:pPr>
        <w:jc w:val="both"/>
        <w:ind w:firstLine="509"/>
        <w:spacing w:after="0" w:line="259" w:lineRule="auto"/>
        <w:rPr>
          <w:sz w:val="20"/>
          <w:szCs w:val="20"/>
          <w:color w:val="auto"/>
        </w:rPr>
      </w:pPr>
      <w:r>
        <w:rPr>
          <w:rFonts w:ascii="Arial" w:cs="Arial" w:eastAsia="Arial" w:hAnsi="Arial"/>
          <w:sz w:val="18"/>
          <w:szCs w:val="18"/>
          <w:color w:val="auto"/>
        </w:rPr>
        <w:t>The accompanying condensed consolidated financial statements as of June 30, 2023 and for the three and six months ended June 30, 2023 and 2022 are unaudited. The financial data and other information contained in the notes hereto as of June 30, 2023 and for the three and six months ended June 30, 2023 and 2022 are also unaudited. The condensed consolidated balance sheet data as of December 31, 2022 was derived from the Company’s audited consolidated financial statements included in the Company’s Annual Report on Form 10-K.</w:t>
      </w:r>
    </w:p>
    <w:p>
      <w:pPr>
        <w:spacing w:after="0" w:line="7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presentation of the Company’s financial position as of June 30, 2023 and the results of its operations and cash flows for the three and six months ended June 30, 2023 and 2022. These unaudited condensed consolidated financial statements should be read in conjunction with the audited consolidated financial statements as of and for the year ended December 31, 2022, and the notes thereto, included in the Company’s Annual Report on Form 10-K.</w:t>
      </w:r>
    </w:p>
    <w:p>
      <w:pPr>
        <w:spacing w:after="0" w:line="5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results for the three and six months ended June 30, 2023 and 2022 are not necessarily indicative of results to be expected for the full years, or any other interim periods, or any future year or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preparation of the Company’s condensed consolidated financial statements requires management to make estimates and assumptions that affect the reported amounts of assets and liabilities and disclosure of contingent assets and liabilities at the date of the condensed consolidated financial statements and the reported amounts of expenses during the reporting period. Significant estimates and assumptions reflected in these condensed consolidated financial statements include, but are not limited to accrued research and development expenses; stock-based compensation expense; the fair value of the common stock prior to the effective date of the merger; the fair value determinations for instruments accounted for at fair value including contingent amounts payable to third parties upon the consummation of specified transactions, including a Roche Qualified Transaction (see Note 4); the fair value of Gemini’s development programs at the Effective Time; the fair value of the CVR; the incremental borrowing rate for determining lease liabilities and right-of-use assets and income taxes. The Company bases its estimates on historical experience, known trends and other market-specific or other relevant factors that it has concluded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and cash equivalents. The Company maintains deposits in federally insured financial institutions in excess of federally insured limits and limits its exposure to cash risk by placing its cash with high credit quality accredited financial institutions. The Company has concluded that it is not subject to unusual credit risk beyond the normal credit risk associated with commercial banking relationships.</w:t>
      </w:r>
    </w:p>
    <w:p>
      <w:pPr>
        <w:spacing w:after="0" w:line="79"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The Company relies, and expects to continue to rely, on a small number of vendors to manufacture supplies and to process its product candidates for its development programs. These programs could be adversely affected by a significant interruption in the manufacturing process or supply chain.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right="40" w:firstLine="509"/>
        <w:spacing w:after="0" w:line="279" w:lineRule="auto"/>
        <w:rPr>
          <w:sz w:val="20"/>
          <w:szCs w:val="20"/>
          <w:color w:val="auto"/>
        </w:rPr>
      </w:pPr>
      <w:r>
        <w:rPr>
          <w:rFonts w:ascii="Arial" w:cs="Arial" w:eastAsia="Arial" w:hAnsi="Arial"/>
          <w:sz w:val="17"/>
          <w:szCs w:val="17"/>
          <w:color w:val="auto"/>
        </w:rPr>
        <w:t>The Company maintains a letter of credit for the benefit of its landlord related to its current leased office space in Watertown, Massachusetts which is classified within other assets. The Company is required to maintain a separate cash balance to secure its letter of credit. The Company maintained a letter of credit of less than $0.1 million for leased space in Cambridge, Massachusetts, which was classified within prepaids and other current assets. This lease was terminated in 2021 and the letter of credit was subsequently returned and released from restricted cash.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 xml:space="preserve">In June 2016, the FASB issued ASU No. 2016-13, </w:t>
      </w:r>
      <w:r>
        <w:rPr>
          <w:rFonts w:ascii="Arial" w:cs="Arial" w:eastAsia="Arial" w:hAnsi="Arial"/>
          <w:sz w:val="16"/>
          <w:szCs w:val="16"/>
          <w:i w:val="1"/>
          <w:iCs w:val="1"/>
          <w:color w:val="auto"/>
        </w:rPr>
        <w:t>Financial Instruments - Credit Losses (Topic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w:t>
      </w:r>
      <w:r>
        <w:rPr>
          <w:rFonts w:ascii="Arial" w:cs="Arial" w:eastAsia="Arial" w:hAnsi="Arial"/>
          <w:sz w:val="16"/>
          <w:szCs w:val="16"/>
          <w:color w:val="auto"/>
        </w:rPr>
        <w:t>, which has been subsequently amended by ASU 2018-19, ASU 2019-04, ASU 2019-05, ASU 2019-10, ASU 2019-11, ASU 2020-03, and ASU</w:t>
      </w:r>
      <w:r>
        <w:rPr>
          <w:rFonts w:ascii="Arial" w:cs="Arial" w:eastAsia="Arial" w:hAnsi="Arial"/>
          <w:sz w:val="16"/>
          <w:szCs w:val="16"/>
          <w:i w:val="1"/>
          <w:iCs w:val="1"/>
          <w:color w:val="auto"/>
        </w:rPr>
        <w:t xml:space="preserve"> </w:t>
      </w:r>
      <w:r>
        <w:rPr>
          <w:rFonts w:ascii="Arial" w:cs="Arial" w:eastAsia="Arial" w:hAnsi="Arial"/>
          <w:sz w:val="16"/>
          <w:szCs w:val="16"/>
          <w:color w:val="auto"/>
        </w:rPr>
        <w:t>2022-02 (“ASU 2016-13”). This standard requires that credit losses be recorded using an expected losses model rather than the incurred losses model that was previously used and establishes additional credit risk disclosures associated with financial assets. The amendments in this standard should be applied on a modified retrospective basis to all periods presented. The Company adopted ASU 2016-13 on January 1, 2023 using the modified retrospective approach. The adoption of this standard did not have a material effect on the Company’s financial position, results of operations or disclosures.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17"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Other accounting standards that have been issued or proposed by the FASB or other standards-setting bodies that do not require adoption until a future date are not expected to have a material impact on the Company’s condensed consolidated financial statements upon adoption.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Reverse Merger with Gemini</w:t>
      </w:r>
    </w:p>
    <w:p>
      <w:pPr>
        <w:spacing w:after="0" w:line="121"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As described in Note 1, Private Disc merged with Gemini on December 29, 2022. The merger was accounted for as a reverse recapitalization with Private Disc as the accounting acquirer. The primary pre-combination assets of Gemini were cash and cash equivalents. Under reverse recapitalization accounting, the assets and liabilities of Gemini were recorded at their fair value which approximated book value due to the short-term nature of the accounts. No goodwill or intangible assets were recognized. Consequently, the condensed consolidated financial statements of the Company reflect the operations of Private Disc for accounting purposes, together with a deemed issuance of shares equivalent to the shares held by the former stockholders of Gemini, the legal acquirer, and a recapitalization of the equity of Private Disc, the accounting acquirer.</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part of the reverse recapitalization, the Company acquired $97.4 million of cash and cash equivalents. The Company also obtained prepaids and other assets of $1.8 million and assumed accounts payable and accrued expenses of $7.8 million. Gemini’s development programs had ceased prior to the merger and were deemed to be de minimis in value at the transaction date.</w:t>
      </w:r>
    </w:p>
    <w:p>
      <w:pPr>
        <w:spacing w:after="0" w:line="76"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addition, the Company recognized $0.6 million in share-based compensation expense as a result of the acceleration of vesting of stock options, performance stock units and restricted stock units at the time of merger. This amount was recorded in general and administrative expense in the consolidated statements of operations and comprehensive loss for the year ended December 31, 2022. The Company also incurred transaction costs of $7.9 million and this amount is recorded in additional paid-in capital in the consolidated statements of convertible preferred stock and stockholders’ equity (deficit) for the year ended December 31,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following tables present information about the Company’s assets and liabilities that are regularly measured and carried at fair value on a recurring basis and indicate the level within the fair value hierarchy of the valuation techniques the Company utilized to determine such fair value, which is described further within Note 2 of the Company’s Annual Report on Form 10-K for the year ended December 31, 2022.</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Financial assets and liabilities measured at fair value on a recurring basis are summarized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2"/>
              </w:rPr>
              <w:t>June 30, 2023</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Level 3</w:t>
            </w: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gridSpan w:val="2"/>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20"/>
                <w:szCs w:val="20"/>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r>
      <w:tr>
        <w:trPr>
          <w:trHeight w:val="249"/>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80,132</w:t>
            </w:r>
          </w:p>
        </w:tc>
        <w:tc>
          <w:tcPr>
            <w:tcW w:w="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43"/>
        </w:trPr>
        <w:tc>
          <w:tcPr>
            <w:tcW w:w="6480" w:type="dxa"/>
            <w:vAlign w:val="bottom"/>
          </w:tcPr>
          <w:p>
            <w:pPr>
              <w:ind w:left="120"/>
              <w:spacing w:after="0"/>
              <w:rPr>
                <w:sz w:val="20"/>
                <w:szCs w:val="20"/>
                <w:color w:val="auto"/>
              </w:rPr>
            </w:pPr>
            <w:r>
              <w:rPr>
                <w:rFonts w:ascii="Arial" w:cs="Arial" w:eastAsia="Arial" w:hAnsi="Arial"/>
                <w:sz w:val="18"/>
                <w:szCs w:val="18"/>
                <w:color w:val="auto"/>
              </w:rPr>
              <w:t>U.S. Treasury notes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190,768</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56"/>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FF0FC"/>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80,132</w:t>
            </w:r>
          </w:p>
        </w:tc>
        <w:tc>
          <w:tcPr>
            <w:tcW w:w="80" w:type="dxa"/>
            <w:vAlign w:val="bottom"/>
            <w:shd w:val="clear" w:color="auto" w:fill="CFF0FC"/>
          </w:tcPr>
          <w:p>
            <w:pPr>
              <w:spacing w:after="0"/>
              <w:rPr>
                <w:sz w:val="22"/>
                <w:szCs w:val="22"/>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190,768</w:t>
            </w:r>
          </w:p>
        </w:tc>
        <w:tc>
          <w:tcPr>
            <w:tcW w:w="1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r>
        <w:trPr>
          <w:trHeight w:val="219"/>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55"/>
              <w:spacing w:after="0"/>
              <w:rPr>
                <w:sz w:val="20"/>
                <w:szCs w:val="20"/>
                <w:color w:val="auto"/>
              </w:rPr>
            </w:pPr>
            <w:r>
              <w:rPr>
                <w:rFonts w:ascii="Arial" w:cs="Arial" w:eastAsia="Arial" w:hAnsi="Arial"/>
                <w:sz w:val="18"/>
                <w:szCs w:val="18"/>
                <w:color w:val="auto"/>
              </w:rPr>
              <w:t>​</w:t>
            </w:r>
          </w:p>
        </w:tc>
        <w:tc>
          <w:tcPr>
            <w:tcW w:w="1300" w:type="dxa"/>
            <w:vAlign w:val="bottom"/>
          </w:tcPr>
          <w:p>
            <w:pPr>
              <w:spacing w:after="0"/>
              <w:rPr>
                <w:sz w:val="19"/>
                <w:szCs w:val="19"/>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19"/>
                <w:szCs w:val="19"/>
                <w:color w:val="auto"/>
              </w:rPr>
            </w:pPr>
          </w:p>
        </w:tc>
      </w:tr>
      <w:tr>
        <w:trPr>
          <w:trHeight w:val="24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Contingent value right liability</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1,500</w:t>
            </w:r>
          </w:p>
        </w:tc>
      </w:tr>
      <w:tr>
        <w:trPr>
          <w:trHeight w:val="20"/>
        </w:trPr>
        <w:tc>
          <w:tcPr>
            <w:tcW w:w="64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8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1,500</w:t>
            </w:r>
          </w:p>
        </w:tc>
      </w:tr>
      <w:tr>
        <w:trPr>
          <w:trHeight w:val="20"/>
        </w:trPr>
        <w:tc>
          <w:tcPr>
            <w:tcW w:w="64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04"/>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center"/>
              <w:ind w:right="55"/>
              <w:spacing w:after="0"/>
              <w:rPr>
                <w:sz w:val="20"/>
                <w:szCs w:val="20"/>
                <w:color w:val="auto"/>
              </w:rPr>
            </w:pPr>
            <w:r>
              <w:rPr>
                <w:rFonts w:ascii="Arial" w:cs="Arial" w:eastAsia="Arial" w:hAnsi="Arial"/>
                <w:sz w:val="14"/>
                <w:szCs w:val="14"/>
                <w:b w:val="1"/>
                <w:bCs w:val="1"/>
                <w:color w:val="auto"/>
                <w:w w:val="91"/>
              </w:rPr>
              <w:t>December 31, 2022</w:t>
            </w: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92"/>
              </w:rPr>
              <w:t>Level 2</w:t>
            </w: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Level 3</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r>
      <w:tr>
        <w:trPr>
          <w:trHeight w:val="249"/>
        </w:trPr>
        <w:tc>
          <w:tcPr>
            <w:tcW w:w="64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Money market funds</w:t>
            </w:r>
          </w:p>
        </w:tc>
        <w:tc>
          <w:tcPr>
            <w:tcW w:w="2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40,783</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r>
      <w:tr>
        <w:trPr>
          <w:trHeight w:val="236"/>
        </w:trPr>
        <w:tc>
          <w:tcPr>
            <w:tcW w:w="648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40,783</w:t>
            </w:r>
          </w:p>
        </w:tc>
        <w:tc>
          <w:tcPr>
            <w:tcW w:w="8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FF0FC"/>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r>
      <w:tr>
        <w:trPr>
          <w:trHeight w:val="20"/>
        </w:trPr>
        <w:tc>
          <w:tcPr>
            <w:tcW w:w="6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-1508125</wp:posOffset>
            </wp:positionV>
            <wp:extent cx="1157605" cy="1803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57605" cy="18034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-1174115</wp:posOffset>
            </wp:positionV>
            <wp:extent cx="120015" cy="1885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-1174115</wp:posOffset>
            </wp:positionV>
            <wp:extent cx="11112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1125" cy="18859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2" w:lineRule="exact"/>
        <w:rPr>
          <w:sz w:val="20"/>
          <w:szCs w:val="20"/>
          <w:color w:val="auto"/>
        </w:rPr>
      </w:pPr>
    </w:p>
    <w:p>
      <w:pPr>
        <w:ind w:right="140" w:firstLine="509"/>
        <w:spacing w:after="0" w:line="254" w:lineRule="auto"/>
        <w:rPr>
          <w:sz w:val="20"/>
          <w:szCs w:val="20"/>
          <w:color w:val="auto"/>
        </w:rPr>
      </w:pPr>
      <w:r>
        <w:rPr>
          <w:rFonts w:ascii="Arial" w:cs="Arial" w:eastAsia="Arial" w:hAnsi="Arial"/>
          <w:sz w:val="18"/>
          <w:szCs w:val="18"/>
          <w:color w:val="auto"/>
        </w:rPr>
        <w:t>The fair value of the Company’s Level 1 cash equivalents, consisting of money market funds, is based on quoted market prices in active markets with no valuation adjustment. The fair value of the Company’s Level 2 cash equivalents, consisting of U.S. treasury notes with original maturities of three months or less, is determined through third-party pricing services. The amortized cost of the U.S. treasury notes approximates the fair value. There have been no impairments of the Company’s assets measured and carried at fair value during the three and six months ended June 30, 2023 and 2022. In addition, there were no changes in valuation techniques or transfers between Level 1, Level 2 and Level 3 financial assets during the three and six months ended June 30, 2023 and 2022. The Company did not have any non-recurring fair value measurements on any assets or liabilities during the three and six months ended June 30, 2023 and 2022.</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 w:name="page16"/>
    <w:bookmarkEnd w:id="15"/>
    <w:p>
      <w:pPr>
        <w:ind w:right="20" w:firstLine="509"/>
        <w:spacing w:after="0" w:line="286" w:lineRule="auto"/>
        <w:rPr>
          <w:sz w:val="20"/>
          <w:szCs w:val="20"/>
          <w:color w:val="auto"/>
        </w:rPr>
      </w:pPr>
      <w:r>
        <w:rPr>
          <w:rFonts w:ascii="Arial" w:cs="Arial" w:eastAsia="Arial" w:hAnsi="Arial"/>
          <w:sz w:val="16"/>
          <w:szCs w:val="16"/>
          <w:color w:val="auto"/>
        </w:rPr>
        <w:t>In May 2021, the Company entered into a license agreement (the “Roche Agreement”) with F. Hoffmann-La Roche Ltd. and Hoffmann-La Roche Inc. (together, “Roche”) pursuant to which Roche granted the Company an exclusive and sublicensable worldwide license under certain patent rights and know-how to develop, manufacture and commercialize certain compounds (the “Compounds”) as further described in Note 8. The Company recognized a liability in connection with the Roche Agreement which included an obligation to issue a variable number of shares of the Company’s common stock to Roche for no additional consideration upon the Company’s completion of an initial public offering or certain merger transactions, a “Roche Qualified Transaction.” Prior to settlement in Q4 2022, the fair value measurement of the derivative liability was classified as Level 3 under the fair value hierarchy as it was valued using certain unobservable inputs. These inputs included: (1) the Company’s estimated shares outstanding and fair value per share upon completion of a Roche Qualified Transaction and (2) the probability of the Company completing a Roche Qualified Transaction. The Company settled the derivative liability by issuing common stock to Roche immediately following the completion of the merger. The number of shares of common stock to be issued to Roche was estimated to be approximately 2.85% of the outstanding shares of common stock of the combined company as of immediately after the completion of a Roche Qualified Transaction, including the exercise by the underwriters thereof of any overallotment option, if applicable. The Company remeasured the derivative liability based on the stock price of its publicly-traded common stock on December 29, 2022. The change in the fair value for the period was recorded in the condensed consolidated statements of operations and comprehensive loss in the change in fair value of derivative liability. Upon completion of the merger, the Company issued 482,313 shares of common stock to Roche, thereby settling the derivative liability, with the fair value of the common stock at the time of issuance recorded as additional paid-in capital.</w:t>
      </w:r>
    </w:p>
    <w:p>
      <w:pPr>
        <w:spacing w:after="0" w:line="16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As described in Note 1, in connection with the merger, the stockholders of Gemini at the Effective Time received a CVR to receive consideration from the Company upon its receipt of certain proceeds, resulting from a disposition of Gemini’s pre-merger assets within one year after the closing of the merger, calculated in accordance with the CVR Agreement. The fair value of the CVR liability was $1.5 million as of June 30, 2023 and de minimis as of December 31, 2022. The fair value of the CVR liability was determined based on significant inputs not observable in the market, which represents a Level 3 measurement within the fair value hierarchy. The Company used a discounted cash flow approach to value the CVR liability. As inputs into the valuation, the Company considered the probabilities of success of certain potential payments, the amount of the payments, and a discount rate of 13.0% determined using an implied credit spread adjusted based on companies with similar credit risk.</w:t>
      </w:r>
    </w:p>
    <w:p>
      <w:pPr>
        <w:spacing w:after="0" w:line="6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following table provides a summary of changes in fair value of the Level 3 liabilities for the three and six months ended June 30, 2023 and 2022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Three and Six Months Ended</w:t>
            </w:r>
          </w:p>
        </w:tc>
        <w:tc>
          <w:tcPr>
            <w:tcW w:w="220" w:type="dxa"/>
            <w:vAlign w:val="bottom"/>
          </w:tcPr>
          <w:p>
            <w:pPr>
              <w:spacing w:after="0"/>
              <w:rPr>
                <w:sz w:val="14"/>
                <w:szCs w:val="14"/>
                <w:color w:val="auto"/>
              </w:rPr>
            </w:pPr>
          </w:p>
        </w:tc>
        <w:tc>
          <w:tcPr>
            <w:tcW w:w="2020" w:type="dxa"/>
            <w:vAlign w:val="bottom"/>
            <w:gridSpan w:val="2"/>
          </w:tcPr>
          <w:p>
            <w:pPr>
              <w:jc w:val="center"/>
              <w:ind w:right="55"/>
              <w:spacing w:after="0"/>
              <w:rPr>
                <w:sz w:val="20"/>
                <w:szCs w:val="20"/>
                <w:color w:val="auto"/>
              </w:rPr>
            </w:pPr>
            <w:r>
              <w:rPr>
                <w:rFonts w:ascii="Arial" w:cs="Arial" w:eastAsia="Arial" w:hAnsi="Arial"/>
                <w:sz w:val="14"/>
                <w:szCs w:val="14"/>
                <w:b w:val="1"/>
                <w:bCs w:val="1"/>
                <w:color w:val="auto"/>
                <w:w w:val="93"/>
              </w:rPr>
              <w:t>Three and Six Months Ended</w:t>
            </w:r>
          </w:p>
        </w:tc>
      </w:tr>
      <w:tr>
        <w:trPr>
          <w:trHeight w:val="185"/>
        </w:trPr>
        <w:tc>
          <w:tcPr>
            <w:tcW w:w="67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2"/>
              </w:rPr>
              <w:t>June 30, 2023</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2"/>
              </w:rPr>
              <w:t>June 30, 2022</w:t>
            </w:r>
          </w:p>
        </w:tc>
      </w:tr>
      <w:tr>
        <w:trPr>
          <w:trHeight w:val="169"/>
        </w:trPr>
        <w:tc>
          <w:tcPr>
            <w:tcW w:w="6780" w:type="dxa"/>
            <w:vAlign w:val="bottom"/>
          </w:tcPr>
          <w:p>
            <w:pPr>
              <w:spacing w:after="0"/>
              <w:rPr>
                <w:sz w:val="14"/>
                <w:szCs w:val="14"/>
                <w:color w:val="auto"/>
              </w:rPr>
            </w:pPr>
          </w:p>
        </w:tc>
        <w:tc>
          <w:tcPr>
            <w:tcW w:w="2220" w:type="dxa"/>
            <w:vAlign w:val="bottom"/>
            <w:tcBorders>
              <w:bottom w:val="single" w:sz="8" w:color="auto"/>
            </w:tcBorders>
            <w:gridSpan w:val="2"/>
          </w:tcPr>
          <w:p>
            <w:pPr>
              <w:jc w:val="center"/>
              <w:ind w:right="75"/>
              <w:spacing w:after="0"/>
              <w:rPr>
                <w:sz w:val="20"/>
                <w:szCs w:val="20"/>
                <w:color w:val="auto"/>
              </w:rPr>
            </w:pPr>
            <w:r>
              <w:rPr>
                <w:rFonts w:ascii="Arial" w:cs="Arial" w:eastAsia="Arial" w:hAnsi="Arial"/>
                <w:sz w:val="14"/>
                <w:szCs w:val="14"/>
                <w:b w:val="1"/>
                <w:bCs w:val="1"/>
                <w:color w:val="auto"/>
                <w:w w:val="94"/>
              </w:rPr>
              <w:t>Contingent value right liability</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jc w:val="center"/>
              <w:ind w:right="295"/>
              <w:spacing w:after="0"/>
              <w:rPr>
                <w:sz w:val="20"/>
                <w:szCs w:val="20"/>
                <w:color w:val="auto"/>
              </w:rPr>
            </w:pPr>
            <w:r>
              <w:rPr>
                <w:rFonts w:ascii="Arial" w:cs="Arial" w:eastAsia="Arial" w:hAnsi="Arial"/>
                <w:sz w:val="14"/>
                <w:szCs w:val="14"/>
                <w:b w:val="1"/>
                <w:bCs w:val="1"/>
                <w:color w:val="auto"/>
                <w:w w:val="97"/>
              </w:rPr>
              <w:t>Derivative liability</w:t>
            </w:r>
          </w:p>
        </w:tc>
      </w:tr>
      <w:tr>
        <w:trPr>
          <w:trHeight w:val="237"/>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7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6,450</w:t>
            </w: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March 31</w:t>
            </w:r>
          </w:p>
        </w:tc>
        <w:tc>
          <w:tcPr>
            <w:tcW w:w="120" w:type="dxa"/>
            <w:vAlign w:val="bottom"/>
            <w:shd w:val="clear" w:color="auto" w:fill="CFF0FC"/>
          </w:tcPr>
          <w:p>
            <w:pPr>
              <w:spacing w:after="0"/>
              <w:rPr>
                <w:sz w:val="21"/>
                <w:szCs w:val="21"/>
                <w:color w:val="auto"/>
              </w:rPr>
            </w:pPr>
          </w:p>
        </w:tc>
        <w:tc>
          <w:tcPr>
            <w:tcW w:w="21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78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6,350</w:t>
            </w: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Change in fair value</w:t>
            </w:r>
          </w:p>
        </w:tc>
        <w:tc>
          <w:tcPr>
            <w:tcW w:w="1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1,500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(2,390 )</w:t>
            </w:r>
          </w:p>
        </w:tc>
      </w:tr>
      <w:tr>
        <w:trPr>
          <w:trHeight w:val="276"/>
        </w:trPr>
        <w:tc>
          <w:tcPr>
            <w:tcW w:w="6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June 30</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10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1,500</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3,960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-25400</wp:posOffset>
            </wp:positionV>
            <wp:extent cx="14605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-8255</wp:posOffset>
            </wp:positionV>
            <wp:extent cx="1460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Cash, Cash Equivalents and Restricted Cash</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June 30,</w:t>
            </w: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58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80" w:type="dxa"/>
            <w:vAlign w:val="bottom"/>
          </w:tcPr>
          <w:p>
            <w:pPr>
              <w:jc w:val="right"/>
              <w:ind w:right="697"/>
              <w:spacing w:after="0"/>
              <w:rPr>
                <w:sz w:val="20"/>
                <w:szCs w:val="20"/>
                <w:color w:val="auto"/>
              </w:rPr>
            </w:pPr>
            <w:r>
              <w:rPr>
                <w:rFonts w:ascii="Arial" w:cs="Arial" w:eastAsia="Arial" w:hAnsi="Arial"/>
                <w:sz w:val="14"/>
                <w:szCs w:val="14"/>
                <w:b w:val="1"/>
                <w:bCs w:val="1"/>
                <w:color w:val="auto"/>
              </w:rPr>
              <w:t>2023</w:t>
            </w:r>
          </w:p>
        </w:tc>
        <w:tc>
          <w:tcPr>
            <w:tcW w:w="44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rPr>
              <w:t>​</w:t>
            </w:r>
          </w:p>
        </w:tc>
        <w:tc>
          <w:tcPr>
            <w:tcW w:w="1480" w:type="dxa"/>
            <w:vAlign w:val="bottom"/>
          </w:tcPr>
          <w:p>
            <w:pPr>
              <w:jc w:val="right"/>
              <w:ind w:right="69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377,602</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FF0FC"/>
          </w:tcPr>
          <w:p>
            <w:pPr>
              <w:jc w:val="right"/>
              <w:ind w:right="77"/>
              <w:spacing w:after="0"/>
              <w:rPr>
                <w:sz w:val="20"/>
                <w:szCs w:val="20"/>
                <w:color w:val="auto"/>
              </w:rPr>
            </w:pPr>
            <w:r>
              <w:rPr>
                <w:rFonts w:ascii="Arial" w:cs="Arial" w:eastAsia="Arial" w:hAnsi="Arial"/>
                <w:sz w:val="18"/>
                <w:szCs w:val="18"/>
                <w:color w:val="auto"/>
              </w:rPr>
              <w:t>194,611</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21"/>
                <w:szCs w:val="21"/>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116</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7"/>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cash, cash equivalents and restricted cash as shown on the condensed</w:t>
            </w:r>
          </w:p>
        </w:tc>
        <w:tc>
          <w:tcPr>
            <w:tcW w:w="20" w:type="dxa"/>
            <w:vAlign w:val="bottom"/>
            <w:vMerge w:val="restart"/>
            <w:shd w:val="clear" w:color="auto" w:fill="CFF0FC"/>
          </w:tcPr>
          <w:p>
            <w:pPr>
              <w:spacing w:after="0"/>
              <w:rPr>
                <w:sz w:val="18"/>
                <w:szCs w:val="18"/>
                <w:color w:val="auto"/>
              </w:rPr>
            </w:pPr>
          </w:p>
        </w:tc>
        <w:tc>
          <w:tcPr>
            <w:tcW w:w="3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t>
            </w:r>
          </w:p>
        </w:tc>
        <w:tc>
          <w:tcPr>
            <w:tcW w:w="1380" w:type="dxa"/>
            <w:vAlign w:val="bottom"/>
            <w:tcBorders>
              <w:top w:val="single" w:sz="8" w:color="auto"/>
            </w:tcBorders>
            <w:vMerge w:val="restart"/>
            <w:shd w:val="clear" w:color="auto" w:fill="CFF0FC"/>
          </w:tcPr>
          <w:p>
            <w:pPr>
              <w:jc w:val="right"/>
              <w:ind w:right="57"/>
              <w:spacing w:after="0"/>
              <w:rPr>
                <w:sz w:val="20"/>
                <w:szCs w:val="20"/>
                <w:color w:val="auto"/>
              </w:rPr>
            </w:pPr>
            <w:r>
              <w:rPr>
                <w:rFonts w:ascii="Arial" w:cs="Arial" w:eastAsia="Arial" w:hAnsi="Arial"/>
                <w:sz w:val="18"/>
                <w:szCs w:val="18"/>
                <w:color w:val="auto"/>
              </w:rPr>
              <w:t>377,718</w:t>
            </w:r>
          </w:p>
        </w:tc>
        <w:tc>
          <w:tcPr>
            <w:tcW w:w="200" w:type="dxa"/>
            <w:vAlign w:val="bottom"/>
            <w:vMerge w:val="restart"/>
            <w:shd w:val="clear" w:color="auto" w:fill="CFF0FC"/>
          </w:tcPr>
          <w:p>
            <w:pPr>
              <w:spacing w:after="0"/>
              <w:rPr>
                <w:sz w:val="18"/>
                <w:szCs w:val="18"/>
                <w:color w:val="auto"/>
              </w:rPr>
            </w:pPr>
          </w:p>
        </w:tc>
        <w:tc>
          <w:tcPr>
            <w:tcW w:w="240" w:type="dxa"/>
            <w:vAlign w:val="bottom"/>
            <w:tcBorders>
              <w:top w:val="single" w:sz="8" w:color="auto"/>
            </w:tcBorders>
            <w:vMerge w:val="restart"/>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vMerge w:val="restart"/>
            <w:shd w:val="clear" w:color="auto" w:fill="CFF0FC"/>
          </w:tcPr>
          <w:p>
            <w:pPr>
              <w:jc w:val="right"/>
              <w:ind w:right="77"/>
              <w:spacing w:after="0"/>
              <w:rPr>
                <w:sz w:val="20"/>
                <w:szCs w:val="20"/>
                <w:color w:val="auto"/>
              </w:rPr>
            </w:pPr>
            <w:r>
              <w:rPr>
                <w:rFonts w:ascii="Arial" w:cs="Arial" w:eastAsia="Arial" w:hAnsi="Arial"/>
                <w:sz w:val="18"/>
                <w:szCs w:val="18"/>
                <w:color w:val="auto"/>
              </w:rPr>
              <w:t>194,788</w:t>
            </w:r>
          </w:p>
        </w:tc>
        <w:tc>
          <w:tcPr>
            <w:tcW w:w="0" w:type="dxa"/>
            <w:vAlign w:val="bottom"/>
          </w:tcPr>
          <w:p>
            <w:pPr>
              <w:spacing w:after="0"/>
              <w:rPr>
                <w:sz w:val="1"/>
                <w:szCs w:val="1"/>
                <w:color w:val="auto"/>
              </w:rPr>
            </w:pPr>
          </w:p>
        </w:tc>
      </w:tr>
      <w:tr>
        <w:trPr>
          <w:trHeight w:val="243"/>
        </w:trPr>
        <w:tc>
          <w:tcPr>
            <w:tcW w:w="7580" w:type="dxa"/>
            <w:vAlign w:val="bottom"/>
            <w:tcBorders>
              <w:bottom w:val="single" w:sz="8" w:color="CFF0FC"/>
            </w:tcBorders>
            <w:shd w:val="clear" w:color="auto" w:fill="CFF0FC"/>
          </w:tcPr>
          <w:p>
            <w:pPr>
              <w:ind w:left="60"/>
              <w:spacing w:after="0" w:line="203" w:lineRule="exact"/>
              <w:rPr>
                <w:sz w:val="20"/>
                <w:szCs w:val="20"/>
                <w:color w:val="auto"/>
              </w:rPr>
            </w:pPr>
            <w:r>
              <w:rPr>
                <w:rFonts w:ascii="Arial" w:cs="Arial" w:eastAsia="Arial" w:hAnsi="Arial"/>
                <w:sz w:val="18"/>
                <w:szCs w:val="18"/>
                <w:color w:val="auto"/>
              </w:rPr>
              <w:t>consolidated statements of cash flows</w:t>
            </w:r>
          </w:p>
        </w:tc>
        <w:tc>
          <w:tcPr>
            <w:tcW w:w="20" w:type="dxa"/>
            <w:vAlign w:val="bottom"/>
            <w:tcBorders>
              <w:bottom w:val="single" w:sz="8" w:color="CFF0FC"/>
            </w:tcBorders>
            <w:vMerge w:val="continue"/>
            <w:shd w:val="clear" w:color="auto" w:fill="CFF0FC"/>
          </w:tcPr>
          <w:p>
            <w:pPr>
              <w:spacing w:after="0"/>
              <w:rPr>
                <w:sz w:val="21"/>
                <w:szCs w:val="21"/>
                <w:color w:val="auto"/>
              </w:rPr>
            </w:pPr>
          </w:p>
        </w:tc>
        <w:tc>
          <w:tcPr>
            <w:tcW w:w="340" w:type="dxa"/>
            <w:vAlign w:val="bottom"/>
            <w:tcBorders>
              <w:bottom w:val="single" w:sz="8" w:color="auto"/>
            </w:tcBorders>
            <w:vMerge w:val="continue"/>
            <w:shd w:val="clear" w:color="auto" w:fill="CFF0FC"/>
          </w:tcPr>
          <w:p>
            <w:pPr>
              <w:spacing w:after="0"/>
              <w:rPr>
                <w:sz w:val="21"/>
                <w:szCs w:val="21"/>
                <w:color w:val="auto"/>
              </w:rPr>
            </w:pPr>
          </w:p>
        </w:tc>
        <w:tc>
          <w:tcPr>
            <w:tcW w:w="1380" w:type="dxa"/>
            <w:vAlign w:val="bottom"/>
            <w:tcBorders>
              <w:bottom w:val="single" w:sz="8" w:color="auto"/>
            </w:tcBorders>
            <w:vMerge w:val="continue"/>
            <w:shd w:val="clear" w:color="auto" w:fill="CFF0FC"/>
          </w:tcPr>
          <w:p>
            <w:pPr>
              <w:spacing w:after="0"/>
              <w:rPr>
                <w:sz w:val="21"/>
                <w:szCs w:val="21"/>
                <w:color w:val="auto"/>
              </w:rPr>
            </w:pPr>
          </w:p>
        </w:tc>
        <w:tc>
          <w:tcPr>
            <w:tcW w:w="200" w:type="dxa"/>
            <w:vAlign w:val="bottom"/>
            <w:tcBorders>
              <w:bottom w:val="single" w:sz="8" w:color="CFF0FC"/>
            </w:tcBorders>
            <w:vMerge w:val="continue"/>
            <w:shd w:val="clear" w:color="auto" w:fill="CFF0FC"/>
          </w:tcPr>
          <w:p>
            <w:pPr>
              <w:spacing w:after="0"/>
              <w:rPr>
                <w:sz w:val="21"/>
                <w:szCs w:val="21"/>
                <w:color w:val="auto"/>
              </w:rPr>
            </w:pPr>
          </w:p>
        </w:tc>
        <w:tc>
          <w:tcPr>
            <w:tcW w:w="240" w:type="dxa"/>
            <w:vAlign w:val="bottom"/>
            <w:tcBorders>
              <w:bottom w:val="single" w:sz="8" w:color="auto"/>
            </w:tcBorders>
            <w:vMerge w:val="continue"/>
            <w:shd w:val="clear" w:color="auto" w:fill="CFF0FC"/>
          </w:tcPr>
          <w:p>
            <w:pPr>
              <w:spacing w:after="0"/>
              <w:rPr>
                <w:sz w:val="21"/>
                <w:szCs w:val="21"/>
                <w:color w:val="auto"/>
              </w:rPr>
            </w:pPr>
          </w:p>
        </w:tc>
        <w:tc>
          <w:tcPr>
            <w:tcW w:w="148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628"/>
        </w:trPr>
        <w:tc>
          <w:tcPr>
            <w:tcW w:w="7580" w:type="dxa"/>
            <w:vAlign w:val="bottom"/>
          </w:tcPr>
          <w:p>
            <w:pPr>
              <w:ind w:left="55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5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-521970</wp:posOffset>
            </wp:positionV>
            <wp:extent cx="12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-505460</wp:posOffset>
            </wp:positionV>
            <wp:extent cx="12890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6. Property and Equipment, Net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7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Borders>
              <w:bottom w:val="single" w:sz="8" w:color="auto"/>
            </w:tcBorders>
          </w:tcPr>
          <w:p>
            <w:pPr>
              <w:jc w:val="right"/>
              <w:ind w:right="104"/>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Computer equipment</w:t>
            </w:r>
          </w:p>
        </w:tc>
        <w:tc>
          <w:tcPr>
            <w:tcW w:w="4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92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210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4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Less: Accumulated depreciation</w:t>
            </w:r>
          </w:p>
        </w:tc>
        <w:tc>
          <w:tcPr>
            <w:tcW w:w="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(195 )</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160" w:type="dxa"/>
            <w:vAlign w:val="bottom"/>
            <w:gridSpan w:val="2"/>
          </w:tcPr>
          <w:p>
            <w:pPr>
              <w:jc w:val="right"/>
              <w:ind w:right="924"/>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159</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7. Accrued Expenses</w:t>
            </w:r>
          </w:p>
        </w:tc>
        <w:tc>
          <w:tcPr>
            <w:tcW w:w="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560" w:type="dxa"/>
            <w:vAlign w:val="bottom"/>
          </w:tcPr>
          <w:p>
            <w:pPr>
              <w:ind w:left="520"/>
              <w:spacing w:after="0"/>
              <w:rPr>
                <w:sz w:val="20"/>
                <w:szCs w:val="20"/>
                <w:color w:val="auto"/>
              </w:rPr>
            </w:pPr>
            <w:r>
              <w:rPr>
                <w:rFonts w:ascii="Arial" w:cs="Arial" w:eastAsia="Arial" w:hAnsi="Arial"/>
                <w:sz w:val="18"/>
                <w:szCs w:val="18"/>
                <w:color w:val="auto"/>
              </w:rPr>
              <w:t>Accrued expenses consisted of the following (in thousands):</w:t>
            </w: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9"/>
        </w:trPr>
        <w:tc>
          <w:tcPr>
            <w:tcW w:w="756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276"/>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1160" w:type="dxa"/>
            <w:vAlign w:val="bottom"/>
            <w:gridSpan w:val="2"/>
            <w:shd w:val="clear" w:color="auto" w:fill="CFF0FC"/>
          </w:tcPr>
          <w:p>
            <w:pPr>
              <w:jc w:val="right"/>
              <w:ind w:right="984"/>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1,617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Accrued employee-related expenses</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w w:val="97"/>
              </w:rPr>
              <w:t>2,122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jc w:val="right"/>
              <w:ind w:right="76"/>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4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professional fees</w:t>
            </w:r>
          </w:p>
        </w:tc>
        <w:tc>
          <w:tcPr>
            <w:tcW w:w="4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7"/>
        </w:trPr>
        <w:tc>
          <w:tcPr>
            <w:tcW w:w="7560" w:type="dxa"/>
            <w:vAlign w:val="bottom"/>
          </w:tcPr>
          <w:p>
            <w:pPr>
              <w:ind w:left="20"/>
              <w:spacing w:after="0"/>
              <w:rPr>
                <w:sz w:val="20"/>
                <w:szCs w:val="20"/>
                <w:color w:val="auto"/>
              </w:rPr>
            </w:pPr>
            <w:r>
              <w:rPr>
                <w:rFonts w:ascii="Arial" w:cs="Arial" w:eastAsia="Arial" w:hAnsi="Arial"/>
                <w:sz w:val="18"/>
                <w:szCs w:val="18"/>
                <w:color w:val="auto"/>
              </w:rPr>
              <w:t>Accrued other</w:t>
            </w:r>
          </w:p>
        </w:tc>
        <w:tc>
          <w:tcPr>
            <w:tcW w:w="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189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76"/>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accrued expenses</w:t>
            </w:r>
          </w:p>
        </w:tc>
        <w:tc>
          <w:tcPr>
            <w:tcW w:w="1160" w:type="dxa"/>
            <w:vAlign w:val="bottom"/>
            <w:tcBorders>
              <w:bottom w:val="single" w:sz="8" w:color="auto"/>
            </w:tcBorders>
            <w:gridSpan w:val="2"/>
            <w:shd w:val="clear" w:color="auto" w:fill="CFF0FC"/>
          </w:tcPr>
          <w:p>
            <w:pPr>
              <w:jc w:val="right"/>
              <w:ind w:right="984"/>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7"/>
              </w:rPr>
              <w:t>4,148</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6,109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-1945640</wp:posOffset>
            </wp:positionV>
            <wp:extent cx="128905" cy="188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Development and License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and Master Service Agreement with Aurigene Discoveries Technology Limited (“Aurigene”)</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February 2018, the Company entered into a license agreement with Aurigene, pursuant to which Aurigene granted the Company an exclusive worldwide license, with the right to grant sublicenses, to certain Aurigene intellectual property. Concurrent with the execution of the Aurigene license agreement, the parties entered into a master services agreement, which provided for Aurigene to provide future development services to the Company on a full-time equivalent cost basis and consumable costs incurred basis. In December 2022, the Company provided a 90-day notice to terminate the master service agreement effective in March 2023.</w:t>
      </w:r>
    </w:p>
    <w:p>
      <w:pPr>
        <w:spacing w:after="0" w:line="8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Pursuant to the license agreement, the Company agreed to pay an upfront fee of $0.1 million and annual maintenance fees up to $0.2 million for the licensed intellectual property. The Company may also be obligated to make future milestone payments of up to $7.1 million for the first licensed product based on the achievement of certain development and regulatory milestones. The term of the license agreement expires on a licensed product-by-licensed product and country-by-country basis on the expiration of the last-to-expire valid claim under the licensed intellectual property rights in such country. The Company can terminate the agreement, for convenience, with 90 days’ notice to Aurigene. The agreement can also be terminated by either party due to insolvency or by Aurigene due to a material breach after a specified cure period.</w:t>
      </w:r>
    </w:p>
    <w:p>
      <w:pPr>
        <w:spacing w:after="0" w:line="7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three and six months ended June 30, 2023, the Company recorded research and development expense related to its arrangements with Aurigene of $0.3 million and $0.3 million, respectively, compared to expense for the three and six months ended June 30, 2022 of $0.2 million and $0.4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and Stock Purchase Agreement with AbbVie Deutschland GmbH &amp; Co. KG (“AbbVie”)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September 2019, the Company entered into an agreement with AbbVie, pursuant to which AbbVie granted the Company an exclusive license, with the right to grant sublicenses, to certain AbbVie intellectual property.</w:t>
      </w:r>
    </w:p>
    <w:p>
      <w:pPr>
        <w:spacing w:after="0" w:line="170"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Under this agreement, the Company paid a non-refundable, non-creditable upfront fee of $0.6 million. The Company is also obligated to make future payments upon the achievement of certain development, commercialization and sales-based milestones up to $18.0 million, $45.0 million and $87.5 million, respectively on a licensed product-by-licensed product basis. In addition, the Company is also obligated to pay royalties based on net sales of the licensed products on a licensed product-by-licensed product and country-by-country basis. As of June 30, 2023, none of the milestones had been achieved.</w:t>
      </w:r>
    </w:p>
    <w:p>
      <w:pPr>
        <w:spacing w:after="0" w:line="4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The Company’s royalty obligation expires on a licensed product-by-licensed product and country-by-country basis upon the expiration of the last-to-expire valid claim under the licensed intellectual property rights in such country. Unless terminated earlier, the agreement expires upon the expiration of the Company’s royalty obligation for all licensed products. AbbVie can terminate the agreement if the Company fails to make any payments within a specified period after receiving written notice of such failure, or in the event of a material breach by the Company and failure to cure such breach within a certain period of time.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License Agreement with Roche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connection with the Roche Agreement, the Company paid Roche an upfront, non-refundable exclusivity payment of $0.5 million in March 2021.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Upon execution of the Roche Agreement in May 2021, the Company paid Roche an additional upfront, non-refundable payment of $4.0 million.</w:t>
      </w:r>
    </w:p>
    <w:p>
      <w:pPr>
        <w:spacing w:after="0" w:line="222"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The Company is obligated to make contingent payments to Roche totaling up to $205.0 million upon achievement of certain development, regulatory and commercial milestones. Roche is also eligible to receive tiered royalties on net sales of commercialized products, at rates ranging from high single-digits to high teens.</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description of the derivative liability related to the Roche agreement settled in 2022 is included in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Mabwell</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 January 2023, the Company entered into an exclusive license agreement with Mabwell Therapeutics, Inc. (“Mabwell”), pursuant to which Mabwell granted the Company an exclusive and sublicensable license to certain Mabwell intellectual property.</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connection with the agreement, the Company paid Mabwell an upfront payment of $10.0 million in March 2023. In addition, the Company is obligated to pay certain development and regulatory milestone payments for the licensed products, for up to three indications, up to a maximum aggregate amount of $127.5 million, as well as certain commercial milestone payments for certain licensed product net sales achievements, up to a maximum aggregate amount of $275.0 million. The Company is further obligated to pay a tiered percentage of revenue that the Company receives from its sublicensees ranging from a low third decile percentage to a low first decile percentage. In addition, the Company is obligated to pay Mabwell a royalty on annual net sales of all licensed products at a tiered rate ranging from low single-digits to high single-digits.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Convertible Preferred Stock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the Company was authorized to issue up to 10,000,000 shares of preferred stock at a par value of $0.0001, with no shares issued or outstanding.</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Immediately prior to the Effective Time, each share of Private Disc’s preferred stock was converted into a share of Private Disc’s common stock. At the closing of the merger, the shares of Private Disc’s common stock were converted into shares of the Company’s common stock based on the Exchange Ratio.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At the closing of the merger, the shares of Private Disc’s common stock were converted into shares of the Company’s common stock based on the Exchange Ratio.</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As of June 30, 2023, the authorized capital stock of the Company included 100,000,000 shares of common stock, $0.0001 par value per share. Prior to the merger, the holders of Private Disc’s common stock were subject to and qualified by the rights, powers and preferences of the holders of the Preferred Stock. Each share of common stock entitles the holder to one vote on all matters submitted to the stockholders for a vote.</w:t>
      </w:r>
    </w:p>
    <w:p>
      <w:pPr>
        <w:spacing w:after="0" w:line="5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As of June 30, 2023, the Company has 2,571,395 shares of common stock reserved for the exercise of stock options and 1,433,305 shares of common stock reserved for the exercise of pre-funded warrants.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Statements Resulting from the Merger</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January 2023, as a result of the merger, the Company filed a resale registration statement on Form S-3 with the Securities and Exchange Commission (“SEC”), which covered the proposed resale or other disposition by certain stockholders of up to an aggregate of 12,635,956 shares of the Company’s common stock. The Company also filed a registration statement on Form S-8 with the SEC, which registered 1,672,599 shares of common stock issuable with respect to Private Disc options assumed by the Company pursuant to the Merger Agreement as well as 2,035,103 additional shares of common stock reserved and available for future issuance under the 2021 Plan and 180,894 additional shares of common stock reserved and available for future issuance under the 2021 ESPP.</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ATM Program</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January 2023, the Company filed a shelf registration statement on Form S-3 with the SEC, which covered the offering, issuance and sale by the Company of up to an aggregate of $300.0 million of the Company’s common stock, preferred stock, debt securities, warrants or units. Subsequently in January 2023, the Company entered into a Sales Agreement (the “Sales Agreement”) with SVB Securities LLC, as sales agent, to provide for the offering, issuance and sale by the Company of up to $100.0 million of the Company’s common stock from time to time in “at-the-market” offerings under the shelf. Under this program, the Company is able to offer and sell, from time to time at its sole discretion, shares of its common stock through SVB Securities LLC as its sales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8" w:name="page19"/>
    <w:bookmarkEnd w:id="18"/>
    <w:p>
      <w:pPr>
        <w:jc w:val="both"/>
        <w:spacing w:after="0" w:line="255" w:lineRule="auto"/>
        <w:rPr>
          <w:sz w:val="20"/>
          <w:szCs w:val="20"/>
          <w:color w:val="auto"/>
        </w:rPr>
      </w:pPr>
      <w:r>
        <w:rPr>
          <w:rFonts w:ascii="Arial" w:cs="Arial" w:eastAsia="Arial" w:hAnsi="Arial"/>
          <w:sz w:val="18"/>
          <w:szCs w:val="18"/>
          <w:color w:val="auto"/>
        </w:rPr>
        <w:t>agent. In an ATM offering, exchange-listed companies incrementally sell newly issued shares into the secondary trading market through a designated broker-dealer at prevailing market prices. Effective June 12, 2023, the ATM program was suspended. The Company will not make any sales of common stock pursuant to the Sales Agreement unless and until a new prospectus supplement or registration statement is filed with the SEC; however, the Sales Agreement remains in full force and effect. In connection with the ATM suspension, the Company recognized the remaining capitalized issuance costs of $0.3 million as general and administrative expense in the consolidated statements of operations and comprehensive loss for the three and six months ended June 30, 2023.</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As of June 30, 2023, the Company had sold an aggregate of 825,350 shares of common stock in at-the-market offerings under the shelf. Aggregate gross proceeds from the transactions were $20.0 million and the Company received $19.5 million in net proceeds, after deducting placement agent fees and offering expenses.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Direct Offering</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February 2023, the Company entered into a securities purchase agreement, with certain investors. Pursuant to the securities purchase agreement, the Company sold an aggregate of 1,488,166 shares of the Company’s common stock, at a purchase price of $23.00 per share, and with respect to a certain investor, in lieu of shares of the Company’s common stock, pre-funded warrants to purchase an aggregate of 1,229,224 shares of the Company’s common stock, at a purchase price of $22.9999 per pre-funded warrant, for aggregate net proceeds of $62.4 million, after deducting offering expenses of $0.1 million.</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pre-funded warrants provide that the holder will not have the right to exercise any portion of its warrants if such holder, together with its affiliates, would beneficially own in excess of 9.99% of the number of shares of the Company’s common stock outstanding immediately after giving effect to such exercise (the “Beneficial Ownership Limitation”); provided, however, that the holder may increase or decrease the Beneficial Ownership Limitation by giving 61 days’ notice, but not to any percentage in excess of 19.99%. The investors or their affiliates are beneficial holders of more than 5% of the Company’s capital stock. The pre-funded warrants meet the condition for equity classification and were therefore recorded as a component of stockholders’ equity within additional paid-in capital.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Follow-On Public Offering</w:t>
      </w:r>
    </w:p>
    <w:p>
      <w:pPr>
        <w:spacing w:after="0" w:line="225"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In June 2023, the Company issued 3,015,919 shares of its common stock upon the completion of its public follow-on offering, which included the exercise in full by the underwriters of their option to purchase up to 420,000 additional shares of common stock, at a public offering price of $49.00 per share. The Company also sold, in lieu of shares of the Company’s common stock, pre-funded warrants to purchase an aggregate of 204,081 shares of common stock at a price of $48.9999 per pre-funded warrant. The Company received aggregate net proceeds of $147.9 million, after deducting offering expenses of $9.9 million.</w:t>
      </w:r>
    </w:p>
    <w:p>
      <w:pPr>
        <w:spacing w:after="0" w:line="8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pre-funded warrants provide that the holder will not have the right to exercise any portion of its warrants if such holder, together with its affiliates, would beneficially own in excess of 24.99% of the number of shares of Common Stock outstanding immediately after giving effect to the exercise (the “Ownership Limit”). Purchasers of the pre-funded warrants may also elect to set the initial Ownership Limit at 4.99%, 9.99% or 19.99%. Upon at least 61 days’ prior notice from the holder to the Company, the holder may increase or decrease the Ownership Limit up to 24.99%, provided however that purchasers that select an Ownership Limit of 19.99% or less will only be allowed to increase the Ownership Limit above 19.99% if such increase would not result in a change of control under the rules and regulations of the Nasdaq Stock Market LLC. The pre-funded warrants meet the condition for equity classification and were therefore recorded as a component of stockholders’ equity within additional paid-in capital.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The Company grants stock-based awards under its 2021 Stock Option and Incentive Plan (the “2021 Plan”), which was approved by its stockholders in February 2021 and amended and restated in January 2023. The Company also has outstanding stock option awards under its 2017 Stock Option and Grant Plan (the “Private Disc Plan”), the 2017 Stock Option and Grant Plan (the “Gemini 2017 Plan”), and the 2021 Inducement Plan, but is no longer granting awards under these plans. The Company also has the option to grant awards under the 2021 Employee Stock Purchase Plan (the “2021 ESPP”), which was approved by shareholders in July 2021 and amended and restated in January 2023.</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9" w:name="page20"/>
    <w:bookmarkEnd w:id="19"/>
    <w:p>
      <w:pPr>
        <w:ind w:left="520"/>
        <w:spacing w:after="0"/>
        <w:rPr>
          <w:sz w:val="20"/>
          <w:szCs w:val="20"/>
          <w:color w:val="auto"/>
        </w:rPr>
      </w:pPr>
      <w:r>
        <w:rPr>
          <w:rFonts w:ascii="Arial" w:cs="Arial" w:eastAsia="Arial" w:hAnsi="Arial"/>
          <w:sz w:val="18"/>
          <w:szCs w:val="18"/>
          <w:color w:val="auto"/>
        </w:rPr>
        <w:t>The following table summarizes stock option activity for the six months ended June 30, 2023.</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center"/>
              <w:ind w:right="237"/>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center"/>
              <w:ind w:right="121"/>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ind w:right="237"/>
              <w:spacing w:after="0" w:line="149" w:lineRule="exact"/>
              <w:rPr>
                <w:sz w:val="20"/>
                <w:szCs w:val="20"/>
                <w:color w:val="auto"/>
              </w:rPr>
            </w:pPr>
            <w:r>
              <w:rPr>
                <w:rFonts w:ascii="Arial" w:cs="Arial" w:eastAsia="Arial" w:hAnsi="Arial"/>
                <w:sz w:val="14"/>
                <w:szCs w:val="14"/>
                <w:b w:val="1"/>
                <w:bCs w:val="1"/>
                <w:color w:val="auto"/>
                <w:w w:val="90"/>
              </w:rPr>
              <w:t>Exercise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center"/>
              <w:ind w:right="121"/>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5"/>
        </w:trPr>
        <w:tc>
          <w:tcPr>
            <w:tcW w:w="5580" w:type="dxa"/>
            <w:vAlign w:val="bottom"/>
          </w:tcPr>
          <w:p>
            <w:pPr>
              <w:ind w:left="55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w w:val="93"/>
              </w:rPr>
              <w:t>Price</w:t>
            </w:r>
          </w:p>
        </w:tc>
        <w:tc>
          <w:tcPr>
            <w:tcW w:w="12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Term (In Years)</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37"/>
        </w:trPr>
        <w:tc>
          <w:tcPr>
            <w:tcW w:w="55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December 31, 2022</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2,640,590</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16.19</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8.08</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25,513</w:t>
            </w:r>
          </w:p>
        </w:tc>
        <w:tc>
          <w:tcPr>
            <w:tcW w:w="0" w:type="dxa"/>
            <w:vAlign w:val="bottom"/>
          </w:tcPr>
          <w:p>
            <w:pPr>
              <w:spacing w:after="0"/>
              <w:rPr>
                <w:sz w:val="1"/>
                <w:szCs w:val="1"/>
                <w:color w:val="auto"/>
              </w:rPr>
            </w:pPr>
          </w:p>
        </w:tc>
      </w:tr>
      <w:tr>
        <w:trPr>
          <w:trHeight w:val="237"/>
        </w:trPr>
        <w:tc>
          <w:tcPr>
            <w:tcW w:w="5580" w:type="dxa"/>
            <w:vAlign w:val="bottom"/>
          </w:tcPr>
          <w:p>
            <w:pPr>
              <w:ind w:left="20"/>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117,463</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35.36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5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(116,228 )</w:t>
            </w:r>
          </w:p>
        </w:tc>
        <w:tc>
          <w:tcPr>
            <w:tcW w:w="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11.94</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spacing w:after="0"/>
              <w:rPr>
                <w:sz w:val="21"/>
                <w:szCs w:val="21"/>
                <w:color w:val="auto"/>
              </w:rPr>
            </w:pP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(70,430 )</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102.56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2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58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2023</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2,571,395</w:t>
            </w:r>
          </w:p>
        </w:tc>
        <w:tc>
          <w:tcPr>
            <w:tcW w:w="340" w:type="dxa"/>
            <w:vAlign w:val="bottom"/>
            <w:gridSpan w:val="2"/>
            <w:shd w:val="clear" w:color="auto" w:fill="CFF0FC"/>
          </w:tcPr>
          <w:p>
            <w:pPr>
              <w:ind w:left="140"/>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bscript"/>
              </w:rPr>
              <w:t>$</w:t>
            </w:r>
          </w:p>
        </w:tc>
        <w:tc>
          <w:tcPr>
            <w:tcW w:w="108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14.90</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61"/>
              <w:spacing w:after="0"/>
              <w:rPr>
                <w:sz w:val="20"/>
                <w:szCs w:val="20"/>
                <w:color w:val="auto"/>
              </w:rPr>
            </w:pPr>
            <w:r>
              <w:rPr>
                <w:rFonts w:ascii="Arial" w:cs="Arial" w:eastAsia="Arial" w:hAnsi="Arial"/>
                <w:sz w:val="18"/>
                <w:szCs w:val="18"/>
                <w:color w:val="auto"/>
              </w:rPr>
              <w:t>7.98</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82,589</w:t>
            </w:r>
          </w:p>
        </w:tc>
        <w:tc>
          <w:tcPr>
            <w:tcW w:w="0" w:type="dxa"/>
            <w:vAlign w:val="bottom"/>
          </w:tcPr>
          <w:p>
            <w:pPr>
              <w:spacing w:after="0"/>
              <w:rPr>
                <w:sz w:val="1"/>
                <w:szCs w:val="1"/>
                <w:color w:val="auto"/>
              </w:rPr>
            </w:pPr>
          </w:p>
        </w:tc>
      </w:tr>
      <w:tr>
        <w:trPr>
          <w:trHeight w:val="20"/>
        </w:trPr>
        <w:tc>
          <w:tcPr>
            <w:tcW w:w="55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80" w:type="dxa"/>
            <w:vAlign w:val="bottom"/>
          </w:tcPr>
          <w:p>
            <w:pPr>
              <w:ind w:left="20"/>
              <w:spacing w:after="0"/>
              <w:rPr>
                <w:sz w:val="20"/>
                <w:szCs w:val="20"/>
                <w:color w:val="auto"/>
              </w:rPr>
            </w:pPr>
            <w:r>
              <w:rPr>
                <w:rFonts w:ascii="Arial" w:cs="Arial" w:eastAsia="Arial" w:hAnsi="Arial"/>
                <w:sz w:val="18"/>
                <w:szCs w:val="18"/>
                <w:color w:val="auto"/>
              </w:rPr>
              <w:t>Exercisable at June 30, 2023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5"/>
              <w:spacing w:after="0"/>
              <w:rPr>
                <w:sz w:val="20"/>
                <w:szCs w:val="20"/>
                <w:color w:val="auto"/>
              </w:rPr>
            </w:pPr>
            <w:r>
              <w:rPr>
                <w:rFonts w:ascii="Arial" w:cs="Arial" w:eastAsia="Arial" w:hAnsi="Arial"/>
                <w:sz w:val="18"/>
                <w:szCs w:val="18"/>
                <w:color w:val="auto"/>
              </w:rPr>
              <w:t>1,191,600</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7"/>
              <w:spacing w:after="0"/>
              <w:rPr>
                <w:sz w:val="20"/>
                <w:szCs w:val="20"/>
                <w:color w:val="auto"/>
              </w:rPr>
            </w:pPr>
            <w:r>
              <w:rPr>
                <w:rFonts w:ascii="Arial" w:cs="Arial" w:eastAsia="Arial" w:hAnsi="Arial"/>
                <w:sz w:val="18"/>
                <w:szCs w:val="18"/>
                <w:color w:val="auto"/>
              </w:rPr>
              <w:t>16.57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61"/>
              <w:spacing w:after="0"/>
              <w:rPr>
                <w:sz w:val="20"/>
                <w:szCs w:val="20"/>
                <w:color w:val="auto"/>
              </w:rPr>
            </w:pPr>
            <w:r>
              <w:rPr>
                <w:rFonts w:ascii="Arial" w:cs="Arial" w:eastAsia="Arial" w:hAnsi="Arial"/>
                <w:sz w:val="18"/>
                <w:szCs w:val="18"/>
                <w:color w:val="auto"/>
              </w:rPr>
              <w:t>7.01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60"/>
              <w:spacing w:after="0"/>
              <w:rPr>
                <w:sz w:val="20"/>
                <w:szCs w:val="20"/>
                <w:color w:val="auto"/>
              </w:rPr>
            </w:pPr>
            <w:r>
              <w:rPr>
                <w:rFonts w:ascii="Arial" w:cs="Arial" w:eastAsia="Arial" w:hAnsi="Arial"/>
                <w:sz w:val="18"/>
                <w:szCs w:val="18"/>
                <w:color w:val="auto"/>
              </w:rPr>
              <w:t>39,795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-171450</wp:posOffset>
            </wp:positionV>
            <wp:extent cx="102870" cy="1797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100"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stock options and the fair value of the Company’s common stock for those stock options that had exercise prices lower than the fair value of the common stock as of the end of the period. The aggregate intrinsic value of stock options exercised during the six months ended June 30, 2023 was $2.0 million.</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weighted-average assumptions used to estimate the fair value of stock options granted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7600" w:type="dxa"/>
            <w:vAlign w:val="bottom"/>
          </w:tcPr>
          <w:p>
            <w:pPr>
              <w:ind w:left="75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7600" w:type="dxa"/>
            <w:vAlign w:val="bottom"/>
          </w:tcPr>
          <w:p>
            <w:pPr>
              <w:ind w:left="75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1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Risk-free interest rate</w:t>
            </w:r>
          </w:p>
        </w:tc>
        <w:tc>
          <w:tcPr>
            <w:tcW w:w="10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3.67 %</w:t>
            </w:r>
          </w:p>
        </w:tc>
        <w:tc>
          <w:tcPr>
            <w:tcW w:w="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1.99 %</w:t>
            </w:r>
          </w:p>
        </w:tc>
        <w:tc>
          <w:tcPr>
            <w:tcW w:w="20" w:type="dxa"/>
            <w:vAlign w:val="bottom"/>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5"/>
              <w:spacing w:after="0"/>
              <w:rPr>
                <w:sz w:val="20"/>
                <w:szCs w:val="20"/>
                <w:color w:val="auto"/>
              </w:rPr>
            </w:pPr>
            <w:r>
              <w:rPr>
                <w:rFonts w:ascii="Arial" w:cs="Arial" w:eastAsia="Arial" w:hAnsi="Arial"/>
                <w:sz w:val="18"/>
                <w:szCs w:val="18"/>
                <w:color w:val="auto"/>
              </w:rPr>
              <w:t>7.73</w:t>
            </w:r>
          </w:p>
        </w:tc>
        <w:tc>
          <w:tcPr>
            <w:tcW w:w="6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3"/>
              <w:spacing w:after="0"/>
              <w:rPr>
                <w:sz w:val="20"/>
                <w:szCs w:val="20"/>
                <w:color w:val="auto"/>
              </w:rPr>
            </w:pPr>
            <w:r>
              <w:rPr>
                <w:rFonts w:ascii="Arial" w:cs="Arial" w:eastAsia="Arial" w:hAnsi="Arial"/>
                <w:sz w:val="18"/>
                <w:szCs w:val="18"/>
                <w:color w:val="auto"/>
              </w:rPr>
              <w:t>6.00</w:t>
            </w:r>
          </w:p>
        </w:tc>
        <w:tc>
          <w:tcPr>
            <w:tcW w:w="20" w:type="dxa"/>
            <w:vAlign w:val="bottom"/>
          </w:tcPr>
          <w:p>
            <w:pPr>
              <w:spacing w:after="0"/>
              <w:rPr>
                <w:sz w:val="20"/>
                <w:szCs w:val="20"/>
                <w:color w:val="auto"/>
              </w:rPr>
            </w:pPr>
          </w:p>
        </w:tc>
      </w:tr>
      <w:tr>
        <w:trPr>
          <w:trHeight w:val="256"/>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volatility</w:t>
            </w:r>
          </w:p>
        </w:tc>
        <w:tc>
          <w:tcPr>
            <w:tcW w:w="10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58 %</w:t>
            </w: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56 %</w:t>
            </w:r>
          </w:p>
        </w:tc>
        <w:tc>
          <w:tcPr>
            <w:tcW w:w="20" w:type="dxa"/>
            <w:vAlign w:val="bottom"/>
          </w:tcPr>
          <w:p>
            <w:pPr>
              <w:spacing w:after="0"/>
              <w:rPr>
                <w:sz w:val="22"/>
                <w:szCs w:val="22"/>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0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0 %</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0 %</w:t>
            </w:r>
          </w:p>
        </w:tc>
        <w:tc>
          <w:tcPr>
            <w:tcW w:w="2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per share of common stock</w:t>
            </w:r>
          </w:p>
        </w:tc>
        <w:tc>
          <w:tcPr>
            <w:tcW w:w="104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35.36</w:t>
            </w:r>
          </w:p>
        </w:tc>
        <w:tc>
          <w:tcPr>
            <w:tcW w:w="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14.69</w:t>
            </w:r>
          </w:p>
        </w:tc>
        <w:tc>
          <w:tcPr>
            <w:tcW w:w="20" w:type="dxa"/>
            <w:vAlign w:val="bottom"/>
          </w:tcPr>
          <w:p>
            <w:pPr>
              <w:spacing w:after="0"/>
              <w:rPr>
                <w:sz w:val="21"/>
                <w:szCs w:val="21"/>
                <w:color w:val="auto"/>
              </w:rPr>
            </w:pPr>
          </w:p>
        </w:tc>
      </w:tr>
    </w:tbl>
    <w:p>
      <w:pPr>
        <w:spacing w:after="0" w:line="10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The weighted-average grant date fair value of options granted during the six months ended June 30, 2023 and 2022 was $22.49 and $7.85 per share, respectively.</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total fair value of options vested during the six months ended June 30, 2023 was $2.1 million.</w:t>
      </w:r>
    </w:p>
    <w:p>
      <w:pPr>
        <w:spacing w:after="0" w:line="117"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8"/>
          <w:szCs w:val="18"/>
          <w:color w:val="auto"/>
        </w:rPr>
        <w:t>As of June 30, 2023, the Company had issued a total of 63,061 shares of restricted common stock to the founders of Private Disc pursuant to subscription agreements and to certain key employees pursuant to the Private Disc Plan at $0.0001 per share. The stock restrictions relate to the sale and transferability of the stock and lapse over the defined vesting period in the restricted stock agreement. The vesting period is generally contingent upon continued employment or consulting services being provided to the Company. In the event of termination, the Company has the right, but not the obligation to repurchase the unvested shares at the original purchase price.</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common stock activity is as follows:</w:t>
      </w:r>
    </w:p>
    <w:p>
      <w:pPr>
        <w:spacing w:after="0" w:line="257"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56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720" w:type="dxa"/>
            <w:vAlign w:val="bottom"/>
            <w:tcBorders>
              <w:top w:val="single" w:sz="8" w:color="auto"/>
              <w:bottom w:val="single" w:sz="8" w:color="auto"/>
            </w:tcBorders>
          </w:tcPr>
          <w:p>
            <w:pPr>
              <w:spacing w:after="0"/>
              <w:rPr>
                <w:sz w:val="14"/>
                <w:szCs w:val="14"/>
                <w:color w:val="auto"/>
              </w:rPr>
            </w:pPr>
          </w:p>
        </w:tc>
        <w:tc>
          <w:tcPr>
            <w:tcW w:w="160" w:type="dxa"/>
            <w:vAlign w:val="bottom"/>
            <w:tcBorders>
              <w:top w:val="single" w:sz="8" w:color="auto"/>
            </w:tcBorders>
          </w:tcPr>
          <w:p>
            <w:pPr>
              <w:ind w:left="80"/>
              <w:spacing w:after="0"/>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r>
      <w:tr>
        <w:trPr>
          <w:trHeight w:val="236"/>
        </w:trPr>
        <w:tc>
          <w:tcPr>
            <w:tcW w:w="75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the beginning of the year</w:t>
            </w:r>
          </w:p>
        </w:tc>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1,916</w:t>
            </w: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10,170</w:t>
            </w:r>
          </w:p>
        </w:tc>
      </w:tr>
      <w:tr>
        <w:trPr>
          <w:trHeight w:val="243"/>
        </w:trPr>
        <w:tc>
          <w:tcPr>
            <w:tcW w:w="7560" w:type="dxa"/>
            <w:vAlign w:val="bottom"/>
          </w:tcPr>
          <w:p>
            <w:pPr>
              <w:ind w:left="200"/>
              <w:spacing w:after="0"/>
              <w:rPr>
                <w:sz w:val="20"/>
                <w:szCs w:val="20"/>
                <w:color w:val="auto"/>
              </w:rPr>
            </w:pPr>
            <w:r>
              <w:rPr>
                <w:rFonts w:ascii="Arial" w:cs="Arial" w:eastAsia="Arial" w:hAnsi="Arial"/>
                <w:sz w:val="18"/>
                <w:szCs w:val="18"/>
                <w:color w:val="auto"/>
              </w:rPr>
              <w:t>Vested</w:t>
            </w:r>
          </w:p>
        </w:tc>
        <w:tc>
          <w:tcPr>
            <w:tcW w:w="104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(1,916 )</w:t>
            </w:r>
          </w:p>
        </w:tc>
        <w:tc>
          <w:tcPr>
            <w:tcW w:w="5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(4,570 )</w:t>
            </w:r>
          </w:p>
        </w:tc>
      </w:tr>
      <w:tr>
        <w:trPr>
          <w:trHeight w:val="20"/>
        </w:trPr>
        <w:tc>
          <w:tcPr>
            <w:tcW w:w="7560" w:type="dxa"/>
            <w:vAlign w:val="bottom"/>
            <w:tcBorders>
              <w:right w:val="single" w:sz="8" w:color="auto"/>
            </w:tcBorders>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r>
      <w:tr>
        <w:trPr>
          <w:trHeight w:val="257"/>
        </w:trPr>
        <w:tc>
          <w:tcPr>
            <w:tcW w:w="756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the end of the period</w:t>
            </w:r>
          </w:p>
        </w:tc>
        <w:tc>
          <w:tcPr>
            <w:tcW w:w="10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5,600</w:t>
            </w:r>
          </w:p>
        </w:tc>
      </w:tr>
      <w:tr>
        <w:trPr>
          <w:trHeight w:val="20"/>
        </w:trPr>
        <w:tc>
          <w:tcPr>
            <w:tcW w:w="75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939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939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2023, all awards of restricted common stock were fully vested.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Total stock-based compensation expense recorded as research and development and general and administrative expenses, respectively, for employees, directors and non-employees is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720" w:type="dxa"/>
            <w:vAlign w:val="bottom"/>
            <w:gridSpan w:val="5"/>
          </w:tcPr>
          <w:p>
            <w:pPr>
              <w:jc w:val="center"/>
              <w:ind w:right="55"/>
              <w:spacing w:after="0"/>
              <w:rPr>
                <w:sz w:val="20"/>
                <w:szCs w:val="20"/>
                <w:color w:val="auto"/>
              </w:rPr>
            </w:pPr>
            <w:r>
              <w:rPr>
                <w:rFonts w:ascii="Arial" w:cs="Arial" w:eastAsia="Arial" w:hAnsi="Arial"/>
                <w:sz w:val="14"/>
                <w:szCs w:val="14"/>
                <w:b w:val="1"/>
                <w:bCs w:val="1"/>
                <w:color w:val="auto"/>
                <w:w w:val="91"/>
              </w:rPr>
              <w:t>Three months ended</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620" w:type="dxa"/>
            <w:vAlign w:val="bottom"/>
          </w:tcPr>
          <w:p>
            <w:pPr>
              <w:ind w:left="55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left="75"/>
              <w:spacing w:after="0"/>
              <w:rPr>
                <w:sz w:val="20"/>
                <w:szCs w:val="20"/>
                <w:color w:val="auto"/>
              </w:rPr>
            </w:pPr>
            <w:r>
              <w:rPr>
                <w:rFonts w:ascii="Arial" w:cs="Arial" w:eastAsia="Arial" w:hAnsi="Arial"/>
                <w:sz w:val="14"/>
                <w:szCs w:val="14"/>
                <w:b w:val="1"/>
                <w:bCs w:val="1"/>
                <w:color w:val="auto"/>
                <w:w w:val="89"/>
              </w:rPr>
              <w:t>June 30,</w:t>
            </w:r>
          </w:p>
        </w:tc>
        <w:tc>
          <w:tcPr>
            <w:tcW w:w="10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20" w:type="dxa"/>
            <w:vAlign w:val="bottom"/>
          </w:tcPr>
          <w:p>
            <w:pPr>
              <w:ind w:left="5540"/>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2023</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36"/>
        </w:trPr>
        <w:tc>
          <w:tcPr>
            <w:tcW w:w="5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367</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55"/>
              <w:spacing w:after="0"/>
              <w:rPr>
                <w:sz w:val="20"/>
                <w:szCs w:val="20"/>
                <w:color w:val="auto"/>
              </w:rPr>
            </w:pPr>
            <w:r>
              <w:rPr>
                <w:rFonts w:ascii="Arial" w:cs="Arial" w:eastAsia="Arial" w:hAnsi="Arial"/>
                <w:sz w:val="18"/>
                <w:szCs w:val="18"/>
                <w:color w:val="auto"/>
              </w:rPr>
              <w:t>942</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1,621</w:t>
            </w:r>
          </w:p>
        </w:tc>
        <w:tc>
          <w:tcPr>
            <w:tcW w:w="5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5"/>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0"/>
        </w:trPr>
        <w:tc>
          <w:tcPr>
            <w:tcW w:w="56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shd w:val="clear" w:color="auto" w:fill="CFF0FC"/>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5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w w:val="88"/>
              </w:rPr>
              <w:t>1,309</w:t>
            </w:r>
          </w:p>
        </w:tc>
        <w:tc>
          <w:tcPr>
            <w:tcW w:w="4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382</w:t>
            </w:r>
          </w:p>
        </w:tc>
        <w:tc>
          <w:tcPr>
            <w:tcW w:w="180" w:type="dxa"/>
            <w:vAlign w:val="bottom"/>
            <w:vMerge w:val="continue"/>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2,333</w:t>
            </w:r>
          </w:p>
        </w:tc>
        <w:tc>
          <w:tcPr>
            <w:tcW w:w="16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5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1028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-8255</wp:posOffset>
            </wp:positionV>
            <wp:extent cx="1028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-24765</wp:posOffset>
            </wp:positionV>
            <wp:extent cx="946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946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4615" cy="8890"/>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20" w:name="page21"/>
    <w:bookmarkEnd w:id="20"/>
    <w:p>
      <w:pPr>
        <w:jc w:val="both"/>
        <w:ind w:firstLine="509"/>
        <w:spacing w:after="0" w:line="277" w:lineRule="auto"/>
        <w:rPr>
          <w:sz w:val="20"/>
          <w:szCs w:val="20"/>
          <w:color w:val="auto"/>
        </w:rPr>
      </w:pPr>
      <w:r>
        <w:rPr>
          <w:rFonts w:ascii="Arial" w:cs="Arial" w:eastAsia="Arial" w:hAnsi="Arial"/>
          <w:sz w:val="18"/>
          <w:szCs w:val="18"/>
          <w:color w:val="auto"/>
        </w:rPr>
        <w:t>As of June 30, 2023, the total unrecognized stock-based compensation expense related to outstanding awards was $10.5 million and is expected to be recognized over a weighted-average period of 2.74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did not record a provision or benefit for federal income taxes during the three and six months ended June 30, 2023 and 2022. The Company recorded state income tax expense of less than $0.1 million for the three and six months ended June 30, 2023, due to interest income. There was no state income tax expense for the three and six months ended June 30, 2022. The Company continues to maintain a full valuation allowance against all of its deferred tax assets.</w:t>
      </w:r>
    </w:p>
    <w:p>
      <w:pPr>
        <w:spacing w:after="0" w:line="79"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The Company has evaluated the positive and negative evidence involving its ability to realize its deferred tax assets and has considered its history of cumulative net losses incurred since inception and its lack of any commercially ready products. The Company has concluded that it is more likely than not that it will not realize the benefits of its deferred tax assets. The Company reevaluates the positive and negative evidence at each reporting period.</w:t>
      </w:r>
    </w:p>
    <w:p>
      <w:pPr>
        <w:spacing w:after="0" w:line="4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Company has never been examined by the Internal Revenue Service or any other jurisdiction for any tax years and, as such, all years within the applicable statutes of limitations are potentially subject to audit.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Basic and diluted net loss per share is computed by dividing net loss attributable to common stockholders by the weighted-average common shares outstanding. The weighted-average common shares outstanding used in the basic and diluted net loss per share calculation includes the pre-funded warrants issued in connection with the Company’s follow-on public offering in June 2023 and registered direct offering in February 2023 as the pre-funded warrants are exercisable for nominal cash consideration. As of June 30, 2023, no pre-funded warrants have been exercised and 1,433,305 pre-funded warrants are outstanding.</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has generated a net loss in all periods presented, so the basic and diluted net loss per share are the same, as the inclusion of the potentially dilutive securities would be anti-dilutive. The Company excluded the following from the computation of diluted net loss per share attributable to common stockholders because including them would have had an anti-dilutive effect: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9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June 30,</w:t>
            </w:r>
          </w:p>
        </w:tc>
        <w:tc>
          <w:tcPr>
            <w:tcW w:w="1380" w:type="dxa"/>
            <w:vAlign w:val="bottom"/>
            <w:tcBorders>
              <w:bottom w:val="single" w:sz="8" w:color="auto"/>
            </w:tcBorders>
          </w:tcPr>
          <w:p>
            <w:pPr>
              <w:spacing w:after="0"/>
              <w:rPr>
                <w:sz w:val="16"/>
                <w:szCs w:val="16"/>
                <w:color w:val="auto"/>
              </w:rPr>
            </w:pPr>
          </w:p>
        </w:tc>
      </w:tr>
      <w:tr>
        <w:trPr>
          <w:trHeight w:val="169"/>
        </w:trPr>
        <w:tc>
          <w:tcPr>
            <w:tcW w:w="754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715"/>
              <w:spacing w:after="0"/>
              <w:rPr>
                <w:sz w:val="20"/>
                <w:szCs w:val="20"/>
                <w:color w:val="auto"/>
              </w:rPr>
            </w:pPr>
            <w:r>
              <w:rPr>
                <w:rFonts w:ascii="Arial" w:cs="Arial" w:eastAsia="Arial" w:hAnsi="Arial"/>
                <w:sz w:val="14"/>
                <w:szCs w:val="14"/>
                <w:b w:val="1"/>
                <w:bCs w:val="1"/>
                <w:color w:val="auto"/>
              </w:rPr>
              <w:t>2023</w:t>
            </w:r>
          </w:p>
        </w:tc>
        <w:tc>
          <w:tcPr>
            <w:tcW w:w="5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713"/>
              <w:spacing w:after="0"/>
              <w:rPr>
                <w:sz w:val="20"/>
                <w:szCs w:val="20"/>
                <w:color w:val="auto"/>
              </w:rPr>
            </w:pPr>
            <w:r>
              <w:rPr>
                <w:rFonts w:ascii="Arial" w:cs="Arial" w:eastAsia="Arial" w:hAnsi="Arial"/>
                <w:sz w:val="14"/>
                <w:szCs w:val="14"/>
                <w:b w:val="1"/>
                <w:bCs w:val="1"/>
                <w:color w:val="auto"/>
              </w:rPr>
              <w:t>2022</w:t>
            </w:r>
          </w:p>
        </w:tc>
      </w:tr>
      <w:tr>
        <w:trPr>
          <w:trHeight w:val="20"/>
        </w:trPr>
        <w:tc>
          <w:tcPr>
            <w:tcW w:w="7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Seed convertible preferred stock</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5,000,000</w:t>
            </w: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Series A convertible preferred stock</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41,666,666</w:t>
            </w: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Series B convertible preferred stock</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37,499,999</w:t>
            </w:r>
          </w:p>
        </w:tc>
      </w:tr>
      <w:tr>
        <w:trPr>
          <w:trHeight w:val="237"/>
        </w:trPr>
        <w:tc>
          <w:tcPr>
            <w:tcW w:w="754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3"/>
              <w:spacing w:after="0"/>
              <w:rPr>
                <w:sz w:val="20"/>
                <w:szCs w:val="20"/>
                <w:color w:val="auto"/>
              </w:rPr>
            </w:pPr>
            <w:r>
              <w:rPr>
                <w:rFonts w:ascii="Arial" w:cs="Arial" w:eastAsia="Arial" w:hAnsi="Arial"/>
                <w:sz w:val="18"/>
                <w:szCs w:val="18"/>
                <w:color w:val="auto"/>
              </w:rPr>
              <w:t>5,600</w:t>
            </w:r>
          </w:p>
        </w:tc>
      </w:tr>
      <w:tr>
        <w:trPr>
          <w:trHeight w:val="249"/>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Options to purchase common stock</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2,571,395</w:t>
            </w:r>
          </w:p>
        </w:tc>
        <w:tc>
          <w:tcPr>
            <w:tcW w:w="5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1,591,619</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its vendors, lessors, contract research organizations,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that will require the Company, among other things, to indemnify them against certain liabilities that may arise by reason of their status or service as directors. The maximum potential amount of future payments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Company, from time to time, may be party to litigation arising in the ordinary course of business. The Company was not subject to any material legal proceedings during the six months ended June 30, 2023 and 2022 and, to the best of its knowledge, no material legal proceedings are currently pending or threatened.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Upon Termination</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Company enters into contracts in the normal course of business with CROs, CDMOs and other third parties for preclinical studies, clinical trials and manufacturing services. These contracts typically do not contain minimum purchase commitments and are generally cancelable by the Company upon written notice. Payments due upon cancellation consist of payments for services provided or expenses incurred, including noncancelable obligations of the Company’s service providers, up to the date 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21" w:name="page22"/>
    <w:bookmarkEnd w:id="21"/>
    <w:p>
      <w:pPr>
        <w:jc w:val="both"/>
        <w:ind w:right="20"/>
        <w:spacing w:after="0" w:line="308" w:lineRule="auto"/>
        <w:rPr>
          <w:sz w:val="20"/>
          <w:szCs w:val="20"/>
          <w:color w:val="auto"/>
        </w:rPr>
      </w:pPr>
      <w:r>
        <w:rPr>
          <w:rFonts w:ascii="Arial" w:cs="Arial" w:eastAsia="Arial" w:hAnsi="Arial"/>
          <w:sz w:val="17"/>
          <w:szCs w:val="17"/>
          <w:color w:val="auto"/>
        </w:rPr>
        <w:t>cancellation and, in the case of certain arrangements with CROs and CDMOs, may include noncancelable fees. Under such agreements, the exact amounts owed by the Company in the event of termination will be based on the timing of the termination and the exact terms of the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Leases</w:t>
      </w:r>
    </w:p>
    <w:p>
      <w:pPr>
        <w:spacing w:after="0" w:line="121" w:lineRule="exact"/>
        <w:rPr>
          <w:sz w:val="20"/>
          <w:szCs w:val="20"/>
          <w:color w:val="auto"/>
        </w:rPr>
      </w:pPr>
    </w:p>
    <w:p>
      <w:pPr>
        <w:jc w:val="both"/>
        <w:ind w:right="20" w:firstLine="509"/>
        <w:spacing w:after="0" w:line="301" w:lineRule="auto"/>
        <w:rPr>
          <w:sz w:val="20"/>
          <w:szCs w:val="20"/>
          <w:color w:val="auto"/>
        </w:rPr>
      </w:pPr>
      <w:r>
        <w:rPr>
          <w:rFonts w:ascii="Arial" w:cs="Arial" w:eastAsia="Arial" w:hAnsi="Arial"/>
          <w:sz w:val="16"/>
          <w:szCs w:val="16"/>
          <w:color w:val="auto"/>
        </w:rPr>
        <w:t>In October 2021, Private Disc entered into a five-year lease through November 2026 of 7,566 square feet of office space located at 321 Arsenal Street, Watertown, Massachusetts to be used as its corporate headquarters. In June 2023, the lease was amended to allow the landlord to perform certain maintenance activities expected to be completed by the end of 2023 and to provide rent abatement of $0.2 million. The amendment was accounted for as a modification resulting in a new incremental borrowing rate and a reduction to the right-of-use asset and lease liability of $0.2 million.</w:t>
      </w:r>
    </w:p>
    <w:p>
      <w:pPr>
        <w:spacing w:after="0" w:line="49" w:lineRule="exact"/>
        <w:rPr>
          <w:sz w:val="20"/>
          <w:szCs w:val="20"/>
          <w:color w:val="auto"/>
        </w:rPr>
      </w:pPr>
    </w:p>
    <w:p>
      <w:pPr>
        <w:jc w:val="both"/>
        <w:ind w:right="20" w:firstLine="509"/>
        <w:spacing w:after="0" w:line="257" w:lineRule="auto"/>
        <w:rPr>
          <w:sz w:val="20"/>
          <w:szCs w:val="20"/>
          <w:color w:val="auto"/>
        </w:rPr>
      </w:pPr>
      <w:r>
        <w:rPr>
          <w:rFonts w:ascii="Arial" w:cs="Arial" w:eastAsia="Arial" w:hAnsi="Arial"/>
          <w:sz w:val="18"/>
          <w:szCs w:val="18"/>
          <w:color w:val="auto"/>
        </w:rPr>
        <w:t>In June 2023, the Company entered into a sublease for a term of approximately three and a half years through November 2026, consisting of 9,280 square feet of office space on the second floor of the corporate headquarters in Watertown, Massachusetts. Fixed lease payments include base rent, subject to annual rent increases, and a management fee. Variable lease payments include the Company’s allocated share of costs incurred for real estate taxes, utilities, and other operating expenses applicable to the leased premises. Pursuant to the lease, the Company is also obligated to pay for certain administrative costs, taxes and operating expenses.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1200" w:type="dxa"/>
            <w:vAlign w:val="bottom"/>
          </w:tcPr>
          <w:p>
            <w:pPr>
              <w:spacing w:after="0"/>
              <w:rPr>
                <w:sz w:val="14"/>
                <w:szCs w:val="14"/>
                <w:color w:val="auto"/>
              </w:rPr>
            </w:pPr>
          </w:p>
        </w:tc>
      </w:tr>
      <w:tr>
        <w:trPr>
          <w:trHeight w:val="185"/>
        </w:trPr>
        <w:tc>
          <w:tcPr>
            <w:tcW w:w="762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tcBorders>
              <w:bottom w:val="single" w:sz="8" w:color="auto"/>
            </w:tcBorders>
          </w:tcPr>
          <w:p>
            <w:pPr>
              <w:spacing w:after="0"/>
              <w:rPr>
                <w:sz w:val="16"/>
                <w:szCs w:val="16"/>
                <w:color w:val="auto"/>
              </w:rPr>
            </w:pPr>
          </w:p>
        </w:tc>
      </w:tr>
      <w:tr>
        <w:trPr>
          <w:trHeight w:val="169"/>
        </w:trPr>
        <w:tc>
          <w:tcPr>
            <w:tcW w:w="762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38"/>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95"/>
              <w:spacing w:after="0"/>
              <w:rPr>
                <w:sz w:val="20"/>
                <w:szCs w:val="20"/>
                <w:color w:val="auto"/>
              </w:rPr>
            </w:pPr>
            <w:r>
              <w:rPr>
                <w:rFonts w:ascii="Arial" w:cs="Arial" w:eastAsia="Arial" w:hAnsi="Arial"/>
                <w:sz w:val="14"/>
                <w:szCs w:val="14"/>
                <w:b w:val="1"/>
                <w:bCs w:val="1"/>
                <w:color w:val="auto"/>
              </w:rPr>
              <w:t>2022</w:t>
            </w:r>
          </w:p>
        </w:tc>
      </w:tr>
      <w:tr>
        <w:trPr>
          <w:trHeight w:val="237"/>
        </w:trPr>
        <w:tc>
          <w:tcPr>
            <w:tcW w:w="7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lease costs</w:t>
            </w:r>
          </w:p>
        </w:tc>
        <w:tc>
          <w:tcPr>
            <w:tcW w:w="1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181</w:t>
            </w:r>
          </w:p>
        </w:tc>
        <w:tc>
          <w:tcPr>
            <w:tcW w:w="20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206</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10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57"/>
              <w:spacing w:after="0"/>
              <w:rPr>
                <w:sz w:val="20"/>
                <w:szCs w:val="20"/>
                <w:color w:val="auto"/>
              </w:rPr>
            </w:pPr>
            <w:r>
              <w:rPr>
                <w:rFonts w:ascii="Arial" w:cs="Arial" w:eastAsia="Arial" w:hAnsi="Arial"/>
                <w:sz w:val="18"/>
                <w:szCs w:val="18"/>
                <w:color w:val="auto"/>
              </w:rPr>
              <w:t>109</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94</w:t>
            </w:r>
          </w:p>
        </w:tc>
      </w:tr>
      <w:tr>
        <w:trPr>
          <w:trHeight w:val="257"/>
        </w:trPr>
        <w:tc>
          <w:tcPr>
            <w:tcW w:w="7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expense</w:t>
            </w:r>
          </w:p>
        </w:tc>
        <w:tc>
          <w:tcPr>
            <w:tcW w:w="1040" w:type="dxa"/>
            <w:vAlign w:val="bottom"/>
            <w:tcBorders>
              <w:top w:val="single" w:sz="8" w:color="auto"/>
            </w:tcBorders>
            <w:shd w:val="clear" w:color="auto" w:fill="CFF0FC"/>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w:t>
            </w:r>
          </w:p>
        </w:tc>
        <w:tc>
          <w:tcPr>
            <w:tcW w:w="660" w:type="dxa"/>
            <w:vAlign w:val="bottom"/>
            <w:tcBorders>
              <w:top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color w:val="auto"/>
              </w:rPr>
              <w:t>290</w:t>
            </w:r>
          </w:p>
        </w:tc>
        <w:tc>
          <w:tcPr>
            <w:tcW w:w="200" w:type="dxa"/>
            <w:vAlign w:val="bottom"/>
            <w:shd w:val="clear" w:color="auto" w:fill="CFF0FC"/>
          </w:tcPr>
          <w:p>
            <w:pPr>
              <w:spacing w:after="0"/>
              <w:rPr>
                <w:sz w:val="22"/>
                <w:szCs w:val="22"/>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300</w:t>
            </w:r>
          </w:p>
        </w:tc>
      </w:tr>
      <w:tr>
        <w:trPr>
          <w:trHeight w:val="20"/>
        </w:trPr>
        <w:tc>
          <w:tcPr>
            <w:tcW w:w="7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1289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information related to the Company’s leases is as follows (in thousands, except term and discount rate amounts):</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center"/>
              <w:ind w:left="619"/>
              <w:spacing w:after="0"/>
              <w:rPr>
                <w:sz w:val="20"/>
                <w:szCs w:val="20"/>
                <w:color w:val="auto"/>
              </w:rPr>
            </w:pPr>
            <w:r>
              <w:rPr>
                <w:rFonts w:ascii="Arial" w:cs="Arial" w:eastAsia="Arial" w:hAnsi="Arial"/>
                <w:sz w:val="14"/>
                <w:szCs w:val="14"/>
                <w:b w:val="1"/>
                <w:bCs w:val="1"/>
                <w:color w:val="auto"/>
                <w:w w:val="93"/>
              </w:rPr>
              <w:t>Six Months Ended</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7600" w:type="dxa"/>
            <w:vAlign w:val="bottom"/>
          </w:tcPr>
          <w:p>
            <w:pPr>
              <w:ind w:left="75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639"/>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7600" w:type="dxa"/>
            <w:vAlign w:val="bottom"/>
          </w:tcPr>
          <w:p>
            <w:pPr>
              <w:ind w:left="754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2023</w:t>
            </w:r>
          </w:p>
        </w:tc>
        <w:tc>
          <w:tcPr>
            <w:tcW w:w="6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71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remaining lease term</w:t>
            </w: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3.42 years</w:t>
            </w:r>
          </w:p>
        </w:tc>
        <w:tc>
          <w:tcPr>
            <w:tcW w:w="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4.41 years</w:t>
            </w:r>
          </w:p>
        </w:tc>
        <w:tc>
          <w:tcPr>
            <w:tcW w:w="20" w:type="dxa"/>
            <w:vAlign w:val="bottom"/>
          </w:tcPr>
          <w:p>
            <w:pPr>
              <w:spacing w:after="0"/>
              <w:rPr>
                <w:sz w:val="20"/>
                <w:szCs w:val="20"/>
                <w:color w:val="auto"/>
              </w:rPr>
            </w:pPr>
          </w:p>
        </w:tc>
      </w:tr>
      <w:tr>
        <w:trPr>
          <w:trHeight w:val="237"/>
        </w:trPr>
        <w:tc>
          <w:tcPr>
            <w:tcW w:w="760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9.9 %</w:t>
            </w: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5.5 %</w:t>
            </w:r>
          </w:p>
        </w:tc>
        <w:tc>
          <w:tcPr>
            <w:tcW w:w="20" w:type="dxa"/>
            <w:vAlign w:val="bottom"/>
          </w:tcPr>
          <w:p>
            <w:pPr>
              <w:spacing w:after="0"/>
              <w:rPr>
                <w:sz w:val="20"/>
                <w:szCs w:val="20"/>
                <w:color w:val="auto"/>
              </w:rPr>
            </w:pPr>
          </w:p>
        </w:tc>
      </w:tr>
      <w:tr>
        <w:trPr>
          <w:trHeight w:val="249"/>
        </w:trPr>
        <w:tc>
          <w:tcPr>
            <w:tcW w:w="7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7600" w:type="dxa"/>
            <w:vAlign w:val="bottom"/>
          </w:tcPr>
          <w:p>
            <w:pPr>
              <w:ind w:left="200"/>
              <w:spacing w:after="0"/>
              <w:rPr>
                <w:sz w:val="20"/>
                <w:szCs w:val="20"/>
                <w:color w:val="auto"/>
              </w:rPr>
            </w:pPr>
            <w:r>
              <w:rPr>
                <w:rFonts w:ascii="Arial" w:cs="Arial" w:eastAsia="Arial" w:hAnsi="Arial"/>
                <w:sz w:val="18"/>
                <w:szCs w:val="18"/>
                <w:color w:val="auto"/>
              </w:rPr>
              <w:t>Operating cash flows used in operating leases</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59"/>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20"/>
                <w:szCs w:val="20"/>
                <w:color w:val="auto"/>
              </w:rPr>
            </w:pPr>
          </w:p>
        </w:tc>
        <w:tc>
          <w:tcPr>
            <w:tcW w:w="7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5"/>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0"/>
                <w:szCs w:val="20"/>
                <w:color w:val="auto"/>
              </w:rPr>
            </w:pPr>
          </w:p>
        </w:tc>
      </w:tr>
    </w:tbl>
    <w:p>
      <w:pPr>
        <w:spacing w:after="0" w:line="322" w:lineRule="exact"/>
        <w:rPr>
          <w:sz w:val="20"/>
          <w:szCs w:val="20"/>
          <w:color w:val="auto"/>
        </w:rPr>
      </w:pPr>
    </w:p>
    <w:p>
      <w:pPr>
        <w:jc w:val="both"/>
        <w:ind w:right="20" w:firstLine="509"/>
        <w:spacing w:after="0" w:line="277" w:lineRule="auto"/>
        <w:rPr>
          <w:sz w:val="20"/>
          <w:szCs w:val="20"/>
          <w:color w:val="auto"/>
        </w:rPr>
      </w:pPr>
      <w:r>
        <w:rPr>
          <w:rFonts w:ascii="Arial" w:cs="Arial" w:eastAsia="Arial" w:hAnsi="Arial"/>
          <w:sz w:val="18"/>
          <w:szCs w:val="18"/>
          <w:color w:val="auto"/>
        </w:rPr>
        <w:t>A maturity analysis of the annual undiscounted cash flows reconciled to the carrying value of the operating lease liabilities as of June 30, 2023, reflective of the Company’s election to account for lease and non-lease components together, is as follows (in thousands):</w:t>
      </w:r>
    </w:p>
    <w:p>
      <w:pPr>
        <w:spacing w:after="0" w:line="310" w:lineRule="exact"/>
        <w:rPr>
          <w:sz w:val="20"/>
          <w:szCs w:val="20"/>
          <w:color w:val="auto"/>
        </w:rPr>
      </w:pPr>
    </w:p>
    <w:p>
      <w:pPr>
        <w:ind w:left="20"/>
        <w:spacing w:after="0"/>
        <w:tabs>
          <w:tab w:leader="none" w:pos="9040" w:val="left"/>
          <w:tab w:leader="none" w:pos="9580" w:val="left"/>
        </w:tabs>
        <w:rPr>
          <w:sz w:val="20"/>
          <w:szCs w:val="20"/>
          <w:color w:val="auto"/>
        </w:rPr>
      </w:pPr>
      <w:r>
        <w:rPr>
          <w:rFonts w:ascii="Arial" w:cs="Arial" w:eastAsia="Arial" w:hAnsi="Arial"/>
          <w:sz w:val="14"/>
          <w:szCs w:val="14"/>
          <w:b w:val="1"/>
          <w:bCs w:val="1"/>
          <w:color w:val="auto"/>
        </w:rPr>
        <w:t>Year Ending December 31,</w:t>
      </w:r>
      <w:r>
        <w:rPr>
          <w:sz w:val="20"/>
          <w:szCs w:val="20"/>
          <w:color w:val="auto"/>
        </w:rPr>
        <w:tab/>
      </w:r>
      <w:r>
        <w:rPr>
          <w:rFonts w:ascii="Arial" w:cs="Arial" w:eastAsia="Arial" w:hAnsi="Arial"/>
          <w:sz w:val="14"/>
          <w:szCs w:val="14"/>
          <w:b w:val="1"/>
          <w:bCs w:val="1"/>
          <w:color w:val="auto"/>
        </w:rPr>
        <w:t>​</w:t>
      </w:r>
      <w:r>
        <w:rPr>
          <w:sz w:val="20"/>
          <w:szCs w:val="20"/>
          <w:color w:val="auto"/>
        </w:rPr>
        <w:tab/>
      </w:r>
      <w:r>
        <w:rPr>
          <w:rFonts w:ascii="Arial" w:cs="Arial" w:eastAsia="Arial" w:hAnsi="Arial"/>
          <w:sz w:val="12"/>
          <w:szCs w:val="12"/>
          <w:b w:val="1"/>
          <w:bCs w:val="1"/>
          <w:color w:val="auto"/>
        </w:rPr>
        <w:t>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sectPr>
      </w:pP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Remaining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2024</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2026</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imputed interest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Present value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149</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789</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850</w:t>
      </w:r>
    </w:p>
    <w:p>
      <w:pPr>
        <w:spacing w:after="0" w:line="36" w:lineRule="exact"/>
        <w:rPr>
          <w:sz w:val="20"/>
          <w:szCs w:val="20"/>
          <w:color w:val="auto"/>
        </w:rPr>
      </w:pPr>
    </w:p>
    <w:p>
      <w:pPr>
        <w:spacing w:after="0"/>
        <w:tabs>
          <w:tab w:leader="none" w:pos="1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729</w:t>
      </w:r>
    </w:p>
    <w:p>
      <w:pPr>
        <w:spacing w:after="0" w:line="36"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2,517</w:t>
      </w:r>
    </w:p>
    <w:p>
      <w:pPr>
        <w:spacing w:after="0" w:line="36"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(424 )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13030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03020" cy="8890"/>
                    </a:xfrm>
                    <a:prstGeom prst="rect">
                      <a:avLst/>
                    </a:prstGeom>
                    <a:noFill/>
                  </pic:spPr>
                </pic:pic>
              </a:graphicData>
            </a:graphic>
          </wp:anchor>
        </w:drawing>
      </w:r>
    </w:p>
    <w:p>
      <w:pPr>
        <w:spacing w:after="0"/>
        <w:tabs>
          <w:tab w:leader="none" w:pos="1480" w:val="left"/>
        </w:tabs>
        <w:rPr>
          <w:sz w:val="20"/>
          <w:szCs w:val="20"/>
          <w:color w:val="auto"/>
        </w:rPr>
      </w:pPr>
      <w:r>
        <w:rPr>
          <w:rFonts w:ascii="Arial" w:cs="Arial" w:eastAsia="Arial" w:hAnsi="Arial"/>
          <w:sz w:val="35"/>
          <w:szCs w:val="35"/>
          <w:color w:val="auto"/>
          <w:vertAlign w:val="subscript"/>
        </w:rPr>
        <w:t>​</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2,093</w:t>
      </w:r>
    </w:p>
    <w:p>
      <w:pPr>
        <w:spacing w:after="0" w:line="200" w:lineRule="exact"/>
        <w:rPr>
          <w:sz w:val="20"/>
          <w:szCs w:val="20"/>
          <w:color w:val="auto"/>
        </w:rPr>
      </w:pPr>
    </w:p>
    <w:p>
      <w:pPr>
        <w:sectPr>
          <w:pgSz w:w="11900" w:h="16838" w:orient="portrait"/>
          <w:cols w:equalWidth="0" w:num="2">
            <w:col w:w="8460" w:space="720"/>
            <w:col w:w="2080"/>
          </w:cols>
          <w:pgMar w:left="320" w:top="233" w:right="319" w:bottom="1440" w:gutter="0" w:footer="0" w:header="0"/>
          <w:type w:val="continuous"/>
        </w:sect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landlord of the Company’s leased office space in Watertown, Massachusetts is a related party of the Company due to its equity ownership.</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February 2023, certain existing investors participated in the Company’s registered direct offering (see Note 10).</w:t>
      </w:r>
    </w:p>
    <w:p>
      <w:pPr>
        <w:spacing w:after="0" w:line="117"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In March 2023, the Company executed a promissory note for an aggregate principal amount of $0.5 million from an existing investor. The Company did not use these funds and repaid the note four days later, recording a de minimis amount of interest expense based on the then Federal funds rate for short term loans of 4.5% per annum.</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33" w:right="319" w:bottom="1440" w:gutter="0" w:footer="0" w:header="0"/>
          <w:type w:val="continuous"/>
        </w:sectPr>
      </w:pPr>
    </w:p>
    <w:bookmarkStart w:id="22" w:name="page23"/>
    <w:bookmarkEnd w:id="22"/>
    <w:p>
      <w:pPr>
        <w:ind w:left="520"/>
        <w:spacing w:after="0"/>
        <w:rPr>
          <w:sz w:val="20"/>
          <w:szCs w:val="20"/>
          <w:color w:val="auto"/>
        </w:rPr>
      </w:pPr>
      <w:r>
        <w:rPr>
          <w:rFonts w:ascii="Arial" w:cs="Arial" w:eastAsia="Arial" w:hAnsi="Arial"/>
          <w:sz w:val="18"/>
          <w:szCs w:val="18"/>
          <w:color w:val="auto"/>
        </w:rPr>
        <w:t>In June 2023, an existing investor participated in the Company’s follow-on offering (see Note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The Company has completed an evaluation of all subsequent events after the unaudited condensed consolidated balance sheet date of June 30, 2023 through the date these condensed consolidated financial statements were issued to ensure that these condensed consolidated financial statements include appropriate disclosure of events both recognized in the condensed consolidated financial statements as of June 30, 2023, and events which occurred subsequently but were not recognized in the condensed consolidated financial statements. The Company had no non-recognizable subsequent events.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the unaudited condensed consolidated financial statements and notes thereto included elsewhere in this Quarterly Report on Form 10-Q and the audited consolidated financial statements and notes thereto included in our Annual Report on Form 10-K for the year ended December 31, 2022. Please refer to our note regarding forward-looking statements under the caption “Forward Looking Statements” of this Quarterly Report on Form 10-Q, which is incorporated herein by this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509"/>
        <w:spacing w:after="0" w:line="270" w:lineRule="auto"/>
        <w:rPr>
          <w:sz w:val="20"/>
          <w:szCs w:val="20"/>
          <w:color w:val="auto"/>
        </w:rPr>
      </w:pPr>
      <w:r>
        <w:rPr>
          <w:rFonts w:ascii="Arial" w:cs="Arial" w:eastAsia="Arial" w:hAnsi="Arial"/>
          <w:sz w:val="17"/>
          <w:szCs w:val="17"/>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81" w:lineRule="exact"/>
        <w:rPr>
          <w:sz w:val="20"/>
          <w:szCs w:val="20"/>
          <w:color w:val="auto"/>
        </w:rPr>
      </w:pPr>
    </w:p>
    <w:p>
      <w:pPr>
        <w:ind w:right="40" w:firstLine="509"/>
        <w:spacing w:after="0" w:line="287" w:lineRule="auto"/>
        <w:rPr>
          <w:sz w:val="20"/>
          <w:szCs w:val="20"/>
          <w:color w:val="auto"/>
        </w:rPr>
      </w:pPr>
      <w:r>
        <w:rPr>
          <w:rFonts w:ascii="Arial" w:cs="Arial" w:eastAsia="Arial" w:hAnsi="Arial"/>
          <w:sz w:val="16"/>
          <w:szCs w:val="16"/>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planning to initially develop bitopertin for the treatment of EPs, including EPP and XLP. In July 2022, we initiated BEACON, a Phase 2 open-label, parallel-dose clinical trial of bitopertin in EPP and XLP patients that is being conducted at sites in Australia. Separately, in July 2022, we received clearance of our Investigational New Drug application, or IND, from the U.S. Food and Drug Administration, or FDA, for, and in October 2022 we initiated, AURORA, a Phase 2, randomized, double-blind, placebo-controlled clinical trial of bitopertin in EPP patients that is being conducted at sites in the United States. We presented positive initial data from BEACON in June of 2023 at the European Hematology Association 2023 Congress, and we expect BEACON data from all patients to be presented year-end 2023 and AURORA topline data by early 2024. We entered into a collaborative research and development agreement with the National Institutes of Health, or NIH, to conduct an NIH-sponsored clinical trial of bitopertin in DBA. The FDA authorized the clinical trial to proceed and we announced on July 27, 2023 that the first patient was enrolled in this trial. We are planning additional trials of bitopertin in other indications.</w:t>
      </w:r>
    </w:p>
    <w:p>
      <w:pPr>
        <w:spacing w:after="0" w:line="172" w:lineRule="exact"/>
        <w:rPr>
          <w:sz w:val="20"/>
          <w:szCs w:val="20"/>
          <w:color w:val="auto"/>
        </w:rPr>
      </w:pPr>
    </w:p>
    <w:p>
      <w:pPr>
        <w:ind w:right="140" w:firstLine="509"/>
        <w:spacing w:after="0" w:line="270" w:lineRule="auto"/>
        <w:rPr>
          <w:sz w:val="20"/>
          <w:szCs w:val="20"/>
          <w:color w:val="auto"/>
        </w:rPr>
      </w:pPr>
      <w:r>
        <w:rPr>
          <w:rFonts w:ascii="Arial" w:cs="Arial" w:eastAsia="Arial" w:hAnsi="Arial"/>
          <w:sz w:val="17"/>
          <w:szCs w:val="17"/>
          <w:color w:val="auto"/>
        </w:rPr>
        <w:t>DISC-0974 is the lead product candidate in our iron homeostasis portfolio.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expect initial data from both of these trials by end of 2023. In addition, we are developing a preclinical anti-hemojuvelin, or HJV, monoclonal antibody, DISC-0998, which also targets hepcidin suppression and was in-licensed from AbbVie Deutschland GmbH &amp; Co. KG, or AbbVie. DISC-0998 is designed to increase serum iron levels and has an extended serum half-life as compared to DISC-0974. We believe this profile may be desirable in certain subsets of patients with anemia associated with inflammatory diseases.</w:t>
      </w:r>
    </w:p>
    <w:p>
      <w:pPr>
        <w:spacing w:after="0" w:line="181" w:lineRule="exact"/>
        <w:rPr>
          <w:sz w:val="20"/>
          <w:szCs w:val="20"/>
          <w:color w:val="auto"/>
        </w:rPr>
      </w:pPr>
    </w:p>
    <w:p>
      <w:pPr>
        <w:ind w:right="260" w:firstLine="509"/>
        <w:spacing w:after="0" w:line="279" w:lineRule="auto"/>
        <w:rPr>
          <w:sz w:val="20"/>
          <w:szCs w:val="20"/>
          <w:color w:val="auto"/>
        </w:rPr>
      </w:pPr>
      <w:r>
        <w:rPr>
          <w:rFonts w:ascii="Arial" w:cs="Arial" w:eastAsia="Arial" w:hAnsi="Arial"/>
          <w:sz w:val="17"/>
          <w:szCs w:val="17"/>
          <w:color w:val="auto"/>
        </w:rPr>
        <w:t>Lastly, we are developing MWTX-003, a monoclonal antibody against Transmembrane Serine Protease 6, or TMPRSS6, that we licensed from Mabwell Therapeutics, Inc., or Mabwell. MWTX-003 is part of our iron homeostasis portfolio and is designed to induce hepcidin production and reduce serum iron levels. An IND for MWTX-003 has been cleared by the FDA, and we plan to initiate a Phase 1 clinical trial in healthy adult volunteers in the second half of 2023. We expect to develop MWTX-003 for the treatment of PV and other hematologic disorders.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Merger with Gemini</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On August 9, 2022, Disc Medicine, Inc., a Delaware corporation, or Private Disc, entered into an Agreement and Plan of Merger and Reorganization, or the Merger Agreement, with Gemini Therapeutics, Inc., a Delaware corporation, or Gemini, Gemstone Merger Sub, Inc., a Delaware corporation and a wholly owned subsidiary of Gemini, or Merger Sub.</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both"/>
        <w:ind w:firstLine="509"/>
        <w:spacing w:after="0" w:line="263" w:lineRule="auto"/>
        <w:rPr>
          <w:sz w:val="20"/>
          <w:szCs w:val="20"/>
          <w:color w:val="auto"/>
        </w:rPr>
      </w:pPr>
      <w:r>
        <w:rPr>
          <w:rFonts w:ascii="Arial" w:cs="Arial" w:eastAsia="Arial" w:hAnsi="Arial"/>
          <w:sz w:val="18"/>
          <w:szCs w:val="18"/>
          <w:color w:val="auto"/>
        </w:rPr>
        <w:t>On December 29, 2022, Private Disc completed the merger with Gemini, or the merger. Gemini changed its name to Disc Medicine Inc., and Private Disc changed its name to Disc Medicine Opco, Inc., a wholly-owned subsidiary of Disc Medicine, Inc. On December 30, 2022, our common stock began trading on The Nasdaq Capital Market under the ticker symbol “IRON.”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not generated any revenue since our inception and do not expect to generate any revenue from the sale of products in the near future, if at all. If our development efforts are successful and result in commercialization of one or more product candidates or if we enter into collaboration or license agreements with third parties, we may generate revenue in the future from product sales, payments from such collaboration or license agreements or a combination thereof.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consist primarily of costs incurred in connection with the research and development of our product candidates.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expenses include:</w:t>
      </w:r>
    </w:p>
    <w:p>
      <w:pPr>
        <w:spacing w:after="0" w:line="103" w:lineRule="exact"/>
        <w:rPr>
          <w:sz w:val="20"/>
          <w:szCs w:val="20"/>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employee-related expenses, including salaries, benefits, and stock-based compensation expense, for personnel engaged in research and development functions;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expenses incurred in connection with our research and development activities, including under agreements with third parties such as consultants, contractors and CROs;</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contract development and manufacturing organizations, or CDMOs, that are primarily engaged to provide drug substance and product for our preclinical studies, clinical trials and research and development programs, as well as investigative sites and consultants that conduct our clinical trials, preclinical studies and other scientific development services;</w:t>
      </w:r>
    </w:p>
    <w:p>
      <w:pPr>
        <w:spacing w:after="0" w:line="7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costs of acquiring and manufacturing preclinical study and clinical trial materials, including manufacturing registration and validation batches;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related to compliance with quality and regulatory requirements;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payments made under third-party licensing agreements.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expense research and development costs as incurred. Costs incurred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may be reflected in our condensed consolidated financial statements as prepaid or accrued expenses. Nonrefundable advance payments for goods or services to be received in the future for use in research and development activities are recorded as prepaid expenses and expensed as the related goods are delivered or the services are performed or when it is no longer expected that the goods will be delivered or the services rendered.</w:t>
      </w:r>
    </w:p>
    <w:p>
      <w:pPr>
        <w:spacing w:after="0" w:line="84"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typically use our employee and infrastructure resources across product candidates and development programs. We track outsourced development costs by product candidate or development program, but we do not allocate personnel costs or other internal costs to specific product candidates or development programs.</w:t>
      </w:r>
    </w:p>
    <w:p>
      <w:pPr>
        <w:spacing w:after="0" w:line="76"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expect that our research and development expenses will increase substantially as we advance our programs into and through clinical development. At this time, we cannot accurately estimate or know the nature, timing and costs of the efforts that will be necessary to complete the preclinical and clinical development of any product candidates we may develop. A change in the outcome of any number of variables with respect to product candidates we may develop could significantly change the costs and timing associated with the development of that product candidate. We may never succeed in obtaining regulatory approval for any product candidates we may develop. The successful development of any product candidate is highly uncertain. This is due to the numerous risks and uncertainties associated with product development, including the following:</w:t>
      </w:r>
    </w:p>
    <w:p>
      <w:pPr>
        <w:spacing w:after="0" w:line="70" w:lineRule="exact"/>
        <w:rPr>
          <w:sz w:val="20"/>
          <w:szCs w:val="20"/>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new licensing or collaboration arrangements and the progress of the development efforts of third parties with whom we may enter into such arrangements;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25" w:name="page26"/>
    <w:bookmarkEnd w:id="25"/>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of raw materials for use in production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protection and regulatory exclusivity, both in the United States and internationally;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and maintaining third-party insurance coverage and adequate reimbursement for any approved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consist primarily of salaries and related costs for personnel in executive, finance, corporate and business development, and administrative functions. General and administrative expenses also include legal fees relating to patent and corporate matters, including noncapitalizable transaction costs; professional fees for accounting, auditing, tax and administrative consulting services; insurance costs, facility related expenses including maintenance and allocated expenses for rent and other operating costs.</w:t>
      </w:r>
    </w:p>
    <w:p>
      <w:pPr>
        <w:spacing w:after="0" w:line="79"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anticipate that our general and administrative expenses will increase substantially in the future as we increase our headcount to support our continued research and development and potential commercialization of our product candidates. We also expect that we will incur increased expenses associated with being a public company, including costs of accounting, audit, legal, regulatory and tax compliance services, director and officer insurance costs and investor and public relations expenses.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Interest income primarily consists of interest earned on cash equivalents, consisting of money market funds, U.S. treasury notes and certificates of deposit.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Contingent Value Right Liability</w:t>
      </w:r>
    </w:p>
    <w:p>
      <w:pPr>
        <w:spacing w:after="0" w:line="225" w:lineRule="exact"/>
        <w:rPr>
          <w:sz w:val="20"/>
          <w:szCs w:val="20"/>
          <w:color w:val="auto"/>
        </w:rPr>
      </w:pPr>
    </w:p>
    <w:p>
      <w:pPr>
        <w:ind w:right="40" w:firstLine="509"/>
        <w:spacing w:after="0" w:line="296" w:lineRule="auto"/>
        <w:rPr>
          <w:sz w:val="20"/>
          <w:szCs w:val="20"/>
          <w:color w:val="auto"/>
        </w:rPr>
      </w:pPr>
      <w:r>
        <w:rPr>
          <w:rFonts w:ascii="Arial" w:cs="Arial" w:eastAsia="Arial" w:hAnsi="Arial"/>
          <w:sz w:val="16"/>
          <w:szCs w:val="16"/>
          <w:color w:val="auto"/>
        </w:rPr>
        <w:t>In December 2022, we entered into the CVR Agreement, described in more detail in Notes 1 and 4 to our unaudited condensed consolidated financial statements, which provided a CVR to Gemini’s pre-merger common stockholders to receive common stock from the Company upon its receipt of certain proceeds, calculated in accordance with the CVR Agreement, resulting from a disposition of Gemini’s pre-merger assets within one year after the closing of the merger. The CVR liability was measured at fair value as of each reporting date and the change in the fair value for the period was recorded in the condensed consolidated statements of operations and comprehensive loss in the change in fair value of contingent value right liability.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Fair Value of Derivative Liability</w:t>
      </w:r>
    </w:p>
    <w:p>
      <w:pPr>
        <w:spacing w:after="0" w:line="117"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In May 2021, we entered into the Roche Agreement, described in more detail in Notes 4 and 8 to our unaudited condensed consolidated financial statements, which included an obligation to issue a variable number of shares of our common stock to Roche for no additional consideration upon the completion of a Roche Qualified Transaction as defined by the Roche Agreement. The liability was measured at fair value as of each reporting date and the change in the fair value for the period was recorded in the condensed consolidated statements of operations and comprehensive loss in the change in fair value of derivative liability. The liability was settled upon the completion of the merger on December 29, 2022.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2023 and 2022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1"/>
              <w:spacing w:after="0"/>
              <w:rPr>
                <w:sz w:val="20"/>
                <w:szCs w:val="20"/>
                <w:color w:val="auto"/>
              </w:rPr>
            </w:pPr>
            <w:r>
              <w:rPr>
                <w:rFonts w:ascii="Arial" w:cs="Arial" w:eastAsia="Arial" w:hAnsi="Arial"/>
                <w:sz w:val="14"/>
                <w:szCs w:val="14"/>
                <w:b w:val="1"/>
                <w:bCs w:val="1"/>
                <w:color w:val="auto"/>
              </w:rPr>
              <w:t>Change</w:t>
            </w: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spacing w:after="0"/>
              <w:rPr>
                <w:sz w:val="20"/>
                <w:szCs w:val="20"/>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12,100</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7,714</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4,386</w:t>
            </w: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5,228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4,301</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927</w:t>
            </w: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36"/>
        </w:trPr>
        <w:tc>
          <w:tcPr>
            <w:tcW w:w="64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17,328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12,015</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5,313</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(17,328 )</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(12,015 )</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(5,313 )</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2,910</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45</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2,865</w:t>
            </w: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Change in fair value of contingent value right liability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(1,500 )</w:t>
            </w: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2,390</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(2,390 )</w:t>
            </w: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1,405</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2,435</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(1,030 )</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(15,923 )</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(9,580 )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(6,343 )</w:t>
            </w:r>
          </w:p>
        </w:tc>
      </w:tr>
      <w:tr>
        <w:trPr>
          <w:trHeight w:val="236"/>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(24 )</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line="242"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(15,947 )</w:t>
            </w:r>
          </w:p>
        </w:tc>
        <w:tc>
          <w:tcPr>
            <w:tcW w:w="4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(9,580 )</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(6,367 )</w:t>
            </w: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-1773555</wp:posOffset>
            </wp:positionV>
            <wp:extent cx="120015"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-1773555</wp:posOffset>
            </wp:positionV>
            <wp:extent cx="111125" cy="1714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120015"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-513715</wp:posOffset>
            </wp:positionV>
            <wp:extent cx="111125" cy="171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research and development expenses for the three months ended June 30, 2023 and 2022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Bitopertin</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4,179</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2,092</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2,087</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DISC-0974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2,112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2,191</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MWTX-003</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526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526</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3,468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2,105</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1,363</w:t>
            </w: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research programs and expenses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1,815</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1,326</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489</w:t>
            </w: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36"/>
        </w:trPr>
        <w:tc>
          <w:tcPr>
            <w:tcW w:w="648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12,100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7,714</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4,386</w:t>
            </w: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Research and development expenses were $12.1 million for the three months ended June 30, 2023, compared to $7.7 million for the three months ended June 30, 2022. The increase of $4.4 million in research and development expenses was primarily due to a $2.1 million increase in bitopertin development expense related to increased clinical study and drug manufacturing activity, as well as a $1.4 million increase in personnel-related costs related to higher research and development headcount.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general and administrative expenses for the three months ended June 30, 2023 and 2022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June 30,</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2,495</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1,093</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1,402</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Legal, consulting and professional fees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1,791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2,988</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(1,197 )</w:t>
            </w: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942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220</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722</w:t>
            </w: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36"/>
        </w:trPr>
        <w:tc>
          <w:tcPr>
            <w:tcW w:w="6480" w:type="dxa"/>
            <w:vAlign w:val="bottom"/>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320" w:type="dxa"/>
            <w:vAlign w:val="bottom"/>
          </w:tcPr>
          <w:p>
            <w:pPr>
              <w:spacing w:after="0" w:line="236"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5"/>
                <w:szCs w:val="15"/>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5,228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4,301</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927</w:t>
            </w: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82"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General and administrative expenses were $5.2 million for the three months ended June 30, 2023, compared to $4.3 million for the three months ended June 30, 2022. The increase of $0.9 million in general and administrative expenses was primarily due to an increase of $1.4 million in personnel-related costs due to higher general and administrative headcount, offset by a decrease of $1.2 million in legal, consulting and professional fees primarily due to the recognition of $2.2 million of deferred transaction costs in June 2022 related to a planned equity financing that was superseded by the merger.</w:t>
      </w:r>
    </w:p>
    <w:p>
      <w:pPr>
        <w:sectPr>
          <w:pgSz w:w="11900" w:h="16838" w:orient="portrait"/>
          <w:cols w:equalWidth="0" w:num="1">
            <w:col w:w="11240"/>
          </w:cols>
          <w:pgMar w:left="320" w:top="337" w:right="339" w:bottom="1440" w:gutter="0" w:footer="0" w:header="0"/>
        </w:sectPr>
      </w:pP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Other income (expense), net was $1.4 million for the three months ended June 30, 2023, compared to $2.4 million for the three months ended June 30, 2022. The change of $1.0 million was primarily due to the changes in fair value of the derivative and contingent value right liabilities, partially offset by an increase in interest income based on a larger cash and cash equivalents balance and higher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Income tax expense was less than $0.1 million for the three months ended June 30, 2023, compared to no expense for the three months ended June 30, 2022. The increase in expense relates to state income tax resulting from the increase in interest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2023 and 2022</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2023 and 2022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73"/>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13"/>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69"/>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jc w:val="right"/>
              <w:ind w:right="551"/>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jc w:val="center"/>
              <w:ind w:right="293"/>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1"/>
              <w:spacing w:after="0"/>
              <w:rPr>
                <w:sz w:val="20"/>
                <w:szCs w:val="20"/>
                <w:color w:val="auto"/>
              </w:rPr>
            </w:pPr>
            <w:r>
              <w:rPr>
                <w:rFonts w:ascii="Arial" w:cs="Arial" w:eastAsia="Arial" w:hAnsi="Arial"/>
                <w:sz w:val="14"/>
                <w:szCs w:val="14"/>
                <w:b w:val="1"/>
                <w:bCs w:val="1"/>
                <w:color w:val="auto"/>
              </w:rPr>
              <w:t>Change</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spacing w:after="0"/>
              <w:rPr>
                <w:sz w:val="20"/>
                <w:szCs w:val="20"/>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32,280</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15,535</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16,745</w:t>
            </w: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10,173</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6,440</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3,733</w:t>
            </w: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37"/>
        </w:trPr>
        <w:tc>
          <w:tcPr>
            <w:tcW w:w="648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42,453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21,975</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1"/>
              <w:spacing w:after="0"/>
              <w:rPr>
                <w:sz w:val="20"/>
                <w:szCs w:val="20"/>
                <w:color w:val="auto"/>
              </w:rPr>
            </w:pPr>
            <w:r>
              <w:rPr>
                <w:rFonts w:ascii="Arial" w:cs="Arial" w:eastAsia="Arial" w:hAnsi="Arial"/>
                <w:sz w:val="18"/>
                <w:szCs w:val="18"/>
                <w:color w:val="auto"/>
              </w:rPr>
              <w:t>20,478</w:t>
            </w:r>
          </w:p>
        </w:tc>
      </w:tr>
      <w:tr>
        <w:trPr>
          <w:trHeight w:val="23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(42,453 )</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(21,975 )</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(20,478 )</w:t>
            </w: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0"/>
                <w:szCs w:val="20"/>
                <w:color w:val="auto"/>
              </w:rPr>
            </w:pP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5,277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52</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5,225</w:t>
            </w: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Change in fair value of contingent value right liability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(1,500 )</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(1,500 )</w:t>
            </w:r>
          </w:p>
        </w:tc>
      </w:tr>
      <w:tr>
        <w:trPr>
          <w:trHeight w:val="249"/>
        </w:trPr>
        <w:tc>
          <w:tcPr>
            <w:tcW w:w="6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Change in fair value of derivative liability</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2,490</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(2,490 )</w:t>
            </w: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Other expense</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4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other income (expense), net</w:t>
            </w:r>
          </w:p>
        </w:tc>
        <w:tc>
          <w:tcPr>
            <w:tcW w:w="32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3,772</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2,542</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1,230</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(38,681 )</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(19,433 )</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(19,248 )</w:t>
            </w:r>
          </w:p>
        </w:tc>
      </w:tr>
      <w:tr>
        <w:trPr>
          <w:trHeight w:val="236"/>
        </w:trPr>
        <w:tc>
          <w:tcPr>
            <w:tcW w:w="6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FF0FC"/>
          </w:tcPr>
          <w:p>
            <w:pPr>
              <w:spacing w:after="0"/>
              <w:rPr>
                <w:sz w:val="20"/>
                <w:szCs w:val="20"/>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(47 )</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Pr>
          <w:p>
            <w:pPr>
              <w:spacing w:after="0" w:line="242"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(38,728 )</w:t>
            </w:r>
          </w:p>
        </w:tc>
        <w:tc>
          <w:tcPr>
            <w:tcW w:w="4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(19,433 )</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(19,295 )</w:t>
            </w: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-1774190</wp:posOffset>
            </wp:positionV>
            <wp:extent cx="120015"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-1774190</wp:posOffset>
            </wp:positionV>
            <wp:extent cx="11112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-513715</wp:posOffset>
            </wp:positionV>
            <wp:extent cx="12001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0015" cy="17145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-513715</wp:posOffset>
            </wp:positionV>
            <wp:extent cx="11112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125" cy="17145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research and development expenses for the six months ended June 30, 2023 and 2022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75"/>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315"/>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tcPr>
          <w:p>
            <w:pPr>
              <w:jc w:val="right"/>
              <w:ind w:right="5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295"/>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Bitopertin</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6,762</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75"/>
              <w:spacing w:after="0"/>
              <w:rPr>
                <w:sz w:val="20"/>
                <w:szCs w:val="20"/>
                <w:color w:val="auto"/>
              </w:rPr>
            </w:pPr>
            <w:r>
              <w:rPr>
                <w:rFonts w:ascii="Arial" w:cs="Arial" w:eastAsia="Arial" w:hAnsi="Arial"/>
                <w:sz w:val="18"/>
                <w:szCs w:val="18"/>
                <w:color w:val="auto"/>
              </w:rPr>
              <w:t>4,447</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2,315</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DISC-0974</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4,627</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4,290</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MWTX-003</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10,567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10,567</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6,588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4,292</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2,296</w:t>
            </w: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research programs and expenses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3,736</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5"/>
              <w:spacing w:after="0"/>
              <w:rPr>
                <w:sz w:val="20"/>
                <w:szCs w:val="20"/>
                <w:color w:val="auto"/>
              </w:rPr>
            </w:pPr>
            <w:r>
              <w:rPr>
                <w:rFonts w:ascii="Arial" w:cs="Arial" w:eastAsia="Arial" w:hAnsi="Arial"/>
                <w:sz w:val="18"/>
                <w:szCs w:val="18"/>
                <w:color w:val="auto"/>
              </w:rPr>
              <w:t>2,506</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480" w:type="dxa"/>
            <w:vAlign w:val="bottom"/>
          </w:tcPr>
          <w:p>
            <w:pPr>
              <w:ind w:left="200"/>
              <w:spacing w:after="0"/>
              <w:rPr>
                <w:sz w:val="20"/>
                <w:szCs w:val="20"/>
                <w:color w:val="auto"/>
              </w:rPr>
            </w:pPr>
            <w:r>
              <w:rPr>
                <w:rFonts w:ascii="Arial" w:cs="Arial" w:eastAsia="Arial" w:hAnsi="Arial"/>
                <w:sz w:val="18"/>
                <w:szCs w:val="18"/>
                <w:color w:val="auto"/>
              </w:rPr>
              <w:t>Total research and development expenses</w:t>
            </w:r>
          </w:p>
        </w:tc>
        <w:tc>
          <w:tcPr>
            <w:tcW w:w="32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32,280</w:t>
            </w:r>
          </w:p>
        </w:tc>
        <w:tc>
          <w:tcPr>
            <w:tcW w:w="20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15,535</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16,745</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8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Research and development expenses were $32.3 million for the six months ended June 30, 2023, compared to $15.5 million for the six months ended June 30, 2022. The increase of $16.7 million in research and development expenses was primarily due to a $10.0 million upfront payment under the Mabwell license agreement, as well as a $2.3 million increase in personnel-related costs related to higher research and development headcount and a $2.3 million increase in bitopertin related to increased clinical study and drug manufacturing activity.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summarizes our general and administrative expenses for the six months ended June 30, 2023 and 2022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vMerge w:val="restart"/>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76"/>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center"/>
              <w:ind w:right="316"/>
              <w:spacing w:after="0"/>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480" w:type="dxa"/>
            <w:vAlign w:val="bottom"/>
          </w:tcPr>
          <w:p>
            <w:pPr>
              <w:ind w:left="6400"/>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6"/>
                <w:szCs w:val="16"/>
                <w:color w:val="auto"/>
              </w:rPr>
            </w:pPr>
          </w:p>
        </w:tc>
        <w:tc>
          <w:tcPr>
            <w:tcW w:w="114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296"/>
              <w:spacing w:after="0"/>
              <w:rPr>
                <w:sz w:val="20"/>
                <w:szCs w:val="20"/>
                <w:color w:val="auto"/>
              </w:rPr>
            </w:pPr>
            <w:r>
              <w:rPr>
                <w:rFonts w:ascii="Arial" w:cs="Arial" w:eastAsia="Arial" w:hAnsi="Arial"/>
                <w:sz w:val="14"/>
                <w:szCs w:val="14"/>
                <w:b w:val="1"/>
                <w:bCs w:val="1"/>
                <w:color w:val="auto"/>
                <w:w w:val="89"/>
              </w:rPr>
              <w:t>2022</w:t>
            </w:r>
          </w:p>
        </w:tc>
        <w:tc>
          <w:tcPr>
            <w:tcW w:w="44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47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Personnel-related (including equity-based compensation)</w:t>
            </w:r>
          </w:p>
        </w:tc>
        <w:tc>
          <w:tcPr>
            <w:tcW w:w="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4,577</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rPr>
              <w:t>2,288</w:t>
            </w:r>
          </w:p>
        </w:tc>
        <w:tc>
          <w:tcPr>
            <w:tcW w:w="16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37"/>
        </w:trPr>
        <w:tc>
          <w:tcPr>
            <w:tcW w:w="6480" w:type="dxa"/>
            <w:vAlign w:val="bottom"/>
          </w:tcPr>
          <w:p>
            <w:pPr>
              <w:ind w:left="20"/>
              <w:spacing w:after="0"/>
              <w:rPr>
                <w:sz w:val="20"/>
                <w:szCs w:val="20"/>
                <w:color w:val="auto"/>
              </w:rPr>
            </w:pPr>
            <w:r>
              <w:rPr>
                <w:rFonts w:ascii="Arial" w:cs="Arial" w:eastAsia="Arial" w:hAnsi="Arial"/>
                <w:sz w:val="18"/>
                <w:szCs w:val="18"/>
                <w:color w:val="auto"/>
              </w:rPr>
              <w:t>Legal, consulting and professional fees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3,719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3,777</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9"/>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expenses</w:t>
            </w:r>
          </w:p>
        </w:tc>
        <w:tc>
          <w:tcPr>
            <w:tcW w:w="3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1,877</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20" w:type="dxa"/>
            <w:vAlign w:val="bottom"/>
            <w:shd w:val="clear" w:color="auto" w:fill="CFF0FC"/>
          </w:tcPr>
          <w:p>
            <w:pPr>
              <w:jc w:val="right"/>
              <w:ind w:right="76"/>
              <w:spacing w:after="0"/>
              <w:rPr>
                <w:sz w:val="20"/>
                <w:szCs w:val="20"/>
                <w:color w:val="auto"/>
              </w:rPr>
            </w:pPr>
            <w:r>
              <w:rPr>
                <w:rFonts w:ascii="Arial" w:cs="Arial" w:eastAsia="Arial" w:hAnsi="Arial"/>
                <w:sz w:val="18"/>
                <w:szCs w:val="18"/>
                <w:color w:val="auto"/>
              </w:rPr>
              <w:t>375</w:t>
            </w:r>
          </w:p>
        </w:tc>
        <w:tc>
          <w:tcPr>
            <w:tcW w:w="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480" w:type="dxa"/>
            <w:vAlign w:val="bottom"/>
          </w:tcPr>
          <w:p>
            <w:pPr>
              <w:ind w:left="200"/>
              <w:spacing w:after="0"/>
              <w:rPr>
                <w:sz w:val="20"/>
                <w:szCs w:val="20"/>
                <w:color w:val="auto"/>
              </w:rPr>
            </w:pPr>
            <w:r>
              <w:rPr>
                <w:rFonts w:ascii="Arial" w:cs="Arial" w:eastAsia="Arial" w:hAnsi="Arial"/>
                <w:sz w:val="18"/>
                <w:szCs w:val="18"/>
                <w:color w:val="auto"/>
              </w:rPr>
              <w:t>Total general and administrative expenses</w:t>
            </w:r>
          </w:p>
        </w:tc>
        <w:tc>
          <w:tcPr>
            <w:tcW w:w="32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10,173</w:t>
            </w:r>
          </w:p>
        </w:tc>
        <w:tc>
          <w:tcPr>
            <w:tcW w:w="200" w:type="dxa"/>
            <w:vAlign w:val="bottom"/>
          </w:tcPr>
          <w:p>
            <w:pPr>
              <w:spacing w:after="0"/>
              <w:rPr>
                <w:sz w:val="20"/>
                <w:szCs w:val="20"/>
                <w:color w:val="auto"/>
              </w:rPr>
            </w:pP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6"/>
              <w:spacing w:after="0"/>
              <w:rPr>
                <w:sz w:val="20"/>
                <w:szCs w:val="20"/>
                <w:color w:val="auto"/>
              </w:rPr>
            </w:pPr>
            <w:r>
              <w:rPr>
                <w:rFonts w:ascii="Arial" w:cs="Arial" w:eastAsia="Arial" w:hAnsi="Arial"/>
                <w:sz w:val="18"/>
                <w:szCs w:val="18"/>
                <w:color w:val="auto"/>
              </w:rPr>
              <w:t>6,440</w:t>
            </w:r>
          </w:p>
        </w:tc>
        <w:tc>
          <w:tcPr>
            <w:tcW w:w="4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54"/>
              <w:spacing w:after="0"/>
              <w:rPr>
                <w:sz w:val="20"/>
                <w:szCs w:val="20"/>
                <w:color w:val="auto"/>
              </w:rPr>
            </w:pPr>
            <w:r>
              <w:rPr>
                <w:rFonts w:ascii="Arial" w:cs="Arial" w:eastAsia="Arial" w:hAnsi="Arial"/>
                <w:sz w:val="18"/>
                <w:szCs w:val="18"/>
                <w:color w:val="auto"/>
              </w:rPr>
              <w:t>3,733</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-187960</wp:posOffset>
            </wp:positionV>
            <wp:extent cx="120015" cy="1885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18859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-187960</wp:posOffset>
            </wp:positionV>
            <wp:extent cx="111125" cy="1885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1125" cy="188595"/>
                    </a:xfrm>
                    <a:prstGeom prst="rect">
                      <a:avLst/>
                    </a:prstGeom>
                    <a:noFill/>
                  </pic:spPr>
                </pic:pic>
              </a:graphicData>
            </a:graphic>
          </wp:anchor>
        </w:drawing>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General and administrative expenses were $10.2 million for the six months ended June 30, 2023, compared to $6.4 million for the six months ended June 30, 2022. The increase of $3.7 million in general and administrative expenses was primarily due to a $2.3 million increase in personnel-related costs related to higher general and administrative headcount, as well as an increase of $1.5 million in other expenses related to increased costs as a public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Other income (expense), net was $3.8 million for the six months ended June 30, 2023, compared to $2.5 million for the six months ended June 30, 2022. The change of $1.2 million in other income (expense), net was primarily due to an increase in interest income based on a larger cash and cash equivalents balance and higher interest rates, partially offset by the changes in fair value of the derivative and contingent value right liabilities.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firstLine="560"/>
        <w:spacing w:after="0" w:line="277" w:lineRule="auto"/>
        <w:rPr>
          <w:sz w:val="20"/>
          <w:szCs w:val="20"/>
          <w:color w:val="auto"/>
        </w:rPr>
      </w:pPr>
      <w:r>
        <w:rPr>
          <w:rFonts w:ascii="Arial" w:cs="Arial" w:eastAsia="Arial" w:hAnsi="Arial"/>
          <w:sz w:val="18"/>
          <w:szCs w:val="18"/>
          <w:color w:val="auto"/>
        </w:rPr>
        <w:t>Income tax expense was less than $0.1 million for the six months ended June 30, 2023, compared to no expense for the six months ended June 30, 2022. The increase in expense relates to state income tax resulting from the increase in interest income.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We expect to continue to incur significant expenses and operating losses in the foreseeable future as we advance the clinical development of our product candidates. We expect that our research and development and general and administrative costs will continue to increase significantly, including in connection with conducting clinical trials and manufacturing for our product candidates to support commercialization and providing general and administrative support for our operations, including the costs associated with operating as a public company. As a result, we will need additional capital to fund our operations, which we may obtain from additional equity or debt financings, collaborations, licensing arrangements or other sources. See “Risk Factors” for additional risks associated with our substantial capital requirements.</w:t>
      </w:r>
    </w:p>
    <w:p>
      <w:pPr>
        <w:spacing w:after="0" w:line="87"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To date, we have funded our operations primarily with proceeds from the sale of our convertible preferred stock and common stock, the proceeds from the merger with Gemini, proceeds from at-the-market offerings, proceeds from a registered direct offering and proceeds from a follow-on public offering. Through June 30, 2023, we have received net proceeds of $144.5 million from sales of our Series Seed, Series A and Series B convertible preferred stock, $89.5 million from the merger with Gemini, $53.5 million from sales of common stock in a pre-closing private financing, $62.4 million from sales of common stock and pre-funded warrants in a registered direct offering, $147.9 million from sales of common stock and pre-funded warrants in a public follow-on offering and $19.5 million from at-the-market offerings. As of June 30, 2023, we had cash and cash equivalents of $377.6 million.</w:t>
      </w:r>
    </w:p>
    <w:p>
      <w:pPr>
        <w:spacing w:after="0" w:line="5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have incurred significant operating losses since inception and, as of June 30, 2023, had an accumulated deficit of $150.9 million. In addition, we expect to continue to incur significant and increasing expenses and operating losses for the foreseeable future. We believe that our current cash resources will enable us to fund our current planned operating expense and capital expenditure requirements well into 2026. We may also pursue additional cash resources through public or private equity, collaborations or debt financings.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gridSpan w:val="3"/>
          </w:tcPr>
          <w:p>
            <w:pPr>
              <w:jc w:val="center"/>
              <w:ind w:left="36"/>
              <w:spacing w:after="0"/>
              <w:rPr>
                <w:sz w:val="20"/>
                <w:szCs w:val="20"/>
                <w:color w:val="auto"/>
              </w:rPr>
            </w:pPr>
            <w:r>
              <w:rPr>
                <w:rFonts w:ascii="Arial" w:cs="Arial" w:eastAsia="Arial" w:hAnsi="Arial"/>
                <w:sz w:val="14"/>
                <w:szCs w:val="14"/>
                <w:b w:val="1"/>
                <w:bCs w:val="1"/>
                <w:color w:val="auto"/>
                <w:w w:val="89"/>
              </w:rPr>
              <w:t>Six months ended</w:t>
            </w:r>
          </w:p>
        </w:tc>
        <w:tc>
          <w:tcPr>
            <w:tcW w:w="1200" w:type="dxa"/>
            <w:vAlign w:val="bottom"/>
          </w:tcPr>
          <w:p>
            <w:pPr>
              <w:spacing w:after="0"/>
              <w:rPr>
                <w:sz w:val="14"/>
                <w:szCs w:val="14"/>
                <w:color w:val="auto"/>
              </w:rPr>
            </w:pPr>
          </w:p>
        </w:tc>
      </w:tr>
      <w:tr>
        <w:trPr>
          <w:trHeight w:val="185"/>
        </w:trPr>
        <w:tc>
          <w:tcPr>
            <w:tcW w:w="762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36"/>
              <w:spacing w:after="0"/>
              <w:rPr>
                <w:sz w:val="20"/>
                <w:szCs w:val="20"/>
                <w:color w:val="auto"/>
              </w:rPr>
            </w:pPr>
            <w:r>
              <w:rPr>
                <w:rFonts w:ascii="Arial" w:cs="Arial" w:eastAsia="Arial" w:hAnsi="Arial"/>
                <w:sz w:val="14"/>
                <w:szCs w:val="14"/>
                <w:b w:val="1"/>
                <w:bCs w:val="1"/>
                <w:color w:val="auto"/>
                <w:w w:val="92"/>
              </w:rPr>
              <w:t>June 30,</w:t>
            </w:r>
          </w:p>
        </w:tc>
        <w:tc>
          <w:tcPr>
            <w:tcW w:w="1200" w:type="dxa"/>
            <w:vAlign w:val="bottom"/>
            <w:tcBorders>
              <w:bottom w:val="single" w:sz="8" w:color="auto"/>
            </w:tcBorders>
          </w:tcPr>
          <w:p>
            <w:pPr>
              <w:spacing w:after="0"/>
              <w:rPr>
                <w:sz w:val="16"/>
                <w:szCs w:val="16"/>
                <w:color w:val="auto"/>
              </w:rPr>
            </w:pPr>
          </w:p>
        </w:tc>
      </w:tr>
      <w:tr>
        <w:trPr>
          <w:trHeight w:val="169"/>
        </w:trPr>
        <w:tc>
          <w:tcPr>
            <w:tcW w:w="7620" w:type="dxa"/>
            <w:vAlign w:val="bottom"/>
          </w:tcPr>
          <w:p>
            <w:pPr>
              <w:ind w:left="7520"/>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76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1200" w:type="dxa"/>
            <w:vAlign w:val="bottom"/>
          </w:tcPr>
          <w:p>
            <w:pPr>
              <w:jc w:val="right"/>
              <w:ind w:right="694"/>
              <w:spacing w:after="0"/>
              <w:rPr>
                <w:sz w:val="20"/>
                <w:szCs w:val="20"/>
                <w:color w:val="auto"/>
              </w:rPr>
            </w:pPr>
            <w:r>
              <w:rPr>
                <w:rFonts w:ascii="Arial" w:cs="Arial" w:eastAsia="Arial" w:hAnsi="Arial"/>
                <w:sz w:val="14"/>
                <w:szCs w:val="14"/>
                <w:b w:val="1"/>
                <w:bCs w:val="1"/>
                <w:color w:val="auto"/>
              </w:rPr>
              <w:t>2022</w:t>
            </w:r>
          </w:p>
        </w:tc>
      </w:tr>
      <w:tr>
        <w:trPr>
          <w:trHeight w:val="237"/>
        </w:trPr>
        <w:tc>
          <w:tcPr>
            <w:tcW w:w="7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w:t>
            </w:r>
          </w:p>
        </w:tc>
        <w:tc>
          <w:tcPr>
            <w:tcW w:w="9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spacing w:after="0"/>
              <w:rPr>
                <w:sz w:val="20"/>
                <w:szCs w:val="20"/>
                <w:color w:val="auto"/>
              </w:rPr>
            </w:pPr>
          </w:p>
        </w:tc>
      </w:tr>
      <w:tr>
        <w:trPr>
          <w:trHeight w:val="237"/>
        </w:trPr>
        <w:tc>
          <w:tcPr>
            <w:tcW w:w="7620" w:type="dxa"/>
            <w:vAlign w:val="bottom"/>
          </w:tcPr>
          <w:p>
            <w:pPr>
              <w:ind w:left="20"/>
              <w:spacing w:after="0"/>
              <w:rPr>
                <w:sz w:val="20"/>
                <w:szCs w:val="20"/>
                <w:color w:val="auto"/>
              </w:rPr>
            </w:pPr>
            <w:r>
              <w:rPr>
                <w:rFonts w:ascii="Arial" w:cs="Arial" w:eastAsia="Arial" w:hAnsi="Arial"/>
                <w:sz w:val="18"/>
                <w:szCs w:val="18"/>
                <w:color w:val="auto"/>
              </w:rPr>
              <w:t>Operating activities</w:t>
            </w: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4"/>
              </w:rPr>
              <w:t>(48,190 )</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(22,895 )</w:t>
            </w:r>
          </w:p>
        </w:tc>
      </w:tr>
      <w:tr>
        <w:trPr>
          <w:trHeight w:val="249"/>
        </w:trPr>
        <w:tc>
          <w:tcPr>
            <w:tcW w:w="7620" w:type="dxa"/>
            <w:vAlign w:val="bottom"/>
            <w:tcBorders>
              <w:right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Investing activities</w:t>
            </w:r>
          </w:p>
        </w:tc>
        <w:tc>
          <w:tcPr>
            <w:tcW w:w="9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(41 )</w:t>
            </w:r>
          </w:p>
        </w:tc>
        <w:tc>
          <w:tcPr>
            <w:tcW w:w="72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(120 )</w:t>
            </w:r>
          </w:p>
        </w:tc>
      </w:tr>
      <w:tr>
        <w:trPr>
          <w:trHeight w:val="243"/>
        </w:trPr>
        <w:tc>
          <w:tcPr>
            <w:tcW w:w="7620" w:type="dxa"/>
            <w:vAlign w:val="bottom"/>
          </w:tcPr>
          <w:p>
            <w:pPr>
              <w:ind w:left="20"/>
              <w:spacing w:after="0"/>
              <w:rPr>
                <w:sz w:val="20"/>
                <w:szCs w:val="20"/>
                <w:color w:val="auto"/>
              </w:rPr>
            </w:pPr>
            <w:r>
              <w:rPr>
                <w:rFonts w:ascii="Arial" w:cs="Arial" w:eastAsia="Arial" w:hAnsi="Arial"/>
                <w:sz w:val="18"/>
                <w:szCs w:val="18"/>
                <w:color w:val="auto"/>
              </w:rPr>
              <w:t>Financing activities</w:t>
            </w:r>
          </w:p>
        </w:tc>
        <w:tc>
          <w:tcPr>
            <w:tcW w:w="9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6"/>
              <w:spacing w:after="0"/>
              <w:rPr>
                <w:sz w:val="20"/>
                <w:szCs w:val="20"/>
                <w:color w:val="auto"/>
              </w:rPr>
            </w:pPr>
            <w:r>
              <w:rPr>
                <w:rFonts w:ascii="Arial" w:cs="Arial" w:eastAsia="Arial" w:hAnsi="Arial"/>
                <w:sz w:val="18"/>
                <w:szCs w:val="18"/>
                <w:color w:val="auto"/>
                <w:w w:val="92"/>
              </w:rPr>
              <w:t>231,161</w:t>
            </w:r>
          </w:p>
        </w:tc>
        <w:tc>
          <w:tcPr>
            <w:tcW w:w="7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4"/>
              <w:spacing w:after="0"/>
              <w:rPr>
                <w:sz w:val="20"/>
                <w:szCs w:val="20"/>
                <w:color w:val="auto"/>
              </w:rPr>
            </w:pPr>
            <w:r>
              <w:rPr>
                <w:rFonts w:ascii="Arial" w:cs="Arial" w:eastAsia="Arial" w:hAnsi="Arial"/>
                <w:sz w:val="18"/>
                <w:szCs w:val="18"/>
                <w:color w:val="auto"/>
              </w:rPr>
              <w:t>141</w:t>
            </w:r>
          </w:p>
        </w:tc>
      </w:tr>
      <w:tr>
        <w:trPr>
          <w:trHeight w:val="257"/>
        </w:trPr>
        <w:tc>
          <w:tcPr>
            <w:tcW w:w="7620" w:type="dxa"/>
            <w:vAlign w:val="bottom"/>
            <w:tcBorders>
              <w:right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940" w:type="dxa"/>
            <w:vAlign w:val="bottom"/>
            <w:tcBorders>
              <w:top w:val="single" w:sz="8" w:color="auto"/>
            </w:tcBorders>
            <w:shd w:val="clear" w:color="auto" w:fill="CFF0FC"/>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76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92"/>
              </w:rPr>
              <w:t>182,930</w:t>
            </w:r>
          </w:p>
        </w:tc>
        <w:tc>
          <w:tcPr>
            <w:tcW w:w="200" w:type="dxa"/>
            <w:vAlign w:val="bottom"/>
            <w:shd w:val="clear" w:color="auto" w:fill="CFF0FC"/>
          </w:tcPr>
          <w:p>
            <w:pPr>
              <w:spacing w:after="0"/>
              <w:rPr>
                <w:sz w:val="22"/>
                <w:szCs w:val="22"/>
                <w:color w:val="auto"/>
              </w:rPr>
            </w:pPr>
          </w:p>
        </w:tc>
        <w:tc>
          <w:tcPr>
            <w:tcW w:w="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(22,874 )</w:t>
            </w:r>
          </w:p>
        </w:tc>
      </w:tr>
      <w:tr>
        <w:trPr>
          <w:trHeight w:val="20"/>
        </w:trPr>
        <w:tc>
          <w:tcPr>
            <w:tcW w:w="7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-25400</wp:posOffset>
            </wp:positionV>
            <wp:extent cx="12890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12890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cash flows from operating activities are greatly influenced by our use of cash for operating expenses and working capital requirements to support our business. We have historically experienced negative cash flows from operating activities as we invested in developing our portfolio, drug discovery efforts and related infrastructure. The cash used in operating activities resulted primarily from our net losses adjusted for non-cash charges and changes in components of operating assets and liabilities, which are primarily the result of increased expenses and timing of vendor payments.</w:t>
      </w:r>
    </w:p>
    <w:p>
      <w:pPr>
        <w:spacing w:after="0" w:line="6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During the six months ended June 30, 2023, net cash used in operating activities of $48.2 million was primarily due to our net loss of $38.7 million and an increase in operating assets and liabilities of $13.5 million primarily related to the payment of merger-related costs which were included in accounts payable at December 31, 2022, partially offset by non-cash expenses of $4.0 million.</w:t>
      </w:r>
    </w:p>
    <w:p>
      <w:pPr>
        <w:spacing w:after="0" w:line="76"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six months ended June 30, 2022, net cash used in operating activities of $22.9 million was primarily due to our net loss of $19.4 million, and changes in operating assets and liabilities of $1.8 million and non-cash expenses of $1.7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six months ended June 30, 2023 and 2022, net cash used in investing activities was related to purchases of property and equipment.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During the six months ended June 30, 2023, net cash provided by financing activities of $231.2 million consisted primarily of aggregate net proceeds of $147.9 million from sales of common stock and pre-funded warrants in a public follow-on offering, aggregate net proceeds of $62.5 million from sales of common stock and pre-funded warrants in a registered direct offering and aggregate net proceeds of $19.5 million from the at-the-market offerings.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During the six months ended June 30, 2022, net cash provided by financing activities of $0.1 million was related to proceeds from stock option exercises.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expect our expenses to increase substantially in connection with our ongoing activities, particularly as we advance our product candidates into and through clinical development and operate as a public company. Our funding requirements and the timing and amount of our operating expenditures will depend largely on:</w:t>
      </w:r>
    </w:p>
    <w:p>
      <w:pPr>
        <w:spacing w:after="0" w:line="76" w:lineRule="exact"/>
        <w:rPr>
          <w:sz w:val="20"/>
          <w:szCs w:val="20"/>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preclinical studies and clinical trials for our product candidates or any future product candidates we may develop;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laws or regulations applicable to any product candidates we may develop, including but not limited to clinical trial requirements for approvals;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and timing of obtaining materials to produce adequate product supply for any preclinical or clinical development of any product candidate we may develop;</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licensing or other arrangements and the financial terms of such arrangements;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payment or receipt of milestones, royalties and other collaboration-based revenues, if 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0" w:name="page31"/>
    <w:bookmarkEnd w:id="30"/>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product candidate we may develop for which we obtain marketing approval;</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revenue, if any, received from commercial sales of our product candidates for which we receive marketing approval; and</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legal costs involved in prosecuting patent applications and enforcing patent claims and other intellectual property claims.</w:t>
      </w:r>
    </w:p>
    <w:p>
      <w:pPr>
        <w:spacing w:after="0" w:line="11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80"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Until such time, if ever, as we can generate substantial revenue from product sales, we expect to finance our cash needs through a combination of equity offerings, debt financings, collaborations, strategic alliances, and marketing, distribution or licensing arrangements with third parties. However, we may be unable to raise additional funds or enter into such other arrangements when needed on favorable terms or at all. To the extent that we raise additional capital through the sale of equity or convertible debt securities, the ownership interest of our existing stockholders may be materially diluted, and the terms of such securities could include liquidation or other preferences that adversely affect the rights of our common stockholders. Debt financing and preferred equity financing, if available, may involve agreements that include restrictive covenants that limit our ability to take specified actions, such as incurring additional debt, making capital expenditures or declaring dividends. If we raise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reduce or eliminate our product development or future commercialization efforts, or grant rights to develop and market product candidates that we would otherwise prefer to develop and market ourselves.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following table summarizes our contractual obligations as of June 30, 2023 and the effects that such obligations are expected to have on our liquidity and cash flows in future periods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80" w:type="dxa"/>
            <w:vAlign w:val="bottom"/>
          </w:tcPr>
          <w:p>
            <w:pPr>
              <w:ind w:left="452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1"/>
              </w:rPr>
              <w:t>Payments Due by Period</w:t>
            </w:r>
          </w:p>
        </w:tc>
        <w:tc>
          <w:tcPr>
            <w:tcW w:w="9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133"/>
        </w:trPr>
        <w:tc>
          <w:tcPr>
            <w:tcW w:w="4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w w:val="95"/>
              </w:rPr>
              <w:t>Less Than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ind w:right="319"/>
              <w:spacing w:after="0" w:line="133" w:lineRule="exact"/>
              <w:rPr>
                <w:sz w:val="20"/>
                <w:szCs w:val="20"/>
                <w:color w:val="auto"/>
              </w:rPr>
            </w:pPr>
            <w:r>
              <w:rPr>
                <w:rFonts w:ascii="Arial" w:cs="Arial" w:eastAsia="Arial" w:hAnsi="Arial"/>
                <w:sz w:val="14"/>
                <w:szCs w:val="14"/>
                <w:b w:val="1"/>
                <w:bCs w:val="1"/>
                <w:color w:val="auto"/>
                <w:w w:val="92"/>
              </w:rPr>
              <w:t>1 to 3</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right"/>
              <w:ind w:right="439"/>
              <w:spacing w:after="0" w:line="133" w:lineRule="exact"/>
              <w:rPr>
                <w:sz w:val="20"/>
                <w:szCs w:val="20"/>
                <w:color w:val="auto"/>
              </w:rPr>
            </w:pPr>
            <w:r>
              <w:rPr>
                <w:rFonts w:ascii="Arial" w:cs="Arial" w:eastAsia="Arial" w:hAnsi="Arial"/>
                <w:sz w:val="14"/>
                <w:szCs w:val="14"/>
                <w:b w:val="1"/>
                <w:bCs w:val="1"/>
                <w:color w:val="auto"/>
              </w:rPr>
              <w:t>3 to 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219"/>
              <w:spacing w:after="0" w:line="133" w:lineRule="exact"/>
              <w:rPr>
                <w:sz w:val="20"/>
                <w:szCs w:val="20"/>
                <w:color w:val="auto"/>
              </w:rPr>
            </w:pPr>
            <w:r>
              <w:rPr>
                <w:rFonts w:ascii="Arial" w:cs="Arial" w:eastAsia="Arial" w:hAnsi="Arial"/>
                <w:sz w:val="14"/>
                <w:szCs w:val="14"/>
                <w:b w:val="1"/>
                <w:bCs w:val="1"/>
                <w:color w:val="auto"/>
                <w:w w:val="98"/>
              </w:rPr>
              <w:t>More Than</w:t>
            </w:r>
          </w:p>
        </w:tc>
      </w:tr>
      <w:tr>
        <w:trPr>
          <w:trHeight w:val="185"/>
        </w:trPr>
        <w:tc>
          <w:tcPr>
            <w:tcW w:w="4580" w:type="dxa"/>
            <w:vAlign w:val="bottom"/>
          </w:tcPr>
          <w:p>
            <w:pPr>
              <w:ind w:left="4520"/>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1 Year</w:t>
            </w:r>
          </w:p>
        </w:tc>
        <w:tc>
          <w:tcPr>
            <w:tcW w:w="100" w:type="dxa"/>
            <w:vAlign w:val="bottom"/>
            <w:tcBorders>
              <w:bottom w:val="single" w:sz="8" w:color="auto"/>
            </w:tcBorders>
          </w:tcPr>
          <w:p>
            <w:pPr>
              <w:spacing w:after="0"/>
              <w:rPr>
                <w:sz w:val="16"/>
                <w:szCs w:val="16"/>
                <w:color w:val="auto"/>
              </w:rPr>
            </w:pP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79"/>
              <w:spacing w:after="0"/>
              <w:rPr>
                <w:sz w:val="20"/>
                <w:szCs w:val="20"/>
                <w:color w:val="auto"/>
              </w:rPr>
            </w:pPr>
            <w:r>
              <w:rPr>
                <w:rFonts w:ascii="Arial" w:cs="Arial" w:eastAsia="Arial" w:hAnsi="Arial"/>
                <w:sz w:val="14"/>
                <w:szCs w:val="14"/>
                <w:b w:val="1"/>
                <w:bCs w:val="1"/>
                <w:color w:val="auto"/>
                <w:w w:val="89"/>
              </w:rPr>
              <w:t>Years</w:t>
            </w:r>
          </w:p>
        </w:tc>
        <w:tc>
          <w:tcPr>
            <w:tcW w:w="16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2"/>
              </w:rPr>
              <w:t>5 Years</w:t>
            </w:r>
          </w:p>
        </w:tc>
      </w:tr>
      <w:tr>
        <w:trPr>
          <w:trHeight w:val="237"/>
        </w:trPr>
        <w:tc>
          <w:tcPr>
            <w:tcW w:w="4580" w:type="dxa"/>
            <w:vAlign w:val="bottom"/>
            <w:shd w:val="clear" w:color="auto" w:fill="CFF0FC"/>
          </w:tcPr>
          <w:p>
            <w:pPr>
              <w:ind w:left="20"/>
              <w:spacing w:after="0" w:line="236"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4"/>
                <w:szCs w:val="24"/>
                <w:color w:val="auto"/>
                <w:vertAlign w:val="superscript"/>
              </w:rPr>
              <w:t>(1)</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2,517</w:t>
            </w: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20"/>
                <w:szCs w:val="20"/>
                <w:color w:val="auto"/>
              </w:rPr>
            </w:pP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1,701</w:t>
            </w:r>
          </w:p>
        </w:tc>
        <w:tc>
          <w:tcPr>
            <w:tcW w:w="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76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36"/>
        </w:trPr>
        <w:tc>
          <w:tcPr>
            <w:tcW w:w="458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line="236" w:lineRule="exact"/>
              <w:rPr>
                <w:sz w:val="20"/>
                <w:szCs w:val="20"/>
                <w:color w:val="auto"/>
              </w:rPr>
            </w:pPr>
            <w:r>
              <w:rPr>
                <w:rFonts w:ascii="Arial" w:cs="Arial" w:eastAsia="Arial" w:hAnsi="Arial"/>
                <w:sz w:val="15"/>
                <w:szCs w:val="15"/>
                <w:color w:val="auto"/>
              </w:rPr>
              <w:t>​</w:t>
            </w:r>
            <w:r>
              <w:rPr>
                <w:rFonts w:ascii="Arial" w:cs="Arial" w:eastAsia="Arial" w:hAnsi="Arial"/>
                <w:sz w:val="27"/>
                <w:szCs w:val="27"/>
                <w:color w:val="auto"/>
                <w:vertAlign w:val="superscript"/>
              </w:rPr>
              <w:t>$</w:t>
            </w:r>
          </w:p>
        </w:tc>
        <w:tc>
          <w:tcPr>
            <w:tcW w:w="960" w:type="dxa"/>
            <w:vAlign w:val="bottom"/>
          </w:tcPr>
          <w:p>
            <w:pPr>
              <w:jc w:val="right"/>
              <w:ind w:right="56"/>
              <w:spacing w:after="0"/>
              <w:rPr>
                <w:sz w:val="20"/>
                <w:szCs w:val="20"/>
                <w:color w:val="auto"/>
              </w:rPr>
            </w:pPr>
            <w:r>
              <w:rPr>
                <w:rFonts w:ascii="Arial" w:cs="Arial" w:eastAsia="Arial" w:hAnsi="Arial"/>
                <w:sz w:val="18"/>
                <w:szCs w:val="18"/>
                <w:color w:val="auto"/>
              </w:rPr>
              <w:t>2,517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0"/>
                <w:szCs w:val="20"/>
                <w:color w:val="auto"/>
              </w:rPr>
            </w:pP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1,701</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9"/>
              <w:spacing w:after="0"/>
              <w:rPr>
                <w:sz w:val="20"/>
                <w:szCs w:val="20"/>
                <w:color w:val="auto"/>
              </w:rPr>
            </w:pPr>
            <w:r>
              <w:rPr>
                <w:rFonts w:ascii="Arial" w:cs="Arial" w:eastAsia="Arial" w:hAnsi="Arial"/>
                <w:sz w:val="18"/>
                <w:szCs w:val="18"/>
                <w:color w:val="auto"/>
              </w:rPr>
              <w:t>294</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tcPr>
          <w:p>
            <w:pPr>
              <w:ind w:left="760"/>
              <w:spacing w:after="0"/>
              <w:rPr>
                <w:sz w:val="20"/>
                <w:szCs w:val="20"/>
                <w:color w:val="auto"/>
              </w:rPr>
            </w:pPr>
            <w:r>
              <w:rPr>
                <w:rFonts w:ascii="Arial" w:cs="Arial" w:eastAsia="Arial" w:hAnsi="Arial"/>
                <w:sz w:val="18"/>
                <w:szCs w:val="18"/>
                <w:color w:val="auto"/>
              </w:rPr>
              <w:t>—</w:t>
            </w:r>
          </w:p>
        </w:tc>
      </w:tr>
      <w:tr>
        <w:trPr>
          <w:trHeight w:val="20"/>
        </w:trPr>
        <w:tc>
          <w:tcPr>
            <w:tcW w:w="4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-170815</wp:posOffset>
            </wp:positionV>
            <wp:extent cx="94615" cy="1885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4615" cy="18859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-170815</wp:posOffset>
            </wp:positionV>
            <wp:extent cx="93980" cy="1885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-170815</wp:posOffset>
            </wp:positionV>
            <wp:extent cx="102870" cy="1885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94615" cy="1885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615" cy="188595"/>
                    </a:xfrm>
                    <a:prstGeom prst="rect">
                      <a:avLst/>
                    </a:prstGeom>
                    <a:noFill/>
                  </pic:spPr>
                </pic:pic>
              </a:graphicData>
            </a:graphic>
          </wp:anchor>
        </w:drawing>
      </w:r>
    </w:p>
    <w:p>
      <w:pPr>
        <w:ind w:firstLine="8"/>
        <w:spacing w:after="0" w:line="253" w:lineRule="auto"/>
        <w:tabs>
          <w:tab w:leader="none" w:pos="244"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reflect payments due for our leased office spaces in Watertown, Massachusetts as of June 30, 2023. The lease terms began in November 2021 and June 2023, and will each end in November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-211455</wp:posOffset>
            </wp:positionV>
            <wp:extent cx="42265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226560" cy="8255"/>
                    </a:xfrm>
                    <a:prstGeom prst="rect">
                      <a:avLst/>
                    </a:prstGeom>
                    <a:noFill/>
                  </pic:spPr>
                </pic:pic>
              </a:graphicData>
            </a:graphic>
          </wp:anchor>
        </w:drawing>
      </w:r>
    </w:p>
    <w:p>
      <w:pPr>
        <w:spacing w:after="0" w:line="5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enter into contracts in the normal course of business with CROs, CDMOs and other third parties for preclinical studies, clinical trials and manufacturing services. These contracts typically do not contain minimum purchase commitments and are generally cancelable by us upon written notice. Payments due upon cancellation consist of payments for services provided or expenses incurred, including noncancelable obligations of our service providers, up to the date of cancellation and, in the case of certain arrangements with CROs and CDMOs, may include non-cancelable fees. These payments are not included in the table above as the amount and timing of such payments are not fixed and estimable.</w:t>
      </w:r>
    </w:p>
    <w:p>
      <w:pPr>
        <w:spacing w:after="0" w:line="6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have also entered into license agreements under which we are obligated to make specified milestone and royalty payments. We have not included future payments under these agreements in the table of contractual obligations above since the payment obligations under these agreements are contingent upon future events such as regulatory milestones or generating product sales. We are unable to estimate the timing or likelihood of achieving these milestones or generating future product sales. For additional information about our license agreements and amounts that could become payable in the future under such agreements, see our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U.S. generally accepted accounting principles, or GAAP. The preparation of our condensed consolidated financial statements and related disclosures requires us to make estimates and judgments that affect the reported amounts of assets,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jc w:val="both"/>
        <w:spacing w:after="0" w:line="259" w:lineRule="auto"/>
        <w:rPr>
          <w:sz w:val="20"/>
          <w:szCs w:val="20"/>
          <w:color w:val="auto"/>
        </w:rPr>
      </w:pPr>
      <w:r>
        <w:rPr>
          <w:rFonts w:ascii="Arial" w:cs="Arial" w:eastAsia="Arial" w:hAnsi="Arial"/>
          <w:sz w:val="18"/>
          <w:szCs w:val="18"/>
          <w:color w:val="auto"/>
        </w:rPr>
        <w:t xml:space="preserve">making judgments about the carrying values of assets and liabilities that are not readily apparent from other sources. We evaluate our estimates and assumptions on an ongoing basis. Our actual results may differ from these estimates under different assumptions or conditions. See our Annual Report on Form 10-K for the year ended December 31, 2022 for more </w:t>
      </w:r>
      <w:r>
        <w:rPr>
          <w:rFonts w:ascii="Arial" w:cs="Arial" w:eastAsia="Arial" w:hAnsi="Arial"/>
          <w:sz w:val="18"/>
          <w:szCs w:val="18"/>
          <w:color w:val="212529"/>
        </w:rPr>
        <w:t>information about critical accounting policies as well as a description of our other significant</w:t>
      </w:r>
      <w:r>
        <w:rPr>
          <w:rFonts w:ascii="Arial" w:cs="Arial" w:eastAsia="Arial" w:hAnsi="Arial"/>
          <w:sz w:val="18"/>
          <w:szCs w:val="18"/>
          <w:color w:val="auto"/>
        </w:rPr>
        <w:t xml:space="preserve"> </w:t>
      </w:r>
      <w:r>
        <w:rPr>
          <w:rFonts w:ascii="Arial" w:cs="Arial" w:eastAsia="Arial" w:hAnsi="Arial"/>
          <w:sz w:val="18"/>
          <w:szCs w:val="18"/>
          <w:color w:val="212529"/>
        </w:rPr>
        <w:t>accounting policies</w:t>
      </w:r>
      <w:r>
        <w:rPr>
          <w:rFonts w:ascii="Arial" w:cs="Arial" w:eastAsia="Arial" w:hAnsi="Arial"/>
          <w:sz w:val="18"/>
          <w:szCs w:val="18"/>
          <w:color w:val="000000"/>
        </w:rPr>
        <w:t>.</w:t>
      </w:r>
    </w:p>
    <w:p>
      <w:pPr>
        <w:spacing w:after="0" w:line="7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There have been no material changes to our critical accounting estimates from those described in Part II, Item 7. “Management’s Discussion and Analysis of Financial Condition and Results of Operations” included in our Annual Report on Form 10-K for the year ended December 31, 2022.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Pronouncements</w:t>
      </w:r>
    </w:p>
    <w:p>
      <w:pPr>
        <w:spacing w:after="0" w:line="121"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 description of recently issued and certain recently adopted accounting pronouncements that have or may potentially impact our financial position and results of operations is included in Note 2 to our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We may take advantage of these exemptions until we are no longer an emerging growth company under Section 107 of the JOBS Act, which provides that an emerging growth company can take advantage of the extended transition period afforded by the JOBS Act for the implementation of new or revised accounting standards. We have elected to avail ourselves of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We will remain an emerging growth company until the earlier of (1) the last day of the fiscal year (a) following the fifth anniversary of the closing of our initial public offering which occurred in August 2020, (b) in which we have total annual gross revenue of at least $1.235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7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 $100 million during such completed fiscal year and the market value of our common stock held by non-affiliates exceeds $700 million as of the prior June 30.</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3. QUANTITATIVE AND QUALITATIVE DISCLOSURES ABOUT MARKET RISKS</w:t>
      </w:r>
    </w:p>
    <w:p>
      <w:pPr>
        <w:spacing w:after="0" w:line="12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As of June 30, 2023 and December 31, 2022, we had cash and cash equivalents of $377.6 million and $194.6 million, respectively, which consisted of cash and money market accounts. Interest income is sensitive to changes in the general level of interest rates; however, due to the nature of these investments, an immediate 10% change in market interest rates would not have a material effect on the fair market value of our cash or cash equivalents.</w:t>
      </w:r>
    </w:p>
    <w:p>
      <w:pPr>
        <w:spacing w:after="0" w:line="4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Our employees and operations are primarily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Inflation generally affects us by increasing our cost of labor and contract research. We do not believe that inflation had a material effect on our business, financial condition or results of operations during the six months ended June 30, 2023 and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Our management, under the supervision and with the participation of our Principal Executive Officer (our Chief Executive Officer) and Principal Financial Officer (our Chief Financial Officer), has evaluated the effectiveness of our disclosure controls and procedures as of June 30, 2023.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Management recognizes that any disclosure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2023, our Principal Executive Officer and Principal Financial Officer concluded that, as of such date, our disclosure controls and procedures were effective at the reasonable assurance level.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six months ended June 30, 2023 that has materially affected, or is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i w:val="1"/>
          <w:iCs w:val="1"/>
          <w:color w:val="auto"/>
        </w:rPr>
        <w:t>Set forth below are the risks that we believe are material to our investors and they should be carefully considered. If any of the following risks and uncertainties actually occurs, our business, prospects, financial condition and results of operations could be materially and adversely affected. The risks described below are not intended to be exhaustive and other factors not presently known to us or that we currently believe are immaterial may affect our business, prospects, financial condition and results of operations if they occur. This section contains forward-looking statements. You should refer to the explanation of the qualifications and limitations on forward-looking statements in this Quarterly Report on Form 10-Q.</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140"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commenced operations in 2017 and are a clinical-stage biopharmaceutical company with a limited operating history. Biopharmaceutical product development is a highly speculative undertaking and involves a substantial degree of risk. Since our inception in October 2017, we have devoted substantially all of our efforts to organizing and staffing our company, business planning, capital raising, establishing and maintaining our intellectual property portfolio, building our pipeline of product candidates, conducting drug discovery activities, undertaking preclinical studies, conducting early-stage clinical trials, and providing general and administrative support for these operations.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Consequently, any predictions you make about our future success or viability may not be as accurate as they could be if we had a longer operating history or a history of successfully developing and commercializing products.</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as our business grows,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incurred significant net losses since our inception and anticipate that we will continue to incur losses for the foreseeable future.</w:t>
      </w:r>
    </w:p>
    <w:p>
      <w:pPr>
        <w:spacing w:after="0" w:line="12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net losses were $38.7 million and $19.4 million for the six months ended June 30, 2023 and 2022, respectively. We had an accumulated deficit of $150.9 million as of June 30, 2023.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We also will continue to incur additional costs associated with operating as a public company and expect to continue to incur significant and increasing operating losses over the next several years and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73"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in the future due to a variety of factors, many of which are outside of our control and may be difficult to predict, including the following:</w:t>
      </w:r>
    </w:p>
    <w:p>
      <w:pPr>
        <w:spacing w:after="0" w:line="62" w:lineRule="exact"/>
        <w:rPr>
          <w:sz w:val="20"/>
          <w:szCs w:val="20"/>
          <w:color w:val="auto"/>
        </w:rPr>
      </w:pPr>
    </w:p>
    <w:p>
      <w:pPr>
        <w:ind w:left="76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success or failure of preclinical studies and clinical trials for our product candidates or competing product candidates, or any other change in the competitive landscape of our industry, including consolidation among our competitors or partners;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open clinical trial sites and recruit and retain subjects for clinical trials, and any delays caused by difficulties in such efforts;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which may change from time to time;</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the quantity of production and the terms of our agreements with manufacturers;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level of demand for our products should they receive regulatory approval, which may vary significantly;</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COVID-19 pandemic;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1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guidance we may provide.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1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Our ability to become profitable depends upon our ability to generate revenue. To date, we have not generated collaborative revenue from our product candidates and have not generated revenue from product sales, and do not expect to generate any revenue from the sale of products in the near future. We do not expect to generate significant revenue unless and until we obtain regulatory approval of, and begin to sell, one or more of our product candidates. Our ability to generate revenue depends on a number of factors, including, but not limited to, our ability to:</w:t>
      </w:r>
    </w:p>
    <w:p>
      <w:pPr>
        <w:spacing w:after="0" w:line="63" w:lineRule="exact"/>
        <w:rPr>
          <w:sz w:val="20"/>
          <w:szCs w:val="20"/>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complete our ongoing and planned preclinical studies for our current and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file and receive acceptance of our INDs in order to commence our planned clinical trials or future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enroll subjects in, and complete, our ongoing and planned clinical trials;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necessary to obtain U.S. and foreign regulatory approval for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address the prevalence, duration and severity of potential side effects or other safety issues experienced with our product candidates, if any;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file New Drug Applications, or NDAs, and Biologic License Applications, or BLAs, and receive regulatory approvals for our product candidates from the U.S. Food and Drug Administration, or the FDA, and comparable foreign regulatory authorities;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and maintain clinical and commercial manufacturing capabilities or make arrangements with third-party manufacturers for clinical supply and commercial manufacturing;</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position our product candidates to effectively compete with other therapies;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implement measures to help minimize the risk of COVID-19 to our employees as well as patients and subjects enrolled in our clinical trials; and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ind w:left="760" w:hanging="378"/>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may be forced to delay, reduce, or eliminate some of our product development programs or commercialization efforts.</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 development of pharmaceutical products is capital-intensive. We are currently advancing our hematologic disease programs through preclinical and clinical development. We expect our expenses to significantly increase in connection with our ongoing activities, particularly as we continue the research and development of, initiate and complete clinical trials of, and seek regulatory approval for, our product candidates. In addition, depending on the status of regulatory approval or, if we obtain regulatory approval for any of our product candidates, we expect to incur significant commercialization expenses related to product sales, marketing, manufacturing and distribution. We may also need to raise additional funds sooner if we choose to pursue additional indications and/or geographies for our current or future product candidates or otherwise expand more rapidly than presently anticipated. Furthermore, we expect to incur additional costs associated with operating as a newly-public company. Accordingly, we will need to obtain substantial additional funding in connection with our continuing operations. If we are unable to raise capital when needed or on attractive terms, we may be forced to delay, reduce, or eliminate certain of our research and development programs or future commercialization efforts.</w:t>
      </w:r>
    </w:p>
    <w:p>
      <w:pPr>
        <w:spacing w:after="0" w:line="5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believe that we have cash and cash equivalents that will enable us to fund operating expenses and capital expenditure requirements well into 2026. However, we have based this estimate on assumptions that may prove to be wrong, and we could exhaust our available capital resources sooner than expected. Our future capital requirements will depend on and could increase significantly as a result of many factors, including:</w:t>
      </w:r>
    </w:p>
    <w:p>
      <w:pPr>
        <w:spacing w:after="0" w:line="57" w:lineRule="exact"/>
        <w:rPr>
          <w:sz w:val="20"/>
          <w:szCs w:val="20"/>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raise additional funds necessary to complete clinical development of and commercialize our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establish new and maintain existing licensing or collaboration arrangements and the progress of the development efforts of third parties with whom we may enter into such arrangements;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maintain our current research and development programs and to establish new programs;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successful initiation, enrollment and completion of clinical trials with safety, tolerability and efficacy profiles that are satisfactory to the FDA or any comparable foreign regulatory authority;</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receipt and related terms of regulatory approvals from applicable regulatory authorities for any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availability of raw materials for use in production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supply of product candidate components for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obtain and maintain patents, trade secret protection and regulatory exclusivity, both in the United States and internationally;</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protect our other rights in our intellectual property portfolio;</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third-party insurance coverage and adequate reimbursement for any approved products; and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 or other health crises.</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several years, if at all. Accordingly, we will need to continue to rely on additional financing to achieve our business objectives.</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more recently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jc w:val="both"/>
        <w:spacing w:after="0" w:line="308" w:lineRule="auto"/>
        <w:rPr>
          <w:sz w:val="20"/>
          <w:szCs w:val="20"/>
          <w:color w:val="auto"/>
        </w:rPr>
      </w:pPr>
      <w:r>
        <w:rPr>
          <w:rFonts w:ascii="Arial" w:cs="Arial" w:eastAsia="Arial" w:hAnsi="Arial"/>
          <w:sz w:val="17"/>
          <w:szCs w:val="17"/>
          <w:color w:val="auto"/>
        </w:rPr>
        <w:t>due to the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3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Until such time, if ever,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your ownership interest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71"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also could be required to seek funds through arrangements with collaborators or otherwise at an earlier stage than otherwise would be desirable. If we raise funds through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product candidates that we would otherwise prefer to develop and market ourself, any of which may have a material adverse effect on our business, operating results and prospects.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Stockholders who hold contingent value rights, or CVRs, potentially may not receive any payment on the CVRs and the CVRs may otherwise expire valueless.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On December 29, 2022, prior to the effective time of our merger with Gemini, we entered into a Contingent Value Rights Agreement, or the CVR Agreement, with a rights agent pursuant to which Gemini’s pre-merger common stockholders received one CVR for each outstanding share of Gemini common stock held by such stockholders on December 29, 2022. Each CVR represents the contractual right to receive payments, in the form of shares of our stock, upon the actual receipt by us or our affiliates of certain proceeds derived from consideration paid to us as a result of the disposition of Gemini’s pre-merger legacy assets, net of certain expenses and other deductions. Any payments under the CVR Agreement will be in the form of shares of our stock, determined on the basis of a volume weighted average for the five (5) trading days prior to the date of issuance.</w:t>
      </w:r>
    </w:p>
    <w:p>
      <w:pPr>
        <w:spacing w:after="0" w:line="70"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may not be able to achieve successful results from the disposition of such assets as described above. If this is not achieved for any reason within the time periods specified in the CVR Agreement, no payments will be made under the CVRs, and the CVRs will expire valueless. There can be no assurance that any payment of any of our shares will be made or that any holders of CVRs will receive any amounts with respect thereto.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have only successfully completed one Phase 1 clinical trial, and may be unable to successfully complete any additional clinical trials for any product candidates we develop. Certain of our programs are still in preclinical development and may never advance to clinical development.</w:t>
      </w:r>
    </w:p>
    <w:p>
      <w:pPr>
        <w:spacing w:after="0" w:line="1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have completed one Phase 1 clinical trial and have not yet demonstrated our continued ability to successfully complete clinical trials, including large-scale, pivotal clinical trials, obtain regulatory approvals, manufacture a commercial scale product, or arrange for a third party to do so on our behalf, or conduct sales and marketing activities necessary for successful commercialization. Our programs are still in preclinical and early clinical development. Our clinical programs may not advance to the next stage of clinical development, and our preclinical programs may never advance to clinical development or through clinical development, as applicable. We currently only have two product candidates in clinical development. In July 2022, we initiated BEACON, a Phase 2 open-label, parallel-dose clinical trial of bitopertin in EPP and XLP patients that is being conducted at sites in Australia. Separately,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7" w:name="page38"/>
    <w:bookmarkEnd w:id="37"/>
    <w:p>
      <w:pPr>
        <w:jc w:val="both"/>
        <w:spacing w:after="0" w:line="284" w:lineRule="auto"/>
        <w:rPr>
          <w:sz w:val="20"/>
          <w:szCs w:val="20"/>
          <w:color w:val="auto"/>
        </w:rPr>
      </w:pPr>
      <w:r>
        <w:rPr>
          <w:rFonts w:ascii="Arial" w:cs="Arial" w:eastAsia="Arial" w:hAnsi="Arial"/>
          <w:sz w:val="16"/>
          <w:szCs w:val="16"/>
          <w:color w:val="auto"/>
        </w:rPr>
        <w:t>in October 2022, we initiated AURORA, a Phase 2, randomized, double-blind, placebo-controlled clinical trial of bitopertin in EPP patients that is being conducted at sites in the United States. We completed our Phase 1 clinical trial of DISC-0974 in healthy volunteers. We initiated a Phase 1b/2 clinical trial of DISC-0974 in June 2022 in patients with anemia of MF, and initiated a separate Phase 1b/2 clinical trial in February 2023 in patients with non-dialysis dependent CKD and anemia. We plan to initiate a Phase 1 clinical trial of MWTX-003 in healthy volunteers in the second half of 2023. We may not initiate any clinical trial of our product candidates until we have submitted an IND to the FDA or comparable submissions with equivalent regulatory authorities and received regulatory clearance. We may not be able to submit INDs or other regulatory filings for bitopertin or any of our other product candidates on the timelines we expect, if at all. For example, we may experience manufacturing delays or other delays with IND-enabling studies. Moreover, we cannot be sure that submission of regulatory filings with the FDA or other regulatory authorities will result in such regulatory authorities allowing clinical trials to begin on a timely basis or at all, or that, once begun, such trials will be completed on schedule, if at all, or that issues will not arise that require us to revise, postpone, suspend or terminate our clinical trials.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we initiated the study in October 2022. Commencing each of these clinical trials is subject to finalizing the trial design based on discussions with the FDA and other regulatory authorities.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composition of stricter approval conditions than currently expected. For a further example, we relied on the data package generated by Roche to support our IND submission for bitopertin to initiate our AURORA Phase 2 clinical trial in patients with EPP, as well as our submission of an application with the Australian Therapeutic Goods Administration, or TGA, for our BEACON Phase 2 clinical trial in patients with EPP or XLP, and it is possible that the FDA or TGA, as applicable, may require us to conduct additional preclinical studies to support a future marketing application of bitopertin. Successful completion of our clinical trials is a prerequisite to submitting an NDA or a BLA to the FDA, a Marketing Authorisation Application, or MAA, to the European Medicines Agency, or EMA, or other marketing applications to regulatory authorities in other jurisdictions, for each product candidate and, consequently, the regulatory approval of each product candidate.</w:t>
      </w:r>
    </w:p>
    <w:p>
      <w:pPr>
        <w:spacing w:after="0" w:line="7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A single well-controlled clinical trial may not be sufficient for approval. In general, the FDA requires two well-controlled clinical trials to support registration of a new drug or biologic. Exceptions may be made in cases of a severe disease with few treatment options, and in principle this exception may appear applicable to many of the diseases that we seek to treat, such as EPP, XLP, anemia of MF, DBA and others. Nonetheless, the FDA and other regulators may always require additional clinical trials to support regulatory approval.</w:t>
      </w:r>
    </w:p>
    <w:p>
      <w:pPr>
        <w:spacing w:after="0" w:line="79"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we are required to conduct additional preclinical studies or clinical trials or other testing of our product candidates beyond those that are currently contemplated, if we are unable to successfully complete clinical trials of our product candidates or other testing, if the results of these trials or tests are not positive or are only modestly positive or if there are safety concerns, we may:</w:t>
      </w:r>
    </w:p>
    <w:p>
      <w:pPr>
        <w:spacing w:after="0" w:line="76" w:lineRule="exact"/>
        <w:rPr>
          <w:sz w:val="20"/>
          <w:szCs w:val="20"/>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experience having the product removed from the market after obtaining regulatory approval.</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programs are focused on the development of therapeutics for patients with hematologic diseases, which is a rapidly evolving area of science, and the approach we are taking to discover and develop product candidates is novel and may never lead to approved or marketable products.</w:t>
      </w:r>
    </w:p>
    <w:p>
      <w:pPr>
        <w:spacing w:after="0" w:line="1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discovery and development of therapeutics for patients with hematologic diseases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Although we believe, based on our preclinical work that our programs have the potential to provide disease-modifying therapies, clinical results in patients may not confirm this hypothesis or may only confirm it for certain alterations or certain indications. The patient populations for our product candidates are limited to those with specific hematologic diseases. We cannot be certain that the patient populations for each specific disease will be large enough to allow us to successfully obtain approval and commercialize our product candidates and achieve profitability.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Our preclinical studies and future and ongoing clinical trials may not be successful. Currently, all of our programs are in preclinical and early clinical development. It is impossible to predict when or if any of our product candidates will prove effective and safe in humans or will receive regulatory approval. Before obtaining regulatory approval from regulatory authorities for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8" w:name="page39"/>
    <w:bookmarkEnd w:id="38"/>
    <w:p>
      <w:pPr>
        <w:jc w:val="both"/>
        <w:spacing w:after="0" w:line="290" w:lineRule="auto"/>
        <w:rPr>
          <w:sz w:val="20"/>
          <w:szCs w:val="20"/>
          <w:color w:val="auto"/>
        </w:rPr>
      </w:pPr>
      <w:r>
        <w:rPr>
          <w:rFonts w:ascii="Arial" w:cs="Arial" w:eastAsia="Arial" w:hAnsi="Arial"/>
          <w:sz w:val="16"/>
          <w:szCs w:val="16"/>
          <w:color w:val="auto"/>
        </w:rPr>
        <w:t>sale of any product candidate, we must complete preclinical studies and then conduct extensive clinical trials to demonstrate the safety and efficacy of our product candidates or the safety, purity and potency of our biological product candidates in humans. There is no guarantee that our product candidates will advance in accordance with the timelines we anticipate, if at all.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top-line, initial, or preliminary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and ongoing clinical trials may not be successful.</w:t>
      </w:r>
    </w:p>
    <w:p>
      <w:pPr>
        <w:spacing w:after="0" w:line="5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Additionally, some of the clinical trials we conduct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clinical trial may not be predictive of future clinical trial results when studied in a controlled environment with a placebo or active control.</w:t>
      </w:r>
    </w:p>
    <w:p>
      <w:pPr>
        <w:spacing w:after="0" w:line="58"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May 2021, we entered into the Roche Agreement, pursuant to which, among other things, Roche granted us an exclusive and sublicensable (subject to Roche’s consent, except with respect to affiliates) worldwide license under certain of Roche’s patent rights and know-how to develop and commercialize bitopertin. Although bitopertin was originally evaluated by Roche in over 4,000 individuals, Roche did not evaluate bitopertin in EPP or XLP, so the safety data generated from Roche’s clinical trials of bitopertin may not be predictive or indicative of the results of our clinical trials. Regulatory authorities may also raise questions regarding the transition in the future from Roche-manufactured drug substance to drug substance manufactured by us or another party, and we may be required to conduct comparability assessments, which could result in delays in development and additional costs. We may face similar challenges with respect to MWTX-003, for which pre-clinical results may not be indicative or predictive of future clinical trial results.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Because we are developing some of our product candidates for the treatment of diseases in which there is little clinical experience and, in some cases, using new endpoints or methodologies, the FDA or other regulatory authorities may not consider the endpoints of our clinical trials to predict or provide clinically meaningful results.</w:t>
      </w:r>
    </w:p>
    <w:p>
      <w:pPr>
        <w:spacing w:after="0" w:line="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Many of our product candidates are designed to treat diseases for which there are few available therapeutic options. For example, in the United States there are currently no therapies approved to treat anemia of MF and there is only one approved therapy to treat EPP. As a result, the design and conduct of clinical trials of product candidates for the treatment of these diseases may take longer, be more costly or be less effective as part of the novelty of development in these diseases. In some cases, we may use new or novel endpoints or methodologies. The FDA or other regulatory authorities may not consider the endpoints of our clinical trials to be validated or clinically meaningful and we may need to conduct proof-of-concept studies or additional work to refine our endpoints and inform the design of future studies before initiating pivotal studies of our product candidates. Even if applicable regulatory authorities do not object to our proposed endpoints in an earlier stage clinical trial, such regulatory authorities may require evaluation of additional or different clinical endpoints in later-stage clinical trials.</w:t>
      </w:r>
    </w:p>
    <w:p>
      <w:pPr>
        <w:spacing w:after="0" w:line="70"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Even if the FDA does find our clinical trial success criteria to be sufficiently supported and clinically meaningful at the time, we may not achieve the pre-specified endpoint to a degree of statistical significance in any pivotal or other clinical trials we may conduct for our product candidates. Further, even if we do achieve the pre-specified criteria, our trials may produce results that are unpredictable or inconsistent with the results of the more traditional efficacy endpoints in the trial. The FDA also could change its view or give overriding weight to other efficacy endpoints over a primary endpoint, even if we achieve statistically significant results on that primary endpoint, if for example we do not do so on our secondary efficacy endpoints. The FDA also weighs the benefits of a product candidate against its risks and the FDA may view the efficacy results in the context of safety as not being supportive of approval. Other regulatory authorities in Europe and other countries may make similar findings with respect to these endpoints.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Interim, top-line, initial, and preliminary data from our clinical trials that we announce or publish from time to time may change as more patient data become available and are subject to confirmation, audit, and verification procedures that could result in material changes in the final data.</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39" w:name="page40"/>
    <w:bookmarkEnd w:id="39"/>
    <w:p>
      <w:pPr>
        <w:jc w:val="both"/>
        <w:ind w:firstLine="509"/>
        <w:spacing w:after="0" w:line="269" w:lineRule="auto"/>
        <w:rPr>
          <w:sz w:val="20"/>
          <w:szCs w:val="20"/>
          <w:color w:val="auto"/>
        </w:rPr>
      </w:pPr>
      <w:r>
        <w:rPr>
          <w:rFonts w:ascii="Arial" w:cs="Arial" w:eastAsia="Arial" w:hAnsi="Arial"/>
          <w:sz w:val="17"/>
          <w:szCs w:val="17"/>
          <w:color w:val="auto"/>
        </w:rPr>
        <w:t>From time to time, we may publicly disclose interim, top-line, initial, or preliminary data from our clinical trials, which is based on a preliminary analysis of then-available data, and the results and related findings and conclusions are subject to change following a more comprehensive review of the data. For example, we announced top-line results from the Phase 1 DISC-0974 clinical trial in June 2022 and initial results from our Phase 2 BEACON clinical trial of bitopertin in June 2023. We also may make assumptions, estimations, calculations and conclusions as part of our analyses of data, and may not have received or had the opportunity to fully and carefully evaluate all data. As a result, the interim, top-line, initial, or preliminary results that we report may differ from future results of the same trials, or different conclusions or considerations may qualify such results, once additional data have been received and fully evaluated. Interim, top-line, initial, and preliminary data from clinical trials are subject to the risk that one or more of the clinical outcomes may materially change as patient enrollment continues and more patient data become available. Interim, top-line, initial, and preliminary data also remain subject to audit and verification procedures that may result in the final data being materially different from the interim, top-line, initial, or preliminary data we previously published. As a result, interim, top-line, initial, and preliminary data should be viewed with caution until the final data are available. Adverse differences between interim, top-line, initial, or preliminary data and final data could significantly harm our business prospects and may cause the price of our common stock to fluctuate or decline.</w:t>
      </w:r>
    </w:p>
    <w:p>
      <w:pPr>
        <w:spacing w:after="0" w:line="7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commercialization of any approved product and the business prospects of the company in general.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5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the interim, top-line, initial, or preliminary data that we report differs from actual results, or if regulatory authorities or others, disagree with the conclusions reached, our ability to obtain approval for, and commercialize, our product candidates may be significantly impaired, which could materially harm our business, operating results, prospects or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We may experience delays in initiating or completing our preclinical studies or clinical trials, including as a result of delays in obtaining, or failure to obtain, the FDA’s authorization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authorizations, regulatory approval or commercialize our product candidates, including:</w:t>
      </w:r>
    </w:p>
    <w:p>
      <w:pPr>
        <w:spacing w:after="0" w:line="68" w:lineRule="exact"/>
        <w:rPr>
          <w:sz w:val="20"/>
          <w:szCs w:val="20"/>
          <w:color w:val="auto"/>
        </w:rPr>
      </w:pPr>
    </w:p>
    <w:p>
      <w:pPr>
        <w:ind w:left="760" w:hanging="378"/>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requires us to modify the design or implementation of our preclinical studies or clinical trials or to delay or terminate a clinical trial;</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regulators or IRBs or ethics committees may delay or may not authorize us or our investigators to commence a clinical trial or conduct a clinical trial at a prospective trial site;</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preclinical studies or clinical trials of our product candidates may not produce differentiated or clinically significant results across indications;</w:t>
      </w:r>
    </w:p>
    <w:p>
      <w:pPr>
        <w:spacing w:after="0" w:line="140"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anticipated, enrollment in these clinical trials may be slower than anticipated or participants may drop out of these clinical trials or fail to return for post-treatment follow-up at a higher rate than anticipated;</w:t>
      </w:r>
    </w:p>
    <w:p>
      <w:pPr>
        <w:spacing w:after="0" w:line="75" w:lineRule="exact"/>
        <w:rPr>
          <w:rFonts w:ascii="Arial" w:cs="Arial" w:eastAsia="Arial" w:hAnsi="Arial"/>
          <w:sz w:val="18"/>
          <w:szCs w:val="18"/>
          <w:color w:val="auto"/>
        </w:rPr>
      </w:pPr>
    </w:p>
    <w:p>
      <w:pPr>
        <w:jc w:val="both"/>
        <w:ind w:left="760" w:hanging="378"/>
        <w:spacing w:after="0" w:line="259"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78"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0" w:name="page41"/>
    <w:bookmarkEnd w:id="40"/>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anticipated;</w:t>
      </w:r>
    </w:p>
    <w:p>
      <w:pPr>
        <w:spacing w:after="0" w:line="117"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supply or quality of our product candidates or other materials necessary to conduct clinical trials of our product candidates may be insufficient or inadequate, and any transfer of manufacturing activities may require unforeseen manufacturing or formulation changes;</w:t>
      </w:r>
    </w:p>
    <w:p>
      <w:pPr>
        <w:spacing w:after="0" w:line="38" w:lineRule="exact"/>
        <w:rPr>
          <w:rFonts w:ascii="Arial" w:cs="Arial" w:eastAsia="Arial" w:hAnsi="Arial"/>
          <w:sz w:val="17"/>
          <w:szCs w:val="17"/>
          <w:color w:val="auto"/>
        </w:rPr>
      </w:pPr>
    </w:p>
    <w:p>
      <w:pPr>
        <w:jc w:val="both"/>
        <w:ind w:left="760" w:hanging="378"/>
        <w:spacing w:after="0" w:line="263" w:lineRule="auto"/>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regulators or IRBs or ethics committees to suspend or terminate the trials, or reports may arise from preclinical or clinical testing of other hematologic disease therapies that raise safety or efficacy concerns about our product candidates;</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future collaborators may conduct clinical trials in ways they view as advantageous to them but that are suboptimal for us;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regulators may revise the requirements for approving our product candidates, or such requirements may not be as anticipated.</w:t>
      </w:r>
    </w:p>
    <w:p>
      <w:pPr>
        <w:spacing w:after="0" w:line="117"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We could encounter delays if a clinical trial is suspended or terminated by us, by the IRBs or ethics committees of the institutions at which such trials are being conducted or by the FDA or other regulatory authorities, or if the Data Safety Monitoring Board, or DSMB, for such trial recommends suspension or termination of the trial. Such authorities may impose or recommend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For example, we filed an IND in April 2022 with the FDA to initiate the AURORA Phase 2 trial of bitopertin in EPP patients, but the FDA initially placed the initiation of this trial on clinical hold; we received clearance to initiate the study in July 2022 after the study design was finalized with the FDA and initiated the study in October 2022.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9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Moreover, principal investigators for our current and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trial.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5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rare hematologic diseases for the development of our product candidates, our ability to enroll eligible patients may be limited or may result in slower enrollment than we anticipate.</w:t>
      </w:r>
    </w:p>
    <w:p>
      <w:pPr>
        <w:spacing w:after="0" w:line="6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may experience difficulties with identifying specific patient populations for any defined trial cohorts. The patient eligibility criteria defined in our trial protocols, may limit the patient populations eligible for our clinical trials. We will also rely on the willingness and ability of clinicians to screen their patients, such as for specific genetic hematologic conditions, to indicate which patients may be eligible for enrollment in our clinical trials.</w:t>
      </w:r>
    </w:p>
    <w:p>
      <w:pPr>
        <w:spacing w:after="0" w:line="5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some of our competitors have ongoing clinical trials for product candidates that are intended to treat the same indications as our product candidates, and patients who would otherwise be eligible for our clinical trials may choose instead to enroll in clinical trials of our competitors’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jc w:val="both"/>
        <w:ind w:firstLine="509"/>
        <w:spacing w:after="0" w:line="275" w:lineRule="auto"/>
        <w:rPr>
          <w:sz w:val="20"/>
          <w:szCs w:val="20"/>
          <w:color w:val="auto"/>
        </w:rPr>
      </w:pPr>
      <w:r>
        <w:rPr>
          <w:rFonts w:ascii="Arial" w:cs="Arial" w:eastAsia="Arial" w:hAnsi="Arial"/>
          <w:sz w:val="17"/>
          <w:szCs w:val="17"/>
          <w:color w:val="auto"/>
        </w:rPr>
        <w:t>Additionally, the process of finding patients may prove costly. We also may not be able to identify, recruit or enroll a sufficient number of patients to complete our clinical trials because of the small patient populations with rare hematologic diseases,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17" w:lineRule="exact"/>
        <w:rPr>
          <w:sz w:val="20"/>
          <w:szCs w:val="20"/>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Results from early preclinical studies and clinical trials of our programs and product candidates are not necessarily predictive of the results of later preclinical studies and clinical trials of our programs and product candidates. If we cannot replicate the results from earlier preclinical studies and clinical trials of our programs and product candidates in our later preclinical studies and clinical trials, we may be unable to successfully develop, obtain regulatory approval for and commercialize our product candidates.</w:t>
      </w:r>
    </w:p>
    <w:p>
      <w:pPr>
        <w:spacing w:after="0" w:line="79"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Any results from early preclinical studies and clinical trials of bitopertin, DISC-0974, DISC-0998, MWTX-003 or our other product candidates or programs may not necessarily be predictive of the results from later preclinical studies and clinical trials. For example, DISC-0974 has undergone testing in healthy volunteers, a Phase 1b/2 clinical trial in patients with anemia of MF was initiated in June 2022 and a separate Phase 1b/2 clinical trial in patients with non-dialysis dependent CKD and anemia was initiated in February 2023. However, there can be no assurance that DISC-0974 will achieve the desired effects in these indications. Additionally, MWTX-003 has only been evaluated in pre-clinical models, which may not be indicative or predictive of future clinical trial results.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Many companies in the biopharmaceutical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findings made while clinical trials were underway, or safety or efficacy observations made in preclinical studies and clinical trials, including previously unreported adverse events. Moreover, preclinical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clinical trials or those of our future collaborators may reveal significant adverse events not seen in prior preclinical studies or clinical trials and may result in a safety profile that could inhibit regulatory approval or market acceptance of any of our product candidates.</w:t>
      </w:r>
    </w:p>
    <w:p>
      <w:pPr>
        <w:spacing w:after="0" w:line="38"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regulated as drugs are safe and effective and our product candidates regulated as biologics are safe, pure and potent for use in each target indication. Clinical testing is expensive and can take many years to complete, and outcomes are inherently uncertain. Failure can occur at any time during the clinical trial process. Because our programs and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preclinical studies and initial clinical trials. For example, Roche had previously developed bitopertin as a potential therapy for certain symptoms of schizophrenia and obsessive-compulsive disorder, but discontinued the program for lack of efficacy in those indications after completing over 30 clinical trials in over 4,000 individuals. If the results of our ongoing or future preclinical studies and clinical trials are inconclusive with respect to the safety and efficacy of our programs and product candidates, if we do not meet the clinical endpoints with statistical and clinically meaningful significance, or if there are safety concerns associated with our product candidates, we may be prevented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2" w:name="page43"/>
    <w:bookmarkEnd w:id="42"/>
    <w:p>
      <w:pPr>
        <w:jc w:val="both"/>
        <w:spacing w:after="0" w:line="272" w:lineRule="auto"/>
        <w:rPr>
          <w:sz w:val="20"/>
          <w:szCs w:val="20"/>
          <w:color w:val="auto"/>
        </w:rPr>
      </w:pPr>
      <w:r>
        <w:rPr>
          <w:rFonts w:ascii="Arial" w:cs="Arial" w:eastAsia="Arial" w:hAnsi="Arial"/>
          <w:sz w:val="17"/>
          <w:szCs w:val="17"/>
          <w:color w:val="auto"/>
        </w:rPr>
        <w:t>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Results of our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w:t>
      </w:r>
    </w:p>
    <w:p>
      <w:pPr>
        <w:spacing w:after="0" w:line="69"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have not yet been observed. For example, bitopertin may demonstrate toxicities in patients with hematologic diseases not previously observed by Roche when it was studied in different indications. Many compounds that initially showed promise in early-stage testing have later been found to cause side effects that prevented further development of the compound. Most product candidates that commence clinical trials are never approved as products, and there can be no assurance that any of our current or future clinical trials will ultimately be successful or support further clinical development or regulatory approval of any of our product candidates.</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As is the case with many treatments for hematologic and rare diseases, it is likely that there may be side effects associated with the use of our product candidates. If significant adverse events or other side effects are observed in any of our current or future clinical trials, we may have difficulty recruiting patients to our clinical trials, patients may drop out of our trials, or we may be required to abandon the trials or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which may result in greater research and development expenses, regulatory issues that could delay or prevent approval, or discovery of unknown or unanticipated adverse effects on safety or efficacy.</w:t>
      </w:r>
    </w:p>
    <w:p>
      <w:pPr>
        <w:spacing w:after="0" w:line="7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Some of our product candidates modulate pathways for which there are currently no approved or effective therapies, which may result in uncertainty. We select programs for targets based on compelling biological rationale, including evidence of expected biological effects in humans. We explore new programs based on extensive preclinical data analysis which sometimes cannot predict efficacy or safety in humans. 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product candidates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Our product candidates may achieve lower efficacy in patients than expected. Any such events could adversely impact our business prospects, operating results and financial condition.</w:t>
      </w:r>
    </w:p>
    <w:p>
      <w:pPr>
        <w:spacing w:after="0" w:line="18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are currently conducting a Phase 2 clinical trial for bitopertin in Australia and may in the future conduct additional clinical trials of our product candidates outside the United States, and the FDA and comparable foreign regulatory authorities may not accept data from such trials.</w:t>
      </w:r>
    </w:p>
    <w:p>
      <w:pPr>
        <w:spacing w:after="0" w:line="1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July 2022, we initiated BEACON, a Phase 2 open-label, parallel-dose clinical trial of bitopertin in EPP and XLP patients that is being conducted at sites in Australia. We may in the future choose to conduct additional clinical trials of our product candidates outside the United States, including in Europe, Australia, or other foreign jurisdictions. The acceptance of trial data from clinical trials conducted outside the United States by the FDA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 (i) the data are applicable to the United States population and United States medical practices, (ii) the trials were performed by clinical investigators of recognized competence and (iii) the data may be considered valid without the need for an on-site inspection by the FDA or, if the FDA considers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3" w:name="page44"/>
    <w:bookmarkEnd w:id="43"/>
    <w:p>
      <w:pPr>
        <w:jc w:val="both"/>
        <w:spacing w:after="0" w:line="272" w:lineRule="auto"/>
        <w:rPr>
          <w:sz w:val="20"/>
          <w:szCs w:val="20"/>
          <w:color w:val="auto"/>
        </w:rPr>
      </w:pPr>
      <w:r>
        <w:rPr>
          <w:rFonts w:ascii="Arial" w:cs="Arial" w:eastAsia="Arial" w:hAnsi="Arial"/>
          <w:sz w:val="17"/>
          <w:szCs w:val="17"/>
          <w:color w:val="auto"/>
        </w:rPr>
        <w:t>such an inspection to be necessary, the FDA is able to validate the data through an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will be subject to the applicable local laws of the foreign jurisdictions where the trials are conducted. There can be no assurance that the FDA or any comparable foreign regulatory authority, including the TGA,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Research programs to pursue the development of our existing and planned product candidates for additional indications and to identify new product candidates and disease targets require substantial technical, financial and human resources whether or not they are ultimately successful. Our research programs may initially show promise in identifying potential indications and/or product candidates, yet fail to yield results for clinical development for a number of reasons, including:</w:t>
      </w:r>
    </w:p>
    <w:p>
      <w:pPr>
        <w:spacing w:after="0" w:line="79"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product portfolio.</w:t>
      </w:r>
    </w:p>
    <w:p>
      <w:pPr>
        <w:spacing w:after="0" w:line="76"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7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Accordingly, there can be no assurance that we will ever be able to identify additional therapeutic opportunities for our product candidates or to develop suitable product candidates through internal research programs, which could materially adversely affect our future growth and prospects. We may focus our efforts and resources on potential product candidates or other potential programs that ultimately prove to be unsuccessful.</w:t>
      </w:r>
    </w:p>
    <w:p>
      <w:pPr>
        <w:spacing w:after="0" w:line="16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6"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Currently, all of our product candidates are in discovery, preclinical or clinical development, and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side effects, toxicities or other characteristics that may preclude us from obtaining regulatory approval or prevent or limit commercial use. In addition, regulatory authorities may find fault with our manufacturing process or facilities or that of third-party contract manufacturers. We may also face greater than expected difficulty in manufacturing our product candidates.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4" w:name="page45"/>
    <w:bookmarkEnd w:id="44"/>
    <w:p>
      <w:pPr>
        <w:jc w:val="both"/>
        <w:ind w:firstLine="509"/>
        <w:spacing w:after="0" w:line="271" w:lineRule="auto"/>
        <w:rPr>
          <w:sz w:val="20"/>
          <w:szCs w:val="20"/>
          <w:color w:val="auto"/>
        </w:rPr>
      </w:pPr>
      <w:r>
        <w:rPr>
          <w:rFonts w:ascii="Arial" w:cs="Arial" w:eastAsia="Arial" w:hAnsi="Arial"/>
          <w:sz w:val="17"/>
          <w:szCs w:val="17"/>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BLA, or equivalent application types, may cause delays in the approval or rejection of an application. The FDA and comparable foreign regulatory authorities have substantial discretion in the approval process and may refuse to accept any application or may decide that our data is insufficient for approval and require additional preclinical, clinical or other studies. Our product candidates could be delayed in receiving, or fail to receive, regulatory approval for many reasons, including the following:</w:t>
      </w:r>
    </w:p>
    <w:p>
      <w:pPr>
        <w:spacing w:after="0" w:line="70"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trials;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2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BLA or other submission or to obtain regulatory approval in the United States or elsewhere;</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62"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8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COVID-19 pandemic, or a similar pandemic, epidemic, or outbreak of an infectious or highly contagious disease, may materially and adversely affect our business and financial results and could cause a disruption to the development of our product candidates.</w:t>
      </w:r>
    </w:p>
    <w:p>
      <w:pPr>
        <w:spacing w:after="0" w:line="3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Public health crises such as pandemics, including the COVID-19 pandemic, or similar outbreaks could adversely impact our business. The extent to which COVID-19, or the future outbreak of other highly infectious or contagious diseases impacts our operations or those of our third-party partners, including our preclinical studies or clinical trial operations, will depend on future developments, which are highly uncertain and cannot be predicted with confidence, including the scope, severity and duration of the outbreak, actions taken to contain the outbreak or mitigate its impact, and the direct and indirect economic effects of the outbreak and containment measures, among others.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In addition, the patient populations that our product candidates target may be particularly susceptible to COVID-19 or other highly infectious or contagious diseases, which may make it more difficult for us to identify patients able to enroll in our current and future clinical trials and may impact the ability of enrolled patients to complete any such trials.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development and commercialization of new products in the biopharmaceutical and related industries is highly competitive. We compete in the segments of the pharmaceutical, biotechnology, and other related markets that develop therapies in the field of hematologic diseases. There are other companies focusing on developing therapies in the field of hematologic diseases.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5" w:name="page46"/>
    <w:bookmarkEnd w:id="45"/>
    <w:p>
      <w:pPr>
        <w:jc w:val="both"/>
        <w:spacing w:after="0" w:line="272" w:lineRule="auto"/>
        <w:rPr>
          <w:sz w:val="20"/>
          <w:szCs w:val="20"/>
          <w:color w:val="auto"/>
        </w:rPr>
      </w:pPr>
      <w:r>
        <w:rPr>
          <w:rFonts w:ascii="Arial" w:cs="Arial" w:eastAsia="Arial" w:hAnsi="Arial"/>
          <w:sz w:val="17"/>
          <w:szCs w:val="17"/>
          <w:color w:val="auto"/>
        </w:rPr>
        <w:t>We also compete more broadly across the market for cost-effective and reimbursable treatments. Some of these competitive products and therapies are based on scientific approaches that are the same as or similar to our approach, and others are based on entirely different approaches. These companies include divisions of large pharmaceutical companies and biotechnology companies of various sizes.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6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successfully transition research programs into clinical development, ability to raise capital, and the scalability of the platform, pipeline, and business.</w:t>
      </w:r>
    </w:p>
    <w:p>
      <w:pPr>
        <w:spacing w:after="0" w:line="8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products that are safer, more effective, have fewer or less severe side effects, are more convenient or are less expensive than any products that we or our collaborators may develop. Our competitors also may obtain FDA or other regulatory approval for their products sooner than we may obtain approval for our product candidates,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availability of reimbursement from government and other third-party payors.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could be materially adversely affected.</w:t>
      </w:r>
    </w:p>
    <w:p>
      <w:pPr>
        <w:spacing w:after="0" w:line="1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incidence and prevalence for the target patient populations of our programs and product candidates have not been established with precision. Our lead heme biosynthesis modulation product candidate, bitopertin, is an oral, selective inhibitor of GlyT1. We are initially focused on developing bitopertin for the treatment of EPP and XLP, which are both diseases marked by severe photosensitivity and damage to the hepatobiliary system caused by the accumulation of PPIX. In July 2022, we initiated BEACON, a Phase 2 open-label, parallel-dose clinical trial of bitopertin in EPP and XLP patients that is being conducted at sites in Australia. Separately, in October 2022, we initiated AURORA, a Phase 2, randomized, double-blind, placebo-controlled clinical trial of bitopertin in EPP patients that is being conducted at sites in the United States. We initiated a Phase 1b/2 clinical trial of DISC-0974 in June 2022 in the United States in patients with anemia of MF, and initiated a separate Phase 1b/2 clinical trial in the February 2023 in patients with non-dialysis dependent CKD and anemia. We are initially focused on developing MWTX-003 for the treatment of PV. Our projections of both the number of people who have these diseases, as well as the subset of people with these diseases who have the potential to benefit from treatment with our programs and product candidates, are based on our estimates.</w:t>
      </w:r>
    </w:p>
    <w:p>
      <w:pPr>
        <w:spacing w:after="0" w:line="7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erythropoietic porphyria and anemias of inflammation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access to capital, we must prioritize development of certain product candidates, which may prove to be the wrong choice and may adversely affect our business.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our sales may be limited, and we may never become profitable.</w:t>
      </w:r>
    </w:p>
    <w:p>
      <w:pPr>
        <w:spacing w:after="0" w:line="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may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heme biosynthesis modulation therapies or hepcidin-targeted agents is unsafe, whether related to our or our competitors’ products, our products may not be accepted by the general public or the medical community. Future adverse events in the hematologic diseases or the biopharmaceutical industry could also result in greater governmental regulation, stricter labeling requirements and potential regulatory delays in the testing or approvals of our product candidates.</w:t>
      </w:r>
    </w:p>
    <w:p>
      <w:pPr>
        <w:spacing w:after="0" w:line="74"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Even if coverage is provided, the approved reimbursement amount may not be high enough to allow us to establish or maintain pricing sufficient to realize a sufficient return on our investment. Government authorities and third-party payors, such as private health insurers and health maintenance organizations, decide which medications they will pay for and establish reimbursement levels.</w:t>
      </w:r>
    </w:p>
    <w:p>
      <w:pPr>
        <w:spacing w:after="0" w:line="58" w:lineRule="exact"/>
        <w:rPr>
          <w:sz w:val="20"/>
          <w:szCs w:val="20"/>
          <w:color w:val="auto"/>
        </w:rPr>
      </w:pPr>
    </w:p>
    <w:p>
      <w:pPr>
        <w:jc w:val="both"/>
        <w:ind w:firstLine="509"/>
        <w:spacing w:after="0" w:line="301"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49"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 and the approved claims that we may make for the products;</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our current product candidates and any future product candidates, which could reduce the marketing impact of any claims that we could make following FDA approval or approval by comparable foreign regulatory authorities, if obtained;</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safety, efficacy, and other potential advantages over, and availability of, alternative treatments already used or that may later be approved;</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jc w:val="both"/>
        <w:ind w:left="760" w:hanging="378"/>
        <w:spacing w:after="0" w:line="263"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market introduction of our current product candidates and any future product candidates, as well as competitive products;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adverse publicity about our current product candidates and any future product candidates, or favorable publicity about competitive products; and</w:t>
      </w:r>
    </w:p>
    <w:p>
      <w:pPr>
        <w:spacing w:after="0" w:line="140" w:lineRule="exact"/>
        <w:rPr>
          <w:rFonts w:ascii="Arial" w:cs="Arial" w:eastAsia="Arial" w:hAnsi="Arial"/>
          <w:sz w:val="16"/>
          <w:szCs w:val="16"/>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There is also significant uncertainty related to the insurance coverage and reimbursement of newly approved products and coverage may be more limited than the purposes for which the medicine 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CMS decides whether and to what extent a new medicine will be covered and reimbursed under Medicare and private payors tend to follow CMS to a substantial degree. Further, due to the COVID-19 pandemic, millions of individuals have lost or will be losing employer-based insurance coverage, which may adversely affect our ability to commercialize our products. It is unclear what effect, if any, the American Rescue Plan will have on the number of covered individuals.</w:t>
      </w:r>
    </w:p>
    <w:p>
      <w:pPr>
        <w:spacing w:after="0" w:line="6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We may not be successful in addressing these or other factors that might affect the market acceptance of our product candidates. Failure to achieve widespread market acceptance of our product candidates would materially harm our business, financial condition and results of operations.</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49"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For certain commercial prescription drug and biological products, manufacturers and other parties involved in the supply chain must also meet chain of distribution requirements and build electronic, interoperable systems for product tracking and tracing and for notifying the FDA of counterfeit, diverted, stolen and intentionally adulterated products or other products that are otherwise unfit for distribution in the United States.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68" w:lineRule="exact"/>
        <w:rPr>
          <w:sz w:val="20"/>
          <w:szCs w:val="20"/>
          <w:color w:val="auto"/>
        </w:rPr>
      </w:pPr>
    </w:p>
    <w:p>
      <w:pPr>
        <w:ind w:left="760" w:hanging="378"/>
        <w:spacing w:after="0" w:line="277" w:lineRule="auto"/>
        <w:tabs>
          <w:tab w:leader="none" w:pos="7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manufacturing delays and supply disruptions where regulatory inspections identify observations of noncompliance requiring remediation;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1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rely on third parties to conduct our Phase 2 clinical trials of bitopertin, Phase 1b/2 clinical trials of DISC-0974 and planned Phase 1 clinical trial of MWTX-003 and expect to rely on third parties to conduct other clinical trials for our product candidates, as well as potential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80"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We do not have the ability to independently conduct clinical trials. We rely and expect to continue to rely on medical institutions, clinical investigators, contract laboratories and other third parties, such as CROs, to conduct or otherwise support clinical trials for our product candidates, including our Phase 2 clinical trials of bitopertin, Phase 1b/2 clinical trials of DISC-0974 in patients with anemia of MF or non-dialysis dependent CKD and anemia, our planned Phase 1 trial of MWTX-003, as well as any other product candidates that we develop. We may also rely on academic and private non-academic institutions to conduct and sponsor clinical trials relating to our product candidates, such as the ongoing clinical trial of bitopertin in DBA, which is being conducted by NIH under a collaborative research and development agreement. We will not control the design or conduct of any investigator-sponsored trials, and it is possible that the FDA or non-U.S. regulatory authorities will not view these investigator-sponsored trials as providing adequate support for future clinical trials, whether controlled by us or third parties, for any one or more reasons, including elements of the design or execution of the trials or safety concerns or other trial results.</w:t>
      </w:r>
    </w:p>
    <w:p>
      <w:pPr>
        <w:spacing w:after="0" w:line="73"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Such arrangements will likely provide us certain information rights with respect to the investigator-sponsored trials, including access to and the ability to use and reference the data, including for our own regulatory filings, resulting from the investigator-sponsored trials.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ourself may be adversely affected.</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rely and expect to continue to rely heavily on these parties for execution of clinical trials for our product candidates and control only certain aspects of our activities. Nevertheless, we are responsible for ensuring that each of our clinical trials is conducted in accordance with the applicable protocol, legal and regulatory requirements and scientific standards, and our reliance on CROs or other third parties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our principal investigators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or the EEA, and comparable foreign regulatory authorities for any products in clinical development. The FDA enforces GCP regulations through periodic inspections of clinical trial sponsors, principal investigators and trial sites. If we, our principal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jc w:val="both"/>
        <w:spacing w:after="0" w:line="254" w:lineRule="auto"/>
        <w:rPr>
          <w:sz w:val="20"/>
          <w:szCs w:val="20"/>
          <w:color w:val="auto"/>
        </w:rPr>
      </w:pPr>
      <w:r>
        <w:rPr>
          <w:rFonts w:ascii="Arial" w:cs="Arial" w:eastAsia="Arial" w:hAnsi="Arial"/>
          <w:sz w:val="18"/>
          <w:szCs w:val="18"/>
          <w:color w:val="auto"/>
        </w:rPr>
        <w:t>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must be conducted with product candidates produced under current Good Manufacturing Practice, or cGMP, regulations. Our failure or the failure of our principal investigators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84"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Although we designed our Phase 1b/2 clinical trials of DISC-0974 and ongoing Phase 2 clinical trials of bitopertin and intend to design the future clinical trials for our product candidates, these trials are or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84" w:lineRule="exact"/>
        <w:rPr>
          <w:sz w:val="20"/>
          <w:szCs w:val="20"/>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1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might not realize the anticipated benefits of our current collaborations with Mabwell or NIH, or any other collaborations we enter into in the future.</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Research, development, commercialization and/or strategic collaborations, including those that we have with Mabwell and NIH, are subject to numerous risks, which include the following:</w:t>
      </w:r>
    </w:p>
    <w:p>
      <w:pPr>
        <w:spacing w:after="0" w:line="62" w:lineRule="exact"/>
        <w:rPr>
          <w:sz w:val="20"/>
          <w:szCs w:val="20"/>
          <w:color w:val="auto"/>
        </w:rPr>
      </w:pPr>
    </w:p>
    <w:p>
      <w:pPr>
        <w:ind w:left="76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62" w:lineRule="exact"/>
        <w:rPr>
          <w:rFonts w:ascii="Arial" w:cs="Arial" w:eastAsia="Arial" w:hAnsi="Arial"/>
          <w:sz w:val="18"/>
          <w:szCs w:val="18"/>
          <w:color w:val="auto"/>
        </w:rPr>
      </w:pPr>
    </w:p>
    <w:p>
      <w:pPr>
        <w:jc w:val="both"/>
        <w:ind w:left="760" w:hanging="378"/>
        <w:spacing w:after="0" w:line="311" w:lineRule="auto"/>
        <w:tabs>
          <w:tab w:leader="none" w:pos="7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collaborators might not pursue research, development and/or commercialization of collaboration product candidates or might elect not to continue or renew research, development and/or commercialization programs based on preclinical studies and/or clinical trial results, changes in their strategic focus, availability of funding or other factors, such as a business combination that diverts resources or creates competing priorities;</w:t>
      </w:r>
    </w:p>
    <w:p>
      <w:pPr>
        <w:spacing w:after="0" w:line="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0" w:name="page51"/>
    <w:bookmarkEnd w:id="50"/>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exposes us to potential liability;</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In addition, funding provided by a collaborator might not be sufficient to advance product candidates under the collaboration. 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 product candidate or abandon that program, the development of the relevant product candidate could be significantly delayed, and our cash expenditures could increase significantly if we are to continue research, development and/or commercialization of the relevant product candidates.</w:t>
      </w:r>
    </w:p>
    <w:p>
      <w:pPr>
        <w:spacing w:after="0" w:line="70"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have established collaborations with Mabwell and NIH and may seek to establish additional collaborations, and, if we are not able to establish them on commercially reasonable terms, or at all, we may have to alter our development and commercialization plans.</w:t>
      </w:r>
    </w:p>
    <w:p>
      <w:pPr>
        <w:spacing w:after="0" w:line="38"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Our product development programs and the potential commercialization of our product candidates will require substantial additional cash to fund expenses. For some of our product candidates, we may decide to collaborate with pharmaceutical and biotechnology companies, such as our collaborations with Mabwell and NIH, for the development and potential commercialization of those product candidates.</w:t>
      </w:r>
    </w:p>
    <w:p>
      <w:pPr>
        <w:spacing w:after="0" w:line="57"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Such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5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are also restricted by Roche’s right of first negotiation under our current license agreement with them and may in the future be restricted under other license or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7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our development program or one or more of our other development programs, delay our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jc w:val="both"/>
        <w:ind w:firstLine="509"/>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7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clinical testing, and expect to continue to do so for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Although we believe we have obtained sufficient material to produce bitopertin tablets to complete our ongoing Phase 2 clinical trials, DISC-0974 vials to complete our ongoing Phase 1b/2 clinical trials, and vials to complete our planned Phase 1 trial of MWTX-003, we cannot be sure we have correctly estimated our drug product and API requirements or that such drug product or API will not expire before we want to use it. While we have identified a contract development and manufacturing organization, or CDMO, to produce our own GMP material, we are in the early stages of manufacturing such material. We rely, and expect to continue to rely, on third parties for the manufacture of our product candidates for preclinical development and clinical testing, including Mabwell for the supply of vials to complete our planned Phase 1 trial of MWTX-003. We also expect to rely on third parties for the commercial manufacture of our products if any of our product candidates receive regulatory approval.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8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facilities used by our CDMOs to manufacture our product candidates must be inspected by the FDA pursuant to pre-approval inspections that will be conducted after we submit our marketing applications to the FDA. We do not control the manufacturing process of, and will be completely dependent on, our CDMOs for compliance with cGMPs in connection with the manufacture of our product candidates. If our CDMOs cannot successfully manufacture material that conforms to our specifications and the strict regulatory requirements of the FDA or others, they will not be able to pass regulatory inspections and/or maintain regulatory compliance for our manufacturing facilities. In addition, we have no control over the ability of our CDMOs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8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If any CDMO with whom we contract fails to perform its obligations, we may be forced to enter into an agreement with a different CDMO, which we may not be able to do on reasonable terms, if at all. In such a scenario, our clinical trials supply could be delayed significantly as we established alternative supply sources. In some cases, the technical skills required to manufacture our product candidates may be unique or proprietary to the original CDMO and we may have difficulty, or there may be contractual restrictions prohibiting us from, transferring such skills to a back-up or alternate supplier, or we may be unable to transfer such skills at all. In addition, if we are required to change CDMOs for any reason, we will be required to verify that the new CDMO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CDMO could negatively affect our ability to develop product candidates or commercialize our products in a timely manner or within budget.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7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 our failure, or the failure of our CDMOs, to comply with applicable regulations could result in sanctions being imposed on it,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79"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We may be unable to establish any additional agreements with CDMOs or do so on acceptable terms. Reliance on CDMOs entails additional risks, including:</w:t>
      </w:r>
    </w:p>
    <w:p>
      <w:pPr>
        <w:spacing w:after="0" w:line="62" w:lineRule="exact"/>
        <w:rPr>
          <w:sz w:val="20"/>
          <w:szCs w:val="20"/>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2" w:name="page53"/>
    <w:bookmarkEnd w:id="52"/>
    <w:p>
      <w:pPr>
        <w:ind w:left="760" w:hanging="378"/>
        <w:spacing w:after="0"/>
        <w:tabs>
          <w:tab w:leader="none" w:pos="7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17" w:lineRule="exact"/>
        <w:rPr>
          <w:sz w:val="20"/>
          <w:szCs w:val="20"/>
          <w:color w:val="auto"/>
        </w:rPr>
      </w:pPr>
    </w:p>
    <w:p>
      <w:pPr>
        <w:jc w:val="both"/>
        <w:ind w:firstLine="509"/>
        <w:spacing w:after="0" w:line="342" w:lineRule="auto"/>
        <w:rPr>
          <w:sz w:val="20"/>
          <w:szCs w:val="20"/>
          <w:color w:val="auto"/>
        </w:rPr>
      </w:pPr>
      <w:r>
        <w:rPr>
          <w:rFonts w:ascii="Arial" w:cs="Arial" w:eastAsia="Arial" w:hAnsi="Arial"/>
          <w:sz w:val="16"/>
          <w:szCs w:val="16"/>
          <w:color w:val="auto"/>
        </w:rPr>
        <w:t>Our product candidates and any products that we may develop may compete with other product candidates and approved products for access to manufacturing facilities. There are a limited number of CDMOs that operate under cGMP regulations and that might be capable of manufacturing for us.</w:t>
      </w:r>
    </w:p>
    <w:p>
      <w:pPr>
        <w:spacing w:after="0" w:line="16"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CDMOs cannot perform as agreed, we may be required to replace such CDMOs. We may incur added costs and delays in identifying and qualifying any such replacement.</w:t>
      </w:r>
    </w:p>
    <w:p>
      <w:pPr>
        <w:spacing w:after="0" w:line="76"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ingredients used in our product candidates are our sole sources of supply, and the loss of any of these suppliers could significantly harm our business.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The active pharmaceutical ingredients, or API, used in certain of our product candidates are supplied to us from single-source suppliers. Our ability to successfully develop our product candidates, and to ultimately supply our commercial products in quantities sufficient to meet the market demand, depends in part on our ability to obtain the API for these products in accordance with regulatory requirements and in sufficient quantities for clinical testing and commercialization. We do not currently have arrangements in place for a redundant or second-source supply of any such API in the event any of our current suppliers of such API cease their operations for any reason. We are also unable to predict how changing global economic conditions or potential global health concerns such as the COVID-19 pandemic will affect our third-party suppliers and manufacturers. Any negative impact of such matters on our third-party suppliers and manufacturers may also have an adverse impact on our results of operations or financial condition.</w:t>
      </w:r>
    </w:p>
    <w:p>
      <w:pPr>
        <w:spacing w:after="0" w:line="5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For all of our product candidates, we intend to identify and qualify additional manufacturers to provide such API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our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5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Establishing additional or replacement suppliers for the API used in our product candidates, if required, may not be accomplished quickly. If we are able to find a replacement supplier, such replacement supplier would need to be qualified and may require additional regulatory inspection or approval, which could result in further delay. While we seek to maintain adequate inventory of the API used in our product candidates, any interruption or delay in the supply of components or materials, or our inability to obtain such API from alternate sources at acceptable prices in a timely manner could impede, delay, limit or prevent our development efforts, which could harm our business, results of operations, financial condition and prospects.</w:t>
      </w:r>
    </w:p>
    <w:p>
      <w:pPr>
        <w:spacing w:after="0" w:line="1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manufacture of biologics is complex and our third-party manufacturers may encounter difficulties in production. If any of our third-party manufacturers encounter such difficulties, our ability to provide supply of product candidates for clinical trials or products for patients, if approved, could be delayed or prevented.</w:t>
      </w:r>
    </w:p>
    <w:p>
      <w:pPr>
        <w:spacing w:after="0" w:line="76"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DISC-0974, DISC-0998, and MWTX-003 are monoclonal antibodies. Manufacturing biologics, like monoclonal antibodies, especially in large quantities, is often complex and may require the use of innovative technologies to handle living cells. Each lot of an approved biologic must undergo thorough testing for identity, strength, quality, purity and potency. Manufacturing biologics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preclinical and clinical data showing the comparable identity, strength, quality, purity or potency of the products before and after such changes. If microbial, viral or other contaminations are discovered at the facilities of our manufacturers, such facilities may need to be closed for an extended period of time to investigate and remedy the contamination, which could delay clinical trials and adversely harm our business.</w:t>
      </w:r>
    </w:p>
    <w:p>
      <w:pPr>
        <w:spacing w:after="0" w:line="7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obtain regulatory approval for any of our current product candidates or any future product candidates, there is no assurance that our manufacturers will be able to manufacture the approved product to specifications acceptable to the FDA or other comparable foreign regulatory authorities, to produce it in sufficient quantities to meet the requirements for the potential commercial launch of the product or to meet potential future demand. If our manufacturers are unable to produce sufficient quantities for clinical trials or for commercialization, our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development and commercialization efforts would be impaired, which would have an adverse effect on our business, financial condition, results of operations and growth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 and we may not be able to compete effectively in our market.</w:t>
      </w:r>
    </w:p>
    <w:p>
      <w:pPr>
        <w:spacing w:after="0" w:line="79"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U.S. and other countries for our current or future product candidates, including our current lead product candidates, bitopertin, DISC-0974 and MWTX-003, and our other current or future programs, including DISC-0998,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w:t>
      </w:r>
    </w:p>
    <w:p>
      <w:pPr>
        <w:spacing w:after="0" w:line="7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We have in-licensed, and may in the future in-license, a portion of our intellectual property, and, if we fail to comply with our obligations under these license arrangements, we could lose such intellectual property rights or owe damages to the licensor of such intellectual property. In particular, we have exclusively licensed intellectual property rights from Roche to develop and commercialize bitopertin, including certain back-up compounds and derivatives, for all prophylactic and therapeutic uses. The Roche license covers know-how, and certain specified Roche patent rights, including a composition of matter patent for bitopertin that expires in 2025. We also have exclusively licensed intellectual property rights from AbbVie Deutschland GmbH &amp; Co. KG, or AbbVie, to develop and commercialize DISC-0974 and DISC-0998. The AbbVie license covers know-how, and certain specified AbbVie patent rights, including composition of matter and methods of use patents and patent applications for DISC-0974 and DISC-0998. We also have exclusively licensed intellectual property rights from Mabwell to develop and commercialize antibody products containing Mabwell’s MWTX-001, MWTX-002, and MWTX-003 antibodies. The Mabwell license covers know-how, and certain specified Mabwell patent rights, including composition of matter and methods of use patents and patent applications for MWTX-001, MWTX-002, and MWTX-003.</w:t>
      </w:r>
    </w:p>
    <w:p>
      <w:pPr>
        <w:spacing w:after="0" w:line="7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bitopertin, DISC-0974, MWTX-003 or our other current or future product candidates. In addition, if the breadth or strength of protection provided by our patent applications or any patents we may own or in-license is threatened, we could dissuade companies from collaborating with us to license, develop or commercialize current or future product candidates.</w:t>
      </w:r>
    </w:p>
    <w:p>
      <w:pPr>
        <w:spacing w:after="0" w:line="6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In addition, the laws of foreign countries may not protect our rights to the same extent as the laws of the U.S. For example, in jurisdictions outside the U.S., a license may not be enforceable unless all the 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Additionally, our product candidates may or may not be eligible for such extensions or we may not be able to obtain such protections due to procedural or other reasons.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U.S. and other jurisdictions are typically not published until at least 18 months after the earliest priority date of the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4" w:name="page55"/>
    <w:bookmarkEnd w:id="54"/>
    <w:p>
      <w:pPr>
        <w:jc w:val="both"/>
        <w:ind w:firstLine="509"/>
        <w:spacing w:after="0" w:line="270"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Prosecution could require that claim scope narrow such that a clinical or product candidate or program is not adequately protected by the patent.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73"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U.S. and abroad. We may become involved in post-grant proceedings such as opposition, derivation,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post-grant review, invalidation, or interference proceedings challenging our patent rights or the patent rights of others from whom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clarity, and/or support; in litigation, a competitor could claim that our patents, if issued, are not valid or are unenforceable for a number of reasons. If a court or administrative patent authority agrees, we would lose our protection of those challenged patents.</w:t>
      </w:r>
    </w:p>
    <w:p>
      <w:pPr>
        <w:spacing w:after="0" w:line="9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it,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products in a non-infringing manner. For example, a third-party may develop a competitive product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87"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 Furthermore, generic manufacturers may develop, seek approval for and launch generic versions of our products, and may challenge the scope, validity or enforceability of our patents, requiring us to engage in complex, lengthy and costly litigation or other proceedings.</w:t>
      </w:r>
    </w:p>
    <w:p>
      <w:pPr>
        <w:spacing w:after="0" w:line="6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also intend to rely on regulatory exclusivity for protection of our product candidates, if approved for commercial sale. Implementation and enforcement of regulatory exclusivity, which may consist of regulatory data protection and market protection, varies widely from country to country. Failure to qualify for regulatory exclusivity, or failure to obtain or to maintain the extent or duration of such protections that we expect for our product candidates, if approved, could affect our decision on whether to market the products in a particular country or countries or could otherwise have an adverse impact on our revenue or results of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5" w:name="page56"/>
    <w:bookmarkEnd w:id="55"/>
    <w:p>
      <w:pPr>
        <w:jc w:val="both"/>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7"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During the trademark registration process, we may receive Office Actions from the USPTO or from comparable agencies in foreign jurisdictions objecting to the registration of our trademark. Although we would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establish name recognition based on our trademarks and trade names, we may not be able to compete effectively and our business may be adversely affected.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 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5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U.S. As a result, we may encounter significant problems in protecting and defending our intellectual property both in the U.S. and abroad. If we are unable to prevent unauthorized material disclosure of our intellectual property to third parties, we will not be able to establish or maintain a competitive advantage in our market, which could materially adversely affect our business, financial condition, results of operations and future prospects.</w:t>
      </w:r>
    </w:p>
    <w:p>
      <w:pPr>
        <w:spacing w:after="0" w:line="8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6" w:name="page57"/>
    <w:bookmarkEnd w:id="56"/>
    <w:p>
      <w:pPr>
        <w:jc w:val="both"/>
        <w:ind w:firstLine="509"/>
        <w:spacing w:after="0" w:line="287"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ineffective or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6"/>
          <w:szCs w:val="16"/>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In addition, in an infringement proceeding, a court may decide that one or more of 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its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63"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Post-grant proceedings provoked by third parties or brought by or before the USPTO or other patent granting authority may be necessary to determine the validity or priority of inventions with respect to our patent applications or any patents we may own or in-license. These proceedings are expensive and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U.S.</w:t>
      </w:r>
    </w:p>
    <w:p>
      <w:pPr>
        <w:spacing w:after="0" w:line="6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third-party for patent infringement, the third-party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57" w:name="page58"/>
    <w:bookmarkEnd w:id="57"/>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0" w:lineRule="exact"/>
        <w:rPr>
          <w:sz w:val="20"/>
          <w:szCs w:val="20"/>
          <w:color w:val="auto"/>
        </w:rPr>
      </w:pPr>
    </w:p>
    <w:p>
      <w:pPr>
        <w:jc w:val="both"/>
        <w:ind w:firstLine="509"/>
        <w:spacing w:after="0" w:line="267" w:lineRule="auto"/>
        <w:rPr>
          <w:sz w:val="20"/>
          <w:szCs w:val="20"/>
          <w:color w:val="auto"/>
        </w:rPr>
      </w:pPr>
      <w:r>
        <w:rPr>
          <w:rFonts w:ascii="Arial" w:cs="Arial" w:eastAsia="Arial" w:hAnsi="Arial"/>
          <w:sz w:val="17"/>
          <w:szCs w:val="17"/>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valid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8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While certain activities related to development and clinical testing of our current or future product candidates may be subject to safe harbor of patent infringement, such as under 35 U.S.C. §271(e)(1), upon receiving regulatory approval for such candidates we or any of our current or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7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8" w:name="page59"/>
    <w:bookmarkEnd w:id="58"/>
    <w:p>
      <w:pPr>
        <w:ind w:lef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candidates, including bitopertin, DISC-0974 and MWTX-003, or future product candidates, or from using our proprietary technologies, unless the third-party licenses its product rights to us, which we are not required to do, on commercially reasonable terms or at all;</w:t>
      </w:r>
    </w:p>
    <w:p>
      <w:pPr>
        <w:spacing w:after="0" w:line="75"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7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62" w:lineRule="exact"/>
        <w:rPr>
          <w:rFonts w:ascii="Arial" w:cs="Arial" w:eastAsia="Arial" w:hAnsi="Arial"/>
          <w:sz w:val="18"/>
          <w:szCs w:val="18"/>
          <w:color w:val="auto"/>
        </w:rPr>
      </w:pPr>
    </w:p>
    <w:p>
      <w:pPr>
        <w:ind w:left="760" w:hanging="378"/>
        <w:spacing w:after="0" w:line="308" w:lineRule="auto"/>
        <w:tabs>
          <w:tab w:leader="none" w:pos="7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38"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8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84" w:lineRule="exact"/>
        <w:rPr>
          <w:sz w:val="20"/>
          <w:szCs w:val="20"/>
          <w:color w:val="auto"/>
        </w:rPr>
      </w:pPr>
    </w:p>
    <w:p>
      <w:pPr>
        <w:jc w:val="both"/>
        <w:ind w:firstLine="509"/>
        <w:spacing w:after="0" w:line="284" w:lineRule="auto"/>
        <w:rPr>
          <w:sz w:val="20"/>
          <w:szCs w:val="20"/>
          <w:color w:val="auto"/>
        </w:rPr>
      </w:pPr>
      <w:r>
        <w:rPr>
          <w:rFonts w:ascii="Arial" w:cs="Arial" w:eastAsia="Arial" w:hAnsi="Arial"/>
          <w:sz w:val="16"/>
          <w:szCs w:val="16"/>
          <w:color w:val="auto"/>
        </w:rPr>
        <w:t>Third parties may assert that we are employing their proprietary technology without authorization. Patents issued in the U.S. by law enjoy a presumption of validity that can be rebutted in U.S. courts only with evidence 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U.S. may be maintained in secrecy until the patents are issued, patent applications in the U.S.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jc w:val="both"/>
        <w:spacing w:after="0" w:line="311" w:lineRule="auto"/>
        <w:rPr>
          <w:sz w:val="20"/>
          <w:szCs w:val="20"/>
          <w:color w:val="auto"/>
        </w:rPr>
      </w:pPr>
      <w:r>
        <w:rPr>
          <w:rFonts w:ascii="Arial" w:cs="Arial" w:eastAsia="Arial" w:hAnsi="Arial"/>
          <w:sz w:val="16"/>
          <w:szCs w:val="16"/>
          <w:color w:val="auto"/>
        </w:rPr>
        <w:t>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4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19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We may not be able to pursue patent coverage of our current or future product candidates in all countries. Filing, prosecuting and defending patents on current or future product candidates in all countries throughout the world would be prohibitively expensive, and intellectual property rights in some countries outside the U.S. can be less extensive than those in the U.S. In addition, the laws of some foreign countries do not protect intellectual property rights to the same extent as federal and state laws in the U.S. Consequently, we may not be able to prevent third parties from practicing our inventions in all countries outside the U.S., or from selling or importing products made using our inventions in and into the U.S.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60"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biopharmaceutical products and/or methods of using biopharmaceutical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0" w:name="page61"/>
    <w:bookmarkEnd w:id="60"/>
    <w:p>
      <w:pPr>
        <w:jc w:val="both"/>
        <w:spacing w:after="0" w:line="275" w:lineRule="auto"/>
        <w:rPr>
          <w:sz w:val="20"/>
          <w:szCs w:val="20"/>
          <w:color w:val="auto"/>
        </w:rPr>
      </w:pPr>
      <w:r>
        <w:rPr>
          <w:rFonts w:ascii="Arial" w:cs="Arial" w:eastAsia="Arial" w:hAnsi="Arial"/>
          <w:sz w:val="17"/>
          <w:szCs w:val="17"/>
          <w:color w:val="auto"/>
        </w:rPr>
        <w:t>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 Any of the foregoing could harm our competitive position, business, financial condition, results of operations and prospects.</w:t>
      </w:r>
    </w:p>
    <w:p>
      <w:pPr>
        <w:spacing w:after="0" w:line="17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We are party to license agreements with Roche, AbbVie and Mabwell and we may from time to time in the future be party to other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See “Business-Collaborations and License Agreement” for more information regarding our license agreements with Roche, AbbVie and Mabwell.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84"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17"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current or future licensors and us and our partners.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17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9"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jc w:val="both"/>
        <w:spacing w:after="0" w:line="285" w:lineRule="auto"/>
        <w:rPr>
          <w:sz w:val="20"/>
          <w:szCs w:val="20"/>
          <w:color w:val="auto"/>
        </w:rPr>
      </w:pPr>
      <w:r>
        <w:rPr>
          <w:rFonts w:ascii="Arial" w:cs="Arial" w:eastAsia="Arial" w:hAnsi="Arial"/>
          <w:sz w:val="16"/>
          <w:szCs w:val="16"/>
          <w:color w:val="auto"/>
        </w:rPr>
        <w:t xml:space="preserve">non-enablement. Grounds for an unenforceability assertion could be an allegation that someone connected with prosecution of the patent withheld relevant information from the USPTO that was material to patentability, or made a misleading statement, in the process of obtaining the patent during patent prosecution. Third parties may also raise similar claims before administrative bodies in the U.S. or abroad, even outside the context of litigation. Such mechanisms include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 grant review and equivalent proceedings in foreign jurisdictions (such as opposition proceedings). Such proceedings could result in 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current or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current or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61"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patent law could diminish the value of patents in general, thereby impairing our ability to protect our current or future product candidates.</w:t>
      </w:r>
    </w:p>
    <w:p>
      <w:pPr>
        <w:spacing w:after="0" w:line="15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60"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2" w:name="page63"/>
    <w:bookmarkEnd w:id="62"/>
    <w:p>
      <w:pPr>
        <w:jc w:val="both"/>
        <w:ind w:firstLine="509"/>
        <w:spacing w:after="0" w:line="286"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U.S. remain confidential until patents issue. As mentioned above, patent applications in the U.S.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pending patent applications that have been published can, subject to certain limitations, be later amended in a manner that 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and/or validity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5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infringes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62"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75"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or our current or future licensors or collaborators, might not have been the first to make the inventions covered by a patent application that we own or may in-license;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we, or our current or future licensors or collaborators, might not have been the first to file patent applications covering a particular invention;</w:t>
      </w:r>
    </w:p>
    <w:p>
      <w:pPr>
        <w:spacing w:after="0" w:line="12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jc w:val="both"/>
        <w:ind w:left="760" w:hanging="378"/>
        <w:spacing w:after="0" w:line="286" w:lineRule="auto"/>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may then use the information learned from such activities to develop competitive products for sale in our major commercial markets;</w:t>
      </w:r>
    </w:p>
    <w:p>
      <w:pPr>
        <w:spacing w:after="0" w:line="57" w:lineRule="exact"/>
        <w:rPr>
          <w:rFonts w:ascii="Arial" w:cs="Arial" w:eastAsia="Arial" w:hAnsi="Arial"/>
          <w:sz w:val="17"/>
          <w:szCs w:val="17"/>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3" w:name="page64"/>
    <w:bookmarkEnd w:id="63"/>
    <w:p>
      <w:pPr>
        <w:ind w:left="760" w:hanging="378"/>
        <w:spacing w:after="0" w:line="277" w:lineRule="auto"/>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third-party may subsequently file a patent covering such trade secrets or know-how;</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7"/>
          <w:szCs w:val="17"/>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7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receive applicable regulatory approvals, our target market will be reduced and our ability to realize the full market potential of our product candidates will be harmed.</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We have received orphan drug designation from the FDA for bitopertin for the treatment of EPP. As part of our business strategy, we may seek orphan drug designation for certain of our product candidates and indications, as appropriate. Regulatory authorities in some jurisdictions, including the United States and Europe, may designate drugs for relatively small patient populations as orphan drugs. Under the Orphan Drug Act, the FDA may designate a drug or biologic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58"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Similarly, in the European Union, the European Commission, upon the recommendation of the EMA’s Committee for Orphan Medicinal Products, grants orphan designation to promote the development of products that are intended for the diagnosis,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jc w:val="both"/>
        <w:spacing w:after="0" w:line="273" w:lineRule="auto"/>
        <w:rPr>
          <w:sz w:val="20"/>
          <w:szCs w:val="20"/>
          <w:color w:val="auto"/>
        </w:rPr>
      </w:pPr>
      <w:r>
        <w:rPr>
          <w:rFonts w:ascii="Arial" w:cs="Arial" w:eastAsia="Arial" w:hAnsi="Arial"/>
          <w:sz w:val="17"/>
          <w:szCs w:val="17"/>
          <w:color w:val="auto"/>
        </w:rPr>
        <w:t>prevention or treatment of life-threatening or chronically debilitating conditions affecting no more than 5 in 10,000 persons in the European Union and for which no satisfactory method of diagnosis, prevention, or treatment has been authorized for marketing in the European Union (or, if such a method exists, the product would be of a significant benefit to those affected by the condition). Additionally, designation is granted for products intended for the diagnosis, prevention, or treatment of a life-threatening, seriously debilitating or serious and chronic condition and when, without incentives, it is unlikely that sales of the product in the European Union would generate sufficient return to justify the necessary investment in developing the product. In the European Union, orphan designation entitles a party to financial incentives such as reduction of fees or fee waivers.</w:t>
      </w:r>
    </w:p>
    <w:p>
      <w:pPr>
        <w:spacing w:after="0" w:line="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Generally, if a product with an orphan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European Union market exclusivity period can be reduced to six years if a product no longer meets the criteria for orphan designation or if the product is sufficiently profitable so that market exclusivity is no longer justified.</w:t>
      </w:r>
    </w:p>
    <w:p>
      <w:pPr>
        <w:spacing w:after="0" w:line="68" w:lineRule="exact"/>
        <w:rPr>
          <w:sz w:val="20"/>
          <w:szCs w:val="20"/>
          <w:color w:val="auto"/>
        </w:rPr>
      </w:pPr>
    </w:p>
    <w:p>
      <w:pPr>
        <w:ind w:firstLine="509"/>
        <w:spacing w:after="0" w:line="270" w:lineRule="auto"/>
        <w:rPr>
          <w:sz w:val="20"/>
          <w:szCs w:val="20"/>
          <w:color w:val="auto"/>
        </w:rPr>
      </w:pPr>
      <w:r>
        <w:rPr>
          <w:rFonts w:ascii="Arial" w:cs="Arial" w:eastAsia="Arial" w:hAnsi="Arial"/>
          <w:sz w:val="17"/>
          <w:szCs w:val="17"/>
          <w:color w:val="auto"/>
        </w:rPr>
        <w:t>Even if we obtain orphan drug exclusivity for one of our product candidates, that exclusivity may not effectively protect our product candidate from competition because different products can be approved for the same condition.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 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73"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FDA may further reevaluate its regulations and policies under the Orphan Drug Act. We do not know if, when, or how the FDA may change its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seek rare pediatric disease designation for bitopertin. However, a marketing application for bitopertin, if approved, may not meet the eligibility criteria for a rare pediatric disease priority review voucher.</w:t>
      </w:r>
    </w:p>
    <w:p>
      <w:pPr>
        <w:spacing w:after="0" w:line="62"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may seek rare pediatric disease designation for bitopertin in patients with EPP and XLP. The FDA defines “rare pediatric disease” as a (i) serious or life-threatening disease in which the serious or life-threatening manifestations primarily affect ages from birth to 18 years, including age groups often called neonates, infants, children, and adolescents; and (ii) a rare disease or condition within the meaning of the Orphan Drug Act. Designation of a product candidate as a product for a rare pediatric disease does not guarantee that a marketing application for such product candidate will meet the eligibility criteria for a rare pediatric disease priority review voucher at the time the application is approved. Under the Federal Food, Drug, and Cosmetic Act, we will need to request a rare pediatric disease priority review voucher in our original marketing application for our product candidates for which we have received rare pediatric disease designation. The FDA may determine that a marketing application for bitopertin, if approved, does not meet the eligibility criteria for a priority review voucher.</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Under the current statutory sunset provisions, after September 30, 2024, the FDA may only award a priority review voucher for an approved rare pediatric disease product application if the sponsor has rare pediatric disease designation for the drug or biologic that is the subject of such application, and that designation was granted by September 30, 2024. After September 30, 2026, the FDA may not award any rare pediatric disease priority review vouchers. However, it is possible the authority for FDA to award rare pediatric disease priority review vouchers will be further extended by Congress. As such, if we do not obtain approval of a marketing application for bitopertin in patients with EPP and XLP on or before September 30, 2026, and if the priority review voucher program is not extended by Congressional action, we may not receive a priority review voucher.</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6"/>
          <w:szCs w:val="16"/>
          <w:color w:val="auto"/>
        </w:rPr>
        <w:t>We may seek a breakthrough therapy designation for certain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5" w:name="page66"/>
    <w:bookmarkEnd w:id="65"/>
    <w:p>
      <w:pPr>
        <w:jc w:val="both"/>
        <w:spacing w:after="0" w:line="273" w:lineRule="auto"/>
        <w:rPr>
          <w:sz w:val="20"/>
          <w:szCs w:val="20"/>
          <w:color w:val="auto"/>
        </w:rPr>
      </w:pPr>
      <w:r>
        <w:rPr>
          <w:rFonts w:ascii="Arial" w:cs="Arial" w:eastAsia="Arial" w:hAnsi="Arial"/>
          <w:sz w:val="17"/>
          <w:szCs w:val="17"/>
          <w:color w:val="auto"/>
        </w:rPr>
        <w:t>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are designated as breakthrough therapies, the FDA may later withdraw the designation if it determines that such product candidates no longer meet the conditions for such designation.</w:t>
      </w:r>
    </w:p>
    <w:p>
      <w:pPr>
        <w:spacing w:after="0" w:line="70"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We may seek fast track designation for certain of our product candidates.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the FDA may disagree and instead decide not to grant it. Even if we do receive fast track designation, we may not experience a faster development process, review or approval compared to conventional FDA procedures. The FDA may withdraw fast track designation if it believes that the designation no longer meets the conditions for such designation. Fast track designation alone does not guarantee qualification for the FDA’s priority review procedures.</w:t>
      </w:r>
    </w:p>
    <w:p>
      <w:pPr>
        <w:spacing w:after="0" w:line="19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1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It is possible that at the time of submission of a marketing application, the FDA may determine that our product candidate is not eligible for accelerated approval or that accelerated approval is not warranted. Moreover, FDA may revise how it implements accelerated approval, which could negatively affect the development of our current or future product candidates.</w:t>
      </w:r>
    </w:p>
    <w:p>
      <w:pPr>
        <w:spacing w:after="0" w:line="83"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a condition of approval, the FDA generally requires that a sponsor of a drug or biologic receiving accelerated approval perform adequate and well-controlled post-marketing clinical trials. These confirmatory trials must be completed with due diligence. Under FDORA, the FDA is permitted to require, as appropriate, that a post-approval confirmatory trial or trials be underway prior to approval or within a specified time period after the date accelerated approval is granted. FDORA also requires sponsors to send updates to the FDA every 180 days on the status of such trials, including progress toward enrollment targets, and the FDA must promptly post this information publicly. FDORA also gives the FDA increased authority to withdraw approval of a drug or biologic granted accelerated approval on an expedited basis if the sponsor fails to conduct confirmatory studies in a timely manner, send the necessary updates to the FDA, or if such post-approval trials fail to verify the product’s predicted clinical benefit. Under FDORA, the FDA is empowered to take action, such as issuing fines, against companies that fail to conduct with due diligence any post-approval confirmatory trial or submit timely reports to the agency on their progress. In addition, the FDA currently requires, unless otherwise informed by the agency, pre-approval of promotional materials for products being considered for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full FDA approval.</w:t>
      </w:r>
    </w:p>
    <w:p>
      <w:pPr>
        <w:spacing w:after="0" w:line="1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our drug product candidates or any of our future drug product candidates obtain regulatory approval, additional competitors could enter the market with generic versions of such products, which may result in a material decline in sales of our competing products.</w:t>
      </w:r>
    </w:p>
    <w:p>
      <w:pPr>
        <w:spacing w:after="0" w:line="3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Under the Drug Price Competition and Patent Term Restoration Act of 1984, or the Hatch-Waxman Amendments to the Federal Food, Drug, and Cosmetic Act, or the FDCA, a company may file an abbreviated new drug application, or ANDA, seeking approval of a generic version of an approved innovator product. Under the Hatch-Waxman Amendments, a company may also submit an NDA under section 505(b)(2) of the FDCA that references the FDA’s prior approval of the innovator product or preclinical studies and/or clinical trials that were not conducted by, or for, the applicant and for which the applicant has not obtained a right of reference. A 505(b)(2) NDA product may be for a new or improved version of the original innovator product. The Hatch-Waxman Amendments also provide for certain periods of regulatory exclusivity, which preclude FDA approval (or in some circumstances, FDA filing and review) of an ANDA or 505(b)(2) NDA. In addition to the benefits of regulatory exclusivity, an innovator NDA holder may have patents claiming the active ingredient, product formulation or an approved use of the drug, which would be listed with the product in the FDA publication “Approved Drug Products with Therapeutic Equivalence Evaluations,” known as the Orange Book. If there are patents listed in the Orange Book for the applicable, approved innovator product, a generic or 505(b)(2) applicant that seeks to market our product before expiration of the patents must include in their applications what is known as a “Paragraph IV” certification, challenging the validity or enforceability, or claiming non-infringement, of the listed patent or patents.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Notice of the certification must be given to the patent owner and NDA holder and if, within 45 days of receiving notice, either the patent owner or NDA holder sues for patent infringement, approval of the ANDA or 505(b)(2) NDA is stayed for up to 30 months.</w:t>
      </w:r>
    </w:p>
    <w:p>
      <w:pPr>
        <w:spacing w:after="0" w:line="62"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6"/>
          <w:szCs w:val="16"/>
          <w:color w:val="auto"/>
        </w:rPr>
        <w:t>Accordingly, if any of our product candidates that are regulated as drugs are approved, competitors could file ANDAs for generic versions of these products or 505(b)(2) NDAs that reference our products. If there are patents listed for such drug products in the Orange Book, those ANDAs and 505(b)(2) NDAs would be required to include a certification as to each listed patent indicating whether the ANDA applicant does or does not intend to challenge the patent. We cannot predict which, if any, patents in our current portfolio or patents we may obtain in the future will be eligible for listing in the Orange Book, how any generic competitor would address such patents, whether we would sue on any such patents or the outcome of any such suit.</w:t>
      </w:r>
    </w:p>
    <w:p>
      <w:pPr>
        <w:spacing w:after="0" w:line="5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7"/>
          <w:szCs w:val="17"/>
          <w:color w:val="auto"/>
        </w:rPr>
        <w:t>We may not be successful in securing or maintaining proprietary patent protection for products and technologies we develop or licenses, despite expending a significant amount of resources that could have been focused on other areas of our business. Moreover, if any of our owned or in-licensed patents that are listed in the Orange Book are successfully challenged by way of a Paragraph IV certification and subsequent litigation, the affected product could immediately face generic competition and our sales would likely decline rapidly and materially.</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approved, our investigational products regulated as biologics may face competition from biosimilars or interchangeable products approved through an abbreviated regulatory pathway.</w:t>
      </w:r>
    </w:p>
    <w:p>
      <w:pPr>
        <w:spacing w:after="0" w:line="6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The Biologics Price Competition and Innovation Act of 2009, or BPCIA, created an abbreviated approval pathway for biologic products that are biosimilar to or interchangeable with an FDA-licensed reference biologic product. Under the BPCIA, an application for a biosimilar or interchangeable product may not be submitted to the FDA until four years following the date that the reference product was first licensed by the FDA. In addition, the approval of a biosimilar or interchangeable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w:t>
      </w:r>
    </w:p>
    <w:p>
      <w:pPr>
        <w:spacing w:after="0" w:line="8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6"/>
          <w:szCs w:val="16"/>
          <w:color w:val="auto"/>
        </w:rPr>
        <w:t>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or interchangeable product, once licensed, will be substituted for any one of our reference products in a way that is similar to traditional generic substitution for non-biologic products is not yet clear, and will depend on a number of marketplace and regulatory factors that are still developing. If competitors are able to obtain regulatory approval for biosimilars or interchangeable products referencing our products, our products may become subject to competition from such biosimilars or interchangeable products, with the attendant competitive pressure and consequences.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6"/>
          <w:szCs w:val="16"/>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7" w:name="page68"/>
    <w:bookmarkEnd w:id="67"/>
    <w:p>
      <w:pPr>
        <w:jc w:val="both"/>
        <w:spacing w:after="0" w:line="254" w:lineRule="auto"/>
        <w:rPr>
          <w:sz w:val="20"/>
          <w:szCs w:val="20"/>
          <w:color w:val="auto"/>
        </w:rPr>
      </w:pPr>
      <w:r>
        <w:rPr>
          <w:rFonts w:ascii="Arial" w:cs="Arial" w:eastAsia="Arial" w:hAnsi="Arial"/>
          <w:sz w:val="18"/>
          <w:szCs w:val="18"/>
          <w:color w:val="auto"/>
        </w:rPr>
        <w:t>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19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63"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Disruptions at the FDA and other agencies may also slow the time necessary for new product candidates to be reviewed and/or approved by necessary government agencies, which would adversely affect our business.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84"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The U.S. and many foreign jurisdictions have enacted or proposed legislative and regulatory changes affecting the U.S. and global healthcare systems that could prevent or delay regulatory approval of our current or future product candidates or any future product candidates, restrict or regulate post-approval activities and affect our ability to profitably sell a product for which we obtain regulatory approval. Changes in regulations, statutes or the interpretation of existing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In the U.S., there have been and continue to be, on-going legislative initiatives to contain healthcare costs. For example, in March 2010, the Patient Protection and Affordable Care Act, or the ACA, was passed, as amended by the Health Care and Education Reconciliation Act of 2010, which substantially changed the way healthcare is financed by both governmental and private insurers, and significantly impacted the U.S. pharmaceutical industry. The ACA, among other things, subjects biological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creates a new Medicare Part D coverage gap discount program, in which manufacturers must agree to offer 50% (increased to 70%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 and provided incentives to programs that increase the federal government’s comparative effectiveness research. Since then, the ACA risk adjustment program payment parameters have been updated annually.</w:t>
      </w:r>
    </w:p>
    <w:p>
      <w:pPr>
        <w:spacing w:after="0" w:line="6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Since the ACA’s enactment, there have been numerous judicial, administrative, executive, and legislative challenges to certain aspects of the ACA and we expect that there will be additional challenges and amendments to the ACA in the future.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8" w:name="page69"/>
    <w:bookmarkEnd w:id="68"/>
    <w:p>
      <w:pPr>
        <w:spacing w:after="0" w:line="277" w:lineRule="auto"/>
        <w:rPr>
          <w:sz w:val="20"/>
          <w:szCs w:val="20"/>
          <w:color w:val="auto"/>
        </w:rPr>
      </w:pPr>
      <w:r>
        <w:rPr>
          <w:rFonts w:ascii="Arial" w:cs="Arial" w:eastAsia="Arial" w:hAnsi="Arial"/>
          <w:sz w:val="18"/>
          <w:szCs w:val="18"/>
          <w:color w:val="auto"/>
        </w:rPr>
        <w:t>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addition, other legislative and regulatory changes have been proposed and adopted in the United States since the ACA was enacted:</w:t>
      </w:r>
    </w:p>
    <w:p>
      <w:pPr>
        <w:spacing w:after="0" w:line="129" w:lineRule="exact"/>
        <w:rPr>
          <w:sz w:val="20"/>
          <w:szCs w:val="20"/>
          <w:color w:val="auto"/>
        </w:rPr>
      </w:pPr>
    </w:p>
    <w:p>
      <w:pPr>
        <w:jc w:val="both"/>
        <w:ind w:left="900" w:hanging="383"/>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U.S. Budget Control Act of 2011, among other things, included aggregate reductions of Medicare payments to providers of 2% per fiscal year, which will remain in effect through 2032. Due to the Statutory Pay-As-You-Go Act of 2010, estimated budget deficit increases resulting from the American Rescue Plan Act of 2021, and subsequent legislation, Medicare payments to providers will be further reduced starting in 2025 absent further legislation.</w:t>
      </w:r>
    </w:p>
    <w:p>
      <w:pPr>
        <w:spacing w:after="0" w:line="78" w:lineRule="exact"/>
        <w:rPr>
          <w:rFonts w:ascii="Arial" w:cs="Arial" w:eastAsia="Arial" w:hAnsi="Arial"/>
          <w:sz w:val="18"/>
          <w:szCs w:val="18"/>
          <w:color w:val="auto"/>
        </w:rPr>
      </w:pPr>
    </w:p>
    <w:p>
      <w:pPr>
        <w:ind w:left="900" w:hanging="383"/>
        <w:spacing w:after="0" w:line="308" w:lineRule="auto"/>
        <w:tabs>
          <w:tab w:leader="none" w:pos="9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U.S. American Taxpayer Relief Act of 2012, among other things, further reduced Medicare payments to several types of providers and increased the statute of limitations period for the government to recover overpayments to providers from three to five years.</w:t>
      </w:r>
    </w:p>
    <w:p>
      <w:pPr>
        <w:spacing w:after="0" w:line="38" w:lineRule="exact"/>
        <w:rPr>
          <w:rFonts w:ascii="Arial" w:cs="Arial" w:eastAsia="Arial" w:hAnsi="Arial"/>
          <w:sz w:val="17"/>
          <w:szCs w:val="17"/>
          <w:color w:val="auto"/>
        </w:rPr>
      </w:pPr>
    </w:p>
    <w:p>
      <w:pPr>
        <w:jc w:val="both"/>
        <w:ind w:left="900" w:hanging="383"/>
        <w:spacing w:after="0" w:line="25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Right to Try Act (2018),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9" w:lineRule="exact"/>
        <w:rPr>
          <w:rFonts w:ascii="Arial" w:cs="Arial" w:eastAsia="Arial" w:hAnsi="Arial"/>
          <w:sz w:val="18"/>
          <w:szCs w:val="18"/>
          <w:color w:val="auto"/>
        </w:rPr>
      </w:pPr>
    </w:p>
    <w:p>
      <w:pPr>
        <w:ind w:left="900" w:hanging="383"/>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CMS has published a final rule to allow Medicare Advantage Plans the option of using step therapy for Part B drugs beginning January 1, 2020.</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There has been increasing legislative and enforcement interest in the U.S.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In addition, President Biden has issued multiple executive orders that have sought to reduce prescription drug costs. In February 2023, HHS also issued a proposal in response to an October 2022 executive order from President Biden that includes a proposed prescription drug pricing model that will test whether targeted Medicare payment adjustments will sufficiently incentivize manufacturers to complete confirmatory trials for drugs approved through FDA’s accelerated approval pathway.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5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Inflation Reduction Act of 2022, or IRA, includes several provisions that may impact our business to varying degrees including provisions that reduce the out-of-pocket spending cap for Medicare Part D beneficiaries from $7,050 to $2,000 starting in 2025, thereby effectively eliminating the coverage gap; imposes new manufacturer financial liability on certain drugs under Medicare Part D, allows the U.S. government to negotiate Medicare Part B and Part D price caps for certain high-cost drugs and biologics without generic or biosimilar competition; requires companies to pay rebates to Medicare for certain drug prices that increase faster than inflation; and delays until January 1, 2032 the implementation of the HHS rebate rule that would have limited the fees that pharmacy benefit managers can charge. Further, under the IRA, orphan drugs are exempted from the Medicare drug price negotiation program, if they have one orphan designation and the only approved indication is for that rare disease or condition. If a product receives multiple rare disease designations or has multiple approved indications, it may not qualify for the orphan drug exemption. The implementation of the IRA is currently subject to ongoing litigation challenging the constitutionality of the IRA’s Medicare drug price negotiation program. The effects of the IRA on our business and the healthcare industry in general is not yet known.</w:t>
      </w:r>
    </w:p>
    <w:p>
      <w:pPr>
        <w:spacing w:after="0" w:line="77"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84"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9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Our revenue prospects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9" w:name="page70"/>
    <w:bookmarkEnd w:id="69"/>
    <w:p>
      <w:pPr>
        <w:jc w:val="both"/>
        <w:ind w:firstLine="509"/>
        <w:spacing w:after="0" w:line="301" w:lineRule="auto"/>
        <w:rPr>
          <w:sz w:val="20"/>
          <w:szCs w:val="20"/>
          <w:color w:val="auto"/>
        </w:rPr>
      </w:pPr>
      <w:r>
        <w:rPr>
          <w:rFonts w:ascii="Arial" w:cs="Arial" w:eastAsia="Arial" w:hAnsi="Arial"/>
          <w:sz w:val="16"/>
          <w:szCs w:val="16"/>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49" w:lineRule="exact"/>
        <w:rPr>
          <w:sz w:val="20"/>
          <w:szCs w:val="20"/>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relationships with customers, healthcare providers, physicians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future profits and earnings.</w:t>
      </w:r>
    </w:p>
    <w:p>
      <w:pPr>
        <w:spacing w:after="0" w:line="57"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will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Restrictions under applicable federal and state healthcare laws and regulations, include the following:</w:t>
      </w:r>
    </w:p>
    <w:p>
      <w:pPr>
        <w:spacing w:after="0" w:line="87" w:lineRule="exact"/>
        <w:rPr>
          <w:sz w:val="20"/>
          <w:szCs w:val="20"/>
          <w:color w:val="auto"/>
        </w:rPr>
      </w:pPr>
    </w:p>
    <w:p>
      <w:pPr>
        <w:jc w:val="both"/>
        <w:ind w:left="760" w:hanging="378"/>
        <w:spacing w:after="0" w:line="287"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of up to ten years, and exclusion from government healthcare programs. In addition, the government may assert that a claim including items or services resulting from a violation of the federal Anti-Kickback Statute constitutes a false or fraudulent claim for purposes of the federal False Claims Act or federal civil money penalties. The Anti-Kickback Statute has been interpreted to apply to arrangements between pharmaceutical manufacturers, on the one hand, and prescribers, purchasers and formulary managers, on the other. The HHS, Office of Inspector General, or OIG, heavily scrutinizes relationships between pharmaceutical companies and persons in a position to generate referrals for or the purchase of their products, such as physicians, other healthcare providers, and pharmacy benefit managers, among others. However, there are a number of statutory exceptions and regulatory safe harbors protecting some common activities from prosecution;</w:t>
      </w:r>
    </w:p>
    <w:p>
      <w:pPr>
        <w:spacing w:after="0" w:line="59" w:lineRule="exact"/>
        <w:rPr>
          <w:rFonts w:ascii="Arial" w:cs="Arial" w:eastAsia="Arial" w:hAnsi="Arial"/>
          <w:sz w:val="16"/>
          <w:szCs w:val="16"/>
          <w:color w:val="auto"/>
        </w:rPr>
      </w:pPr>
    </w:p>
    <w:p>
      <w:pPr>
        <w:jc w:val="both"/>
        <w:ind w:left="760" w:hanging="378"/>
        <w:spacing w:after="0" w:line="290" w:lineRule="auto"/>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federal civil and criminal false claims and civil monetary penalties laws, including the federal False Claims Act, or FCA,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 In addition, the government may assert that a claim including items and services resulting from a violation of the federal Anti-Kickback Statute constitutes a false of fraudulent claim for purposes of the False Claims Act. The federal False Claims Act also permits a private individual acting as a “whistleblower” to bring actions on behalf of the federal government alleging violations of the federal False Claims Act and to share in any monetary recovery;</w:t>
      </w:r>
    </w:p>
    <w:p>
      <w:pPr>
        <w:spacing w:after="0" w:line="57" w:lineRule="exact"/>
        <w:rPr>
          <w:rFonts w:ascii="Arial" w:cs="Arial" w:eastAsia="Arial" w:hAnsi="Arial"/>
          <w:sz w:val="16"/>
          <w:szCs w:val="16"/>
          <w:color w:val="auto"/>
        </w:rPr>
      </w:pPr>
    </w:p>
    <w:p>
      <w:pPr>
        <w:jc w:val="both"/>
        <w:ind w:left="760" w:hanging="378"/>
        <w:spacing w:after="0" w:line="26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imposes criminal and civil liability for executing a scheme to defraud any healthcare benefit program (e.g. public or private), or knowingly and willfully falsifying, concealing or covering up a material fact or making any materially false statement in connection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0" w:name="page71"/>
    <w:bookmarkEnd w:id="70"/>
    <w:p>
      <w:pPr>
        <w:ind w:left="760"/>
        <w:spacing w:after="0" w:line="277" w:lineRule="auto"/>
        <w:rPr>
          <w:sz w:val="20"/>
          <w:szCs w:val="20"/>
          <w:color w:val="auto"/>
        </w:rPr>
      </w:pPr>
      <w:r>
        <w:rPr>
          <w:rFonts w:ascii="Arial" w:cs="Arial" w:eastAsia="Arial" w:hAnsi="Arial"/>
          <w:sz w:val="18"/>
          <w:szCs w:val="18"/>
          <w:color w:val="auto"/>
        </w:rPr>
        <w:t>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2" w:lineRule="exact"/>
        <w:rPr>
          <w:sz w:val="20"/>
          <w:szCs w:val="20"/>
          <w:color w:val="auto"/>
        </w:rPr>
      </w:pPr>
    </w:p>
    <w:p>
      <w:pPr>
        <w:jc w:val="both"/>
        <w:ind w:left="760" w:hanging="378"/>
        <w:spacing w:after="0" w:line="275" w:lineRule="auto"/>
        <w:tabs>
          <w:tab w:leader="none" w:pos="7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federal physician payment transparency requirements, sometimes referred to as the “Sunshine Act” under the ACA, which require manufacturers of drugs, devices, biologics and medical supplies that are reimbursable under Medicare, Medicaid, or the Children’s Health Insurance Program to report to HHS information related to transfers of value made to physicians, nurse practitioners, certified nurse anesthetists, physician assistants, clinical nurse specialists, and certified nurse midwives as well as teaching hospitals. Manufacturers are also required to disclose ownership and investment interests held by physicians and their immediate family members;</w:t>
      </w:r>
    </w:p>
    <w:p>
      <w:pPr>
        <w:spacing w:after="0" w:line="68" w:lineRule="exact"/>
        <w:rPr>
          <w:rFonts w:ascii="Arial" w:cs="Arial" w:eastAsia="Arial" w:hAnsi="Arial"/>
          <w:sz w:val="17"/>
          <w:szCs w:val="17"/>
          <w:color w:val="auto"/>
        </w:rPr>
      </w:pPr>
    </w:p>
    <w:p>
      <w:pPr>
        <w:ind w:left="760" w:hanging="378"/>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6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also subject to state and foreign equivalents of each of the healthcare laws and regulations described above, among others, some of which may be broader in scope and may apply regardless of the payor. Many U.S.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European Union General Data Protection Regulation, also govern the privacy and security of health information in some circumstances, many of which differ from each other in significant ways and often are not preempted by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7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the U.S., to help patients afford our approved product, we may utilize programs to assist them, including patient assistance programs and co-pay coupon programs for eligible patients. Government enforcement agencies have shown increased interest in pharmaceutical companies’ product and patient assistance programs, including reimbursement support services, and a number of investigations into these programs have resulted in significant civil and criminal settlements. In addition, at least one insurer has directed its network pharmacies to no longer accept co-pay coupons for certain specialty drugs the insurer identified. Our co-pay coupon programs could become the target of similar insurer actions. In addition, in November 2013, the CMS issued guidance to the issuers of qualified health plans sold through the ACA’s marketplaces encouraging such plans to reject patient cost-sharing support from third parties and indicating that the CMS intends to monitor the provision of such support and may take regulatory action to limit it in the future. The CMS subsequently issued a rule requiring individual market qualified health plans to accept third-party premium and cost-sharing payments from certain government-related entities. In September 2014, the OIG of the HHS issued a Special Advisory Bulletin warning manufacturers that they may be subject to sanctions under the federal anti-kickback statute and/or civil monetary penalty laws if they do not take appropriate steps to exclude Part D beneficiaries from using co-pay coupons. Accordingly, companies exclude these Part D beneficiaries from using co-pay coupons. It is possible that changes in insurer policies regarding co-pay coupons and/or the introduction and enactment of new legislation or regulatory action could restrict or otherwise negatively affect these patient support programs, which could result in fewer patients using affected products, and therefore could have a material adverse effect on our sales, business, and financial condition.</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Third party patient assistance programs that receive financial support from companies have become the subject of enhanced government and regulatory scrutiny. The OIG has established guidelines that suggest that it is lawful for pharmaceutical manufacturers to make donations to charitable organizations who provide co-pay assistance to Medicare patients, provided that such organizations, among other things, are bona fide charities, are entirely independent of and not controlled by the manufacturer, provide aid to applicants on a first-come basis according to consistent financial criteria and do not link aid to use of a donor’s product. However, donations to patient assistance programs have received some negative publicity and have been the subject of multiple government enforcement actions, related to allegations regarding their use to promote branded pharmaceutical products over other less costly alternatives. Specifically, in recent years, there have been multiple settlements resulting out of government claims challenging the legality of their patient assistance programs under a variety of federal and state laws. It is possible that we may make grants to independent charitable foundations that help financially needy patients with their premium, co-pay, and co-insurance obligations. If we choose to do so, and if we or our vendors or donation recipients are deemed to fail to comply with relevant laws, regulations or evolving government guidance in the operation of these programs, we could be subject to damages,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jc w:val="both"/>
        <w:spacing w:after="0" w:line="257" w:lineRule="auto"/>
        <w:rPr>
          <w:sz w:val="20"/>
          <w:szCs w:val="20"/>
          <w:color w:val="auto"/>
        </w:rPr>
      </w:pPr>
      <w:r>
        <w:rPr>
          <w:rFonts w:ascii="Arial" w:cs="Arial" w:eastAsia="Arial" w:hAnsi="Arial"/>
          <w:sz w:val="18"/>
          <w:szCs w:val="18"/>
          <w:color w:val="auto"/>
        </w:rPr>
        <w:t>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foundation support for our patients who need assistance.</w:t>
      </w:r>
    </w:p>
    <w:p>
      <w:pPr>
        <w:spacing w:after="0" w:line="80"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79"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disgorgement, imprisonment, the exclusion from participation in federal and state government funded healthcare programs, such as Medicare and Medicaid, reputational harm, and the curtailment or restructuring of our operations. It may also subject us to additional reporting obligations and oversight, if we become subject to a corporate integrity agreement, deferred prosecution agreement, or other agreement to resolve allegations of non-compliance with these laws. If any of the physicians or other providers or entities with whom we expect to do business is found not to be in compliance with applicable laws, they may be subject to similar criminal, civil or administrative sanctions, including exclusions from government funded healthcare programs.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70"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In addition, we may incur substantial costs in order to comply with current or future environmental, health and safety laws and regulations. Current or future environmental laws and regulations may impair our research, development and production efforts, which could harm our business, prospects, financial condition or results of operations.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Compliance with U.S. and global privacy and data security requirements could result in additional costs and liabilities to us or inhibit our ability to collect and process data globally, and the failure to comply with such requirements could expose us to criminal sanctions, civil penalties, contractual damages, reputational harm, administrative burdens and diminished profits and future earnings.</w:t>
      </w:r>
    </w:p>
    <w:p>
      <w:pPr>
        <w:spacing w:after="0" w:line="5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The regulatory framework for the collection, use, safeguarding, sharing, transfer and other processing of information worldwide is rapidly evolving and is likely to remain uncertain for the foreseeable future. We possess and process sensitive customer information. Other federal and state laws that restrict the use and protect the privacy and security of personally identifiable information, in many cases, are not preempted by HIPAA and may be subject to varying interpretations by the courts and government agencies. These varying interpretations can create complex compliance issues for us and our partners and potentially expose us to additional expense, adverse publicity and liability, any of which could adversely affect our business. There is ongoing concern from privacy advocates, regulators and others regarding data privacy and security issues, and the number of jurisdictions with data privacy and security laws has been increasing. Also, there are ongoing public policy discussions regarding whether the standards for de-identification, anonymization or pseudonymization of health information are sufficient, and the risk of re-identification sufficiently small, to adequately protect patient privacy. We expect that there will continue to be new proposed and amended laws, regulations and industry standards concerning privacy, data protection and information security in the United States, such as the California Consumer Privacy Act, or CCPA, as amended by the California Privacy Rights Act, or CPRA, creates specific obligations with respect to processing and storing personal information, and the CPRA amendments created a new state agency that is vested with authority to implement and enforce the CCPA.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2" w:name="page73"/>
    <w:bookmarkEnd w:id="72"/>
    <w:p>
      <w:pPr>
        <w:jc w:val="both"/>
        <w:ind w:firstLine="509"/>
        <w:spacing w:after="0" w:line="269" w:lineRule="auto"/>
        <w:rPr>
          <w:sz w:val="20"/>
          <w:szCs w:val="20"/>
          <w:color w:val="auto"/>
        </w:rPr>
      </w:pPr>
      <w:r>
        <w:rPr>
          <w:rFonts w:ascii="Arial" w:cs="Arial" w:eastAsia="Arial" w:hAnsi="Arial"/>
          <w:sz w:val="17"/>
          <w:szCs w:val="17"/>
          <w:color w:val="auto"/>
        </w:rPr>
        <w:t>Laws similar to the CCPA have been passed in Montana, Texas, Iowa, Indiana, Tennessee, Connecticut, Colorado, Utah and Virginia. These laws are substantially similar in scope and contain many of the same requirements and exceptions as the CCPA, including a general exemption for clinical trial data and limited obligations for entities regulated by HIPAA. However, we cannot yet determine the full impact these laws or other such future laws, regulations and standards may have on our current or future business. Any of these laws may broaden their scope in the future, and similar laws have been proposed on both a federal level and in more than half of the states in the U.S. 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w:t>
      </w:r>
    </w:p>
    <w:p>
      <w:pPr>
        <w:spacing w:after="0" w:line="7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The collection, use, storage, disclosure, transfer, or other processing of personal data regarding individuals in the EEA, including personal health data, is subject to the EU General Data Protection Regulation 2016/679,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78"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GDPR provides that EEA Member States may make their own further laws and regulations in relation to the processing of genetic, biometric or health data, which could result in differences between Member States, limit our ability to use and share personal data or could cause our costs to increase, and harm our business and financial condition.</w:t>
      </w:r>
    </w:p>
    <w:p>
      <w:pPr>
        <w:spacing w:after="0" w:line="76"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GDPR also imposes strict rules on the transfer of personal data to countries outside the EEA, including the United States. We are subject to evolving and strict rules on the transfer of personal data out of the EEA to third countries such as the United States. Unless the destination country is an adequate country (as recognized by the European Commission), we will be required to incorporate a GDPR transfer mechanism (such as the European Commission approved standard contractual clauses, or SCCs) into our agreements with third parties to govern transfers of personal data outside the EEA. The new SCCs may also impact our business as companies based in the EEA may be reluctant to utilize the new clauses to legitimize transfers of personal data to third countries given the burdensome requirements of transfer impact assessments and the substantial obligations that the new SCCs impose upon exporters.</w:t>
      </w:r>
    </w:p>
    <w:p>
      <w:pPr>
        <w:spacing w:after="0" w:line="87"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In addition, further to the UK’s exit from the European Union, or EU, on January 31, 2020 the UK’s European Union (Withdrawal) Act 2018 incorporated the GDPR into UK law, referred to as the UK GDPR. The UK GDPR and the UK Data Protection Act 2018 set out the UK’s data protection regime, which is independent from but currently still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It is not subject to the new forms of SCCs but has issued its own transfer mechanism – the UK international data transfer agreement – which, like the SCCs, requires exporters to carry out a transfer impact assessment. The UK government has confirmed that personal data transfers from the UK to the EEA remain free flowing. The UK Government has also now introduced a Data Protection and Digital Information Bill, or the UK Bill, into the UK legislative process with the intention for this bill to reform the UK’s data protection regime following Brexit. If passed, the final version of the UK Bill may have the effect of further altering the similarities between the UK and EU data protection regime and threaten the UK Adequacy Decision from the EU Commission. This may lead to additional compliance costs and could increase our overall risk.</w:t>
      </w:r>
    </w:p>
    <w:p>
      <w:pPr>
        <w:spacing w:after="0" w:line="7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If we or third-party CDMOs,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18"/>
          <w:szCs w:val="18"/>
          <w:color w:val="auto"/>
        </w:rPr>
        <w:t>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38"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87"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79"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80"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Employee Matters and Managing Growth</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5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teams.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6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88"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In particular, we have experienced a very competitive hiring environment in the greater Boston area of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4" w:name="page75"/>
    <w:bookmarkEnd w:id="74"/>
    <w:p>
      <w:pPr>
        <w:jc w:val="both"/>
        <w:spacing w:after="0" w:line="277" w:lineRule="auto"/>
        <w:rPr>
          <w:sz w:val="20"/>
          <w:szCs w:val="20"/>
          <w:color w:val="auto"/>
        </w:rPr>
      </w:pPr>
      <w:r>
        <w:rPr>
          <w:rFonts w:ascii="Arial" w:cs="Arial" w:eastAsia="Arial" w:hAnsi="Arial"/>
          <w:sz w:val="18"/>
          <w:szCs w:val="18"/>
          <w:color w:val="auto"/>
        </w:rPr>
        <w:t>high-quality candidates than what we have to offer. If we are unable to continue to attract and retain high-quality personnel, the rate and success with which we can discover and develop product candidates and our business will be limited.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38"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rely on information technology systems that we or our third-party providers operate to process, transmit and store electronic information in our day-to-day operations. In connection with our product discovery efforts, we may collect and use a variety of personal data, such as names, mailing addresses, email addresses, phone numbers and clinical trial information. 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 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it,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74"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rely on our third-party providers to implement effective security measures and identify and correct for any such failures, deficiencies or breaches. We also rely on our employees and consultants to safeguard their security credentials and follow our policies and procedures regarding use and access of computers and other devices that may contain our sensitive information.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CCPA, which was modified by the CPRA, creates individual privacy rights for California consumers and increases the privacy and security obligations of entities handling certain personal data. The CCPA provides for civil penalties of up to $7,500 per violation, as well as a private right of action for data breaches. The CCPA may increase our compliance costs and potential liability, and many similar laws have been proposed at the federal level and in other states.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As of July 31, 2023, we had 55 full-time employees and no part-time employees. We expect to experience significant growth in the number of our employees and the scope of our operations, particularly as we function as a public company and in the areas of product development, regulatory affairs and, if any of our product candidates receives regulatory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69" w:lineRule="exact"/>
        <w:rPr>
          <w:sz w:val="20"/>
          <w:szCs w:val="20"/>
          <w:color w:val="auto"/>
        </w:rPr>
      </w:pPr>
    </w:p>
    <w:p>
      <w:pPr>
        <w:jc w:val="both"/>
        <w:ind w:firstLine="509"/>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General Risks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the Company’s current and projected business operations and its financial condition and results of operations.</w:t>
      </w:r>
    </w:p>
    <w:p>
      <w:pPr>
        <w:spacing w:after="0" w:line="76"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6"/>
          <w:szCs w:val="16"/>
          <w:color w:val="auto"/>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on March 10, 2023, Silicon Valley Bank, or SVB, was closed by the California Department of Financial Protection and Innovation, which appointed the Federal Deposit Insurance Corporation, or FDIC, as receiver. Similarly, on March 12, 2023, Signature Bank and Silvergate Capital Corp. were each placed into receivership. Although a statement by the Department of the Treasury, the Federal Reserve and the FDIC indicated that all depositors of SVB (such as our company) would have access to all of their money after only one business day of closure, including funds held in uninsured deposit accounts, borrowers under credit agreements, letters of credit and certain other financial instruments with SVB, Signature Bank or any other financial institution that is placed into receivership by the FDIC may be unable to access undrawn amounts thereunder. Subsequent to these events, additional financial institutions have experienced similar failures and have been placed into receivership. It is possible that other banks will face similar difficulty in the future.</w:t>
      </w:r>
    </w:p>
    <w:p>
      <w:pPr>
        <w:spacing w:after="0" w:line="6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7"/>
          <w:szCs w:val="17"/>
          <w:color w:val="auto"/>
        </w:rPr>
        <w:t>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the Company, the financial institutions with which the Company has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Company has financial or business relationships, but could also include factors involving financial markets or the financial services industry generally.</w:t>
      </w:r>
    </w:p>
    <w:p>
      <w:pPr>
        <w:spacing w:after="0" w:line="70"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 may adversely affect us or our investors.</w:t>
      </w:r>
    </w:p>
    <w:p>
      <w:pPr>
        <w:spacing w:after="0" w:line="11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7"/>
          <w:szCs w:val="17"/>
          <w:color w:val="auto"/>
        </w:rPr>
        <w:t>The rules dealing with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such changes have been made and changes are likely to continue to occur in the future. It cannot be predicted whether, when, in what form or with what effective dates tax laws, regulations and rulings may be enacted, promulgated or issued, which could result in an increase in our or our stockholders’ tax liability or require changes in the manner in which we operate in order to minimize or mitigate any adverse effects of changes in tax law. Prospective investors should consult their tax advisors regarding the potential consequences of changes in tax law on our business and on the ownership and disposition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taxable income may be subject to certain limitations.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As of December 31, 2022, we had federal and state net operating loss carryforwards of $69.3 million and $67.7 million, respectively, which begin to expire in various amounts in 2037. As of December 31, 2022, we also had federal and state research and development tax credit carryforwards of $2.7 million and $1.1 million, respectively, which begin to expire in 2032. These net operating loss and tax credit carryforwards could expire unused and be unavailable to offset future income tax liabilities. Under current law, unused U.S. federal and certain state net operating losses generated for tax years beginning after December 31, 2017 are not subject to expiration and may be carried forward indefinitely. Such U.S. federal net operating losses generally may not be carried back to prior taxable years, except that, net operating losses generated in 2019, 2020 and 2021 may be carried back to each of the five tax years preceding the tax years of such losses. For taxable years beginning after December 31, 2020, the deductibility of U.S. federal net operating losses generated for tax years beginning after December 31, 2017 is limited to 80% of our taxable income in any future taxable year. In addition, in general, under Sections 382 and 383 of the Internal Revenue Code of 1986, as amended, or the Code, a corporation that undergoes an “ownership change” is subject to limitations on its ability to utilize its pre-change net operating losses or tax credits, or NOLs or credits, to offset future taxable income or taxes. For these purposes, an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both"/>
        <w:spacing w:after="0" w:line="273" w:lineRule="auto"/>
        <w:rPr>
          <w:sz w:val="20"/>
          <w:szCs w:val="20"/>
          <w:color w:val="auto"/>
        </w:rPr>
      </w:pPr>
      <w:r>
        <w:rPr>
          <w:rFonts w:ascii="Arial" w:cs="Arial" w:eastAsia="Arial" w:hAnsi="Arial"/>
          <w:sz w:val="17"/>
          <w:szCs w:val="17"/>
          <w:color w:val="auto"/>
        </w:rPr>
        <w:t>ownership change generally occurs when one or more stockholders or groups of stockholders who each owns at least 5% of a corporation’s stock increase their aggregate stock ownership by more than 50 percentage points over their lowest ownership percentage within a specified testing period. Our existing NOLs or credits may be subject to limitations arising from previous ownership changes, and if we undergo an ownership change after the merger, our ability to utilize NOLs or credits could be further limited by Sections 382 and 383 of the Code. In addition, future changes in our stock ownership, many of which are outside of our control, could result in an ownership change under Sections 382 and 383 of the Code. Our NOLs or credits may also be impaired under state law. Accordingly, we may not be able to utilize a material portion of our NOLs or credits.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62" w:lineRule="exact"/>
        <w:rPr>
          <w:sz w:val="20"/>
          <w:szCs w:val="20"/>
          <w:color w:val="auto"/>
        </w:rPr>
      </w:pPr>
    </w:p>
    <w:p>
      <w:pPr>
        <w:jc w:val="both"/>
        <w:ind w:firstLine="509"/>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CROs,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currently engage, and expect to continue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has caused significant volatility and uncertainty in U.S. and international markets. See “Risks Related to the Discovery and Development of Our Product Candidates</w:t>
      </w:r>
      <w:r>
        <w:rPr>
          <w:rFonts w:ascii="Arial" w:cs="Arial" w:eastAsia="Arial" w:hAnsi="Arial"/>
          <w:sz w:val="17"/>
          <w:szCs w:val="17"/>
          <w:i w:val="1"/>
          <w:iCs w:val="1"/>
          <w:color w:val="auto"/>
        </w:rPr>
        <w:t>-</w:t>
      </w:r>
      <w:r>
        <w:rPr>
          <w:rFonts w:ascii="Arial" w:cs="Arial" w:eastAsia="Arial" w:hAnsi="Arial"/>
          <w:sz w:val="17"/>
          <w:szCs w:val="17"/>
          <w:color w:val="auto"/>
        </w:rPr>
        <w:t>The COVID-19 pandemic, or a similar pandemic, epidemic, or outbreak of an infectious disease may materially and adversely affect our business and financial results and could cause a disruption to the development of our product candidates.” Interest rates in the U.S. have recently increased to levels not seen in decades. In addition, the impact of geopolitical tension, such as a deterioration in the bilateral relationship between the United States and China or an escalation in conflict between Russia and Ukraine, including any resulting sanctions, export controls or other restrictive actions, also could lead to disruption, instability and volatility in the global markets. A severe or prolonged economic downturn could result in a variety of risks to our business, including,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products. Any of the foregoing could harm our business and we cannot anticipate all of the ways in which the current economic climate and financial market conditions could adversely impact our business.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or insider trading.</w:t>
      </w:r>
    </w:p>
    <w:p>
      <w:pPr>
        <w:spacing w:after="0" w:line="62"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7"/>
          <w:szCs w:val="17"/>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Other activities subject to these laws include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ourself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7" w:name="page78"/>
    <w:bookmarkEnd w:id="77"/>
    <w:p>
      <w:pPr>
        <w:spacing w:after="0" w:line="277" w:lineRule="auto"/>
        <w:rPr>
          <w:sz w:val="20"/>
          <w:szCs w:val="20"/>
          <w:color w:val="auto"/>
        </w:rPr>
      </w:pPr>
      <w:r>
        <w:rPr>
          <w:rFonts w:ascii="Arial" w:cs="Arial" w:eastAsia="Arial" w:hAnsi="Arial"/>
          <w:sz w:val="18"/>
          <w:szCs w:val="18"/>
          <w:color w:val="auto"/>
        </w:rPr>
        <w:t>diminished profits and future earnings, and curtailment of our operations, any of which could adversely affect our ability to operate our business and our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is expected to be volatile.</w:t>
      </w:r>
    </w:p>
    <w:p>
      <w:pPr>
        <w:spacing w:after="0" w:line="117"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The market price of our common stock following the merger could be subject to significant fluctuations. Some of the factors that may cause the market price of our common stock to fluctuate include:</w:t>
      </w:r>
    </w:p>
    <w:p>
      <w:pPr>
        <w:spacing w:after="0" w:line="62" w:lineRule="exact"/>
        <w:rPr>
          <w:sz w:val="20"/>
          <w:szCs w:val="20"/>
          <w:color w:val="auto"/>
        </w:rPr>
      </w:pPr>
    </w:p>
    <w:p>
      <w:pPr>
        <w:ind w:left="760" w:hanging="378"/>
        <w:spacing w:after="0"/>
        <w:tabs>
          <w:tab w:leader="none" w:pos="7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results of clinical trials and preclinical studies of our product candidates, or those of our competitors or our existing or future collaborators;</w:t>
      </w:r>
    </w:p>
    <w:p>
      <w:pPr>
        <w:spacing w:after="0" w:line="128" w:lineRule="exact"/>
        <w:rPr>
          <w:rFonts w:ascii="Arial" w:cs="Arial" w:eastAsia="Arial" w:hAnsi="Arial"/>
          <w:sz w:val="17"/>
          <w:szCs w:val="17"/>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or exceed financial and development projections we may provide to the public;</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failure to meet or exceed the financial and development projections of the investment community;</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do not achieve the perceived benefits of the merger as rapidly or to the extent anticipated by financial or industry analysts;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collaborations, joint ventures or capital commitments by us or our competitors;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actions taken by regulatory agencies with respect to our product candidates, clinical studies, manufacturing process or sales and marketing terms;</w:t>
      </w:r>
    </w:p>
    <w:p>
      <w:pPr>
        <w:spacing w:after="0" w:line="140" w:lineRule="exact"/>
        <w:rPr>
          <w:rFonts w:ascii="Arial" w:cs="Arial" w:eastAsia="Arial" w:hAnsi="Arial"/>
          <w:sz w:val="16"/>
          <w:szCs w:val="16"/>
          <w:color w:val="auto"/>
        </w:rPr>
      </w:pPr>
    </w:p>
    <w:p>
      <w:pPr>
        <w:ind w:left="760" w:hanging="378"/>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securities or industry analysts do not publish research or reports about our business, or if they issue adverse or misleading opinions regarding our business and stock;</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general market or macroeconomic conditions or market conditions in the pharmaceutical and biotechnology sectors;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sales of securities by us or our securityholders in the future;</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we fail to raise an adequate amount of capital to fund our operations and continued development of our product candidates;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announcements by competitors of new commercial products, clinical progress or lack thereof, significant contracts, commercial relationships or capital commitments;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publicity relating to precision medicine product candidates, including with respect to other products in such markets;</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that compete with our products and services; and</w:t>
      </w:r>
    </w:p>
    <w:p>
      <w:pPr>
        <w:spacing w:after="0" w:line="117" w:lineRule="exact"/>
        <w:rPr>
          <w:rFonts w:ascii="Arial" w:cs="Arial" w:eastAsia="Arial" w:hAnsi="Arial"/>
          <w:sz w:val="18"/>
          <w:szCs w:val="18"/>
          <w:color w:val="auto"/>
        </w:rPr>
      </w:pPr>
    </w:p>
    <w:p>
      <w:pPr>
        <w:ind w:left="760" w:hanging="378"/>
        <w:spacing w:after="0"/>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117" w:lineRule="exact"/>
        <w:rPr>
          <w:sz w:val="20"/>
          <w:szCs w:val="20"/>
          <w:color w:val="auto"/>
        </w:rPr>
      </w:pPr>
    </w:p>
    <w:p>
      <w:pPr>
        <w:jc w:val="both"/>
        <w:ind w:firstLine="509"/>
        <w:spacing w:after="0" w:line="291" w:lineRule="auto"/>
        <w:rPr>
          <w:sz w:val="20"/>
          <w:szCs w:val="20"/>
          <w:color w:val="auto"/>
        </w:rPr>
      </w:pPr>
      <w:r>
        <w:rPr>
          <w:rFonts w:ascii="Arial" w:cs="Arial" w:eastAsia="Arial" w:hAnsi="Arial"/>
          <w:sz w:val="16"/>
          <w:szCs w:val="16"/>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In addition, a recession, depression or other sustained adverse market event resulting from the spread of COVID-19 or otherwise could materially and adversely affect our business and the value of our common stock. In the past, following periods of volatility in the market price of a company’s securities, stockholders have often instituted class action securities litigation against such companies. Furthermore, market volatility may lead to increased shareholder activism if we experience a market valuation that activists believe is not reflective of our intrinsic value. Activist campaigns that contest or conflict with our strategic direction or seek changes in the composition of our board of directors could have an adverse effect on our operating results and financial condition.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incur additional costs and increased demands upon management as a result of complying with the laws and regulations affecting public companies.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8" w:name="page79"/>
    <w:bookmarkEnd w:id="78"/>
    <w:p>
      <w:pPr>
        <w:jc w:val="both"/>
        <w:ind w:firstLine="509"/>
        <w:spacing w:after="0" w:line="270" w:lineRule="auto"/>
        <w:rPr>
          <w:sz w:val="20"/>
          <w:szCs w:val="20"/>
          <w:color w:val="auto"/>
        </w:rPr>
      </w:pPr>
      <w:r>
        <w:rPr>
          <w:rFonts w:ascii="Arial" w:cs="Arial" w:eastAsia="Arial" w:hAnsi="Arial"/>
          <w:sz w:val="17"/>
          <w:szCs w:val="17"/>
          <w:color w:val="auto"/>
        </w:rPr>
        <w:t>We will incur significant legal, accounting and other expenses as a public company that we did not incur as a private company, including costs associated with public company reporting obligations under the Securities Exchange Act of 1934, as amended, or the Exchange Act. Our management team consists of our executive officers prior to the merger, some of whom have not previously managed and operated a public company. These executive officers and other personnel will need to devote substantial time to gaining expertise related to public company reporting requirements and compliance with applicable laws and regulations to ensure that we comply with all of these requirements.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the board of directors or on board committees or to serve as executive officers, or to obtain certain types of insurance, including directors’ and officers’ insurance, on acceptable terms.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Once we are no longer an emerging growth company, a smaller reporting company or otherwise no longer qualify for applicable exemptions, we will be subject to additional laws and regulations affecting public companies that will increase our costs and the demands on management and could harm our operating results.</w:t>
      </w:r>
    </w:p>
    <w:p>
      <w:pPr>
        <w:spacing w:after="0" w:line="76" w:lineRule="exact"/>
        <w:rPr>
          <w:sz w:val="20"/>
          <w:szCs w:val="20"/>
          <w:color w:val="auto"/>
        </w:rPr>
      </w:pPr>
    </w:p>
    <w:p>
      <w:pPr>
        <w:jc w:val="both"/>
        <w:ind w:firstLine="509"/>
        <w:spacing w:after="0" w:line="285" w:lineRule="auto"/>
        <w:rPr>
          <w:sz w:val="20"/>
          <w:szCs w:val="20"/>
          <w:color w:val="auto"/>
        </w:rPr>
      </w:pPr>
      <w:r>
        <w:rPr>
          <w:rFonts w:ascii="Arial" w:cs="Arial" w:eastAsia="Arial" w:hAnsi="Arial"/>
          <w:sz w:val="16"/>
          <w:szCs w:val="16"/>
          <w:color w:val="auto"/>
        </w:rPr>
        <w:t>We are subject to the reporting requirements of the Exchange Act, which requires, among other things, that we file with the SEC, annual, quarterly and current reports with respect to our business and financial condition as well as other disclosure and corporate governance requirements. However, as an emerging growth company we may take advantage of exemptions from various requirements such as an exemption from the requirement to have our independent auditors attest to our internal control over financial reporting under Section 404 of the Sarbanes-Oxley Act of 2002 as well as an exemption from the “say on pay” voting requirements pursuant to the Dodd-Frank Wall Street Reform and Consumer Protection Act of 2010. After we no longer qualify as an emerging growth company, we may still qualify as a “smaller reporting company” which may allow us to take advantage of some of the same exemptions from disclosure requirements including not being required to comply with the auditor attestation requirements of Section 404 of the Sarbanes-Oxley Act and reduced disclosure obligations regarding executive compensation in our periodic reports and proxy statements. Even after we no longer qualify as an emerging growth company, we expect to still qualify as a “smaller reporting company,” as such term is defined in Rule 12b-2 under the Exchange Act, in at least the near term, which will allow us to take advantage of many of the same exemptions from disclosure requirements, including not being required to comply with the auditor attestation requirements of Section 404 of the Sarbanes-Oxley Act and reduced disclosure obligations regarding executive compensation in this Quarterly Report on Form 10-Q and in our periodic reports and proxy statements. Once we are no longer an emerging growth company, a smaller reporting company or otherwise qualify for these exemptions, we will be required to comply with these additional legal and regulatory requirements applicable to public companies and will incur significant legal, accounting and other expenses to do so. If we are not able to comply with the requirements in a timely manner or at all, our financial condition or the market price of our common stock may be harmed. For example, if we or our independent auditor identifies deficiencies in our internal control over financial reporting that are deemed to be material weaknesses we could face additional costs to remedy those deficiencies, the market price of our stock could decline or we could be subject to sanctions or investigations by the SEC or other regulatory authorities, which would require additional financial and management resources.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make an acquisition of us more difficult and may discourage any takeover attempts our stockholders may consider favorable, and may lead to entrenchment of management.</w:t>
      </w:r>
    </w:p>
    <w:p>
      <w:pPr>
        <w:spacing w:after="0" w:line="62"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Provisions of our amended and restated certificate of incorporation and amended and restated bylaws could delay or prevent changes in control or changes in management without the consent of the board of directors. These provisions will include the following:</w:t>
      </w:r>
    </w:p>
    <w:p>
      <w:pPr>
        <w:spacing w:after="0" w:line="62" w:lineRule="exact"/>
        <w:rPr>
          <w:sz w:val="20"/>
          <w:szCs w:val="20"/>
          <w:color w:val="auto"/>
        </w:rPr>
      </w:pPr>
    </w:p>
    <w:p>
      <w:pPr>
        <w:ind w:left="760" w:hanging="378"/>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means that all stockholder action must be taken at an annual or special meeting of the stockholders;</w:t>
      </w:r>
    </w:p>
    <w:p>
      <w:pPr>
        <w:spacing w:after="0" w:line="62"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chairman of the board of directors, the Chief Executive Officer or by a majority of the total number of authorized directors;</w:t>
      </w:r>
    </w:p>
    <w:p>
      <w:pPr>
        <w:spacing w:after="0" w:line="62" w:lineRule="exact"/>
        <w:rPr>
          <w:rFonts w:ascii="Arial" w:cs="Arial" w:eastAsia="Arial" w:hAnsi="Arial"/>
          <w:sz w:val="18"/>
          <w:szCs w:val="18"/>
          <w:color w:val="auto"/>
        </w:rPr>
      </w:pPr>
    </w:p>
    <w:p>
      <w:pPr>
        <w:ind w:left="760" w:hanging="378"/>
        <w:spacing w:after="0"/>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the board of directors;</w:t>
      </w:r>
    </w:p>
    <w:p>
      <w:pPr>
        <w:spacing w:after="0" w:line="117" w:lineRule="exact"/>
        <w:rPr>
          <w:rFonts w:ascii="Arial" w:cs="Arial" w:eastAsia="Arial" w:hAnsi="Arial"/>
          <w:sz w:val="18"/>
          <w:szCs w:val="18"/>
          <w:color w:val="auto"/>
        </w:rPr>
      </w:pPr>
    </w:p>
    <w:p>
      <w:pPr>
        <w:jc w:val="both"/>
        <w:ind w:left="760" w:hanging="378"/>
        <w:spacing w:after="0" w:line="263"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that no member of the board of directors may be removed from office by stockholders except for cause and, in addition to any other vote required by law, upon the approval of not less than two-thirds of all outstanding shares of voting stock then entitled to vote in the election of directors;</w:t>
      </w:r>
    </w:p>
    <w:p>
      <w:pPr>
        <w:spacing w:after="0" w:line="75" w:lineRule="exact"/>
        <w:rPr>
          <w:rFonts w:ascii="Arial" w:cs="Arial" w:eastAsia="Arial" w:hAnsi="Arial"/>
          <w:sz w:val="18"/>
          <w:szCs w:val="18"/>
          <w:color w:val="auto"/>
        </w:rPr>
      </w:pPr>
    </w:p>
    <w:p>
      <w:pPr>
        <w:ind w:left="760" w:hanging="378"/>
        <w:spacing w:after="0" w:line="277"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voting stock to amend any bylaws by stockholder action or to amend specific provisions of the certificate of incorporation;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79" w:name="page80"/>
    <w:bookmarkEnd w:id="79"/>
    <w:p>
      <w:pPr>
        <w:ind w:left="760" w:hanging="378"/>
        <w:spacing w:after="0" w:line="277"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and which preferred stock may include rights superior to the rights of the holders of common stock.</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these provisions would apply even if we were to receive an offer that some stockholders may consider beneficial.</w:t>
      </w:r>
    </w:p>
    <w:p>
      <w:pPr>
        <w:spacing w:after="0" w:line="117"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We will also be subject to the anti-takeover provisions contained in Section 203 of the DGCL, or Section 203.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and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other employees.</w:t>
      </w:r>
    </w:p>
    <w:p>
      <w:pPr>
        <w:spacing w:after="0" w:line="76"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7"/>
          <w:szCs w:val="17"/>
          <w:color w:val="auto"/>
        </w:rPr>
        <w:t>Our certificate of incorporation and bylaws provide that the Court of Chancery of the State of Delaware is the sole and exclusive forum for any derivative action or proceeding brought on our behalf, any action asserting a breach of fiduciary duty, any action asserting a claim against it arising pursuant to any provisions of the DGCL, our certificate of incorporation or our bylaws, or any action asserting a claim against us that is governed by the internal affairs doctrine. The exclusive forum provision does not apply to actions arising under the Exchange Act. Our amended and restated bylaws also provide that the federal district courts of the United States of America will be the exclusive forum for the resolution of any complaint asserting a cause of action under the Securities Act. The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the certificate of incorporation and bylaws to be inapplicable or unenforceable in an action, we may incur additional costs associated with resolving such action in other jurisdictions, which could materially and adversely affect our business, financial condition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anticipate that we will pay any cash dividends in the foreseeable future.</w:t>
      </w:r>
    </w:p>
    <w:p>
      <w:pPr>
        <w:spacing w:after="0" w:line="117" w:lineRule="exact"/>
        <w:rPr>
          <w:sz w:val="20"/>
          <w:szCs w:val="20"/>
          <w:color w:val="auto"/>
        </w:rPr>
      </w:pPr>
    </w:p>
    <w:p>
      <w:pPr>
        <w:jc w:val="both"/>
        <w:ind w:firstLine="509"/>
        <w:spacing w:after="0" w:line="277" w:lineRule="auto"/>
        <w:rPr>
          <w:sz w:val="20"/>
          <w:szCs w:val="20"/>
          <w:color w:val="auto"/>
        </w:rPr>
      </w:pPr>
      <w:r>
        <w:rPr>
          <w:rFonts w:ascii="Arial" w:cs="Arial" w:eastAsia="Arial" w:hAnsi="Arial"/>
          <w:sz w:val="18"/>
          <w:szCs w:val="18"/>
          <w:color w:val="auto"/>
        </w:rPr>
        <w:t>The current expectation is that we will retain our future earnings, if any, to fund the growth of our business as opposed to paying dividends. As a result, capital appreciation, if any, of our common stock will be your sole source of gain, if any, for the foreseeable future.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develop and our stockholders may not be able to resell their shares of common stock for a profit, if at all.</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Prior to the merger, there had been no public market for shares of our capital stock. An active trading market for shares of our common stock may never develop or be sustained. If an active market for our common stock does not develop or is not sustained, it may be difficult for our stockholders to sell their shares at an attractive price or at 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17" w:lineRule="exact"/>
        <w:rPr>
          <w:sz w:val="20"/>
          <w:szCs w:val="20"/>
          <w:color w:val="auto"/>
        </w:rPr>
      </w:pPr>
    </w:p>
    <w:p>
      <w:pPr>
        <w:jc w:val="both"/>
        <w:ind w:firstLine="509"/>
        <w:spacing w:after="0" w:line="273" w:lineRule="auto"/>
        <w:rPr>
          <w:sz w:val="20"/>
          <w:szCs w:val="20"/>
          <w:color w:val="auto"/>
        </w:rPr>
      </w:pPr>
      <w:r>
        <w:rPr>
          <w:rFonts w:ascii="Arial" w:cs="Arial" w:eastAsia="Arial" w:hAnsi="Arial"/>
          <w:sz w:val="17"/>
          <w:szCs w:val="17"/>
          <w:color w:val="auto"/>
        </w:rPr>
        <w:t>If our existing securityholders sell, or indicate an intention to sell, substantial amounts of our common stock in the public market after legal restrictions on resale discussed in our Annual Report on Form 10-K for the year ended December 31, 2022 lapse, the trading price of our common stock could decline. As of June 30, 2023, we had 22,850,894 shares of common stock outstanding. All outstanding shares of common stock, other than shares held by our affiliates will be freely tradable, without restriction, in the public market. In addition, shares of common stock that are subject to outstanding options of ours will become eligible for sale in the public market to the extent permitted by the provisions of various vesting agreements and Rules 144 and 701 under the Securities Act. If these shares are sold, the trading price of our common stock could decline.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principal stockholders have the ability to control or significantly influence all matters submitted to our stockholders for approval.</w:t>
      </w:r>
    </w:p>
    <w:p>
      <w:pPr>
        <w:spacing w:after="0" w:line="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7"/>
          <w:szCs w:val="17"/>
          <w:color w:val="auto"/>
        </w:rPr>
        <w:t>Our executive officers, directors and principal stockholders, in the aggregate, beneficially own approximately 54% of our outstanding shares of common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and approval of any merger, consolidation or sale of all or substantially all of our assets. This concentration of voting power could delay or prevent an acquisition of us on terms that other stockholders may desire.</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62"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18"/>
          <w:szCs w:val="18"/>
          <w:color w:val="auto"/>
        </w:rPr>
        <w:t>The trading market for our common stock will be influenced by the research and reports that equity research analysts publish about us and our business. Equity research analysts may elect not to provide research coverage of our common stock, and such lack of research coverage may adversely affect the market price of our common stock. In the event we do have equity research analyst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jc w:val="both"/>
        <w:spacing w:after="0" w:line="259" w:lineRule="auto"/>
        <w:rPr>
          <w:sz w:val="20"/>
          <w:szCs w:val="20"/>
          <w:color w:val="auto"/>
        </w:rPr>
      </w:pPr>
      <w:r>
        <w:rPr>
          <w:rFonts w:ascii="Arial" w:cs="Arial" w:eastAsia="Arial" w:hAnsi="Arial"/>
          <w:sz w:val="18"/>
          <w:szCs w:val="18"/>
          <w:color w:val="auto"/>
        </w:rPr>
        <w:t>coverage, we will not have any control over the analysts or the content and opinions included in their reports. The price of our common stock could decline if one or more equity research analysts downgrade our stock or issue other unfavorable commentary or research. If one or more equity research analysts ceases coverage of us or fails to publish reports on us regularly, demand for our common stock could decrease, which in turn could cause our stock price or trading volume to decline.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our cash and cash equivalents and may invest or spend our cash and cash equivalents in ways with which you do not agree and in ways that may not increase the value of your investment.</w:t>
      </w:r>
    </w:p>
    <w:p>
      <w:pPr>
        <w:spacing w:after="0" w:line="62"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We will have broad discretion over the use of our cash and cash equivalents. You may not agree with our decisions, and our use of our cash and cash equivalents may not yield any return on your investment. Our failure to apply these resources effectively could compromise our ability to pursue our growth strategy and we might not be able to yield a significant return, if any, on our investment of these net proceeds. You will not have the opportunity to influence our decisions on how to use our cash resources.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 Recent Sales of Unregistered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(b) Use of Proceeds from Initial Public Offering</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filed as part of this Quarterly Report are set forth on the Exhibit Index, which is incorporated herein by reference.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520" w:type="dxa"/>
            <w:vAlign w:val="bottom"/>
            <w:gridSpan w:val="5"/>
          </w:tcPr>
          <w:p>
            <w:pPr>
              <w:ind w:left="18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2"/>
        </w:trPr>
        <w:tc>
          <w:tcPr>
            <w:tcW w:w="1160" w:type="dxa"/>
            <w:vAlign w:val="bottom"/>
          </w:tcPr>
          <w:p>
            <w:pPr>
              <w:ind w:left="360"/>
              <w:spacing w:after="0"/>
              <w:rPr>
                <w:sz w:val="20"/>
                <w:szCs w:val="20"/>
                <w:color w:val="auto"/>
              </w:rPr>
            </w:pPr>
            <w:r>
              <w:rPr>
                <w:rFonts w:ascii="Arial" w:cs="Arial" w:eastAsia="Arial" w:hAnsi="Arial"/>
                <w:sz w:val="14"/>
                <w:szCs w:val="14"/>
                <w:b w:val="1"/>
                <w:bCs w:val="1"/>
                <w:color w:val="auto"/>
              </w:rPr>
              <w:t>Exhibit</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520" w:type="dxa"/>
            <w:vAlign w:val="bottom"/>
            <w:gridSpan w:val="5"/>
            <w:vMerge w:val="restart"/>
          </w:tcPr>
          <w:p>
            <w:pPr>
              <w:ind w:left="116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6520" w:type="dxa"/>
            <w:vAlign w:val="bottom"/>
            <w:tcBorders>
              <w:bottom w:val="single" w:sz="8" w:color="auto"/>
            </w:tcBorders>
            <w:gridSpan w:val="5"/>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60" w:type="dxa"/>
            <w:vAlign w:val="bottom"/>
          </w:tcPr>
          <w:p>
            <w:pPr>
              <w:ind w:left="20"/>
              <w:spacing w:after="0" w:line="182" w:lineRule="exact"/>
              <w:rPr>
                <w:sz w:val="20"/>
                <w:szCs w:val="20"/>
                <w:color w:val="auto"/>
              </w:rPr>
            </w:pPr>
            <w:r>
              <w:rPr>
                <w:rFonts w:ascii="Arial" w:cs="Arial" w:eastAsia="Arial" w:hAnsi="Arial"/>
                <w:sz w:val="18"/>
                <w:szCs w:val="18"/>
                <w:color w:val="auto"/>
              </w:rPr>
              <w:t>2.1†</w:t>
            </w:r>
          </w:p>
        </w:tc>
        <w:tc>
          <w:tcPr>
            <w:tcW w:w="160" w:type="dxa"/>
            <w:vAlign w:val="bottom"/>
          </w:tcPr>
          <w:p>
            <w:pPr>
              <w:spacing w:after="0"/>
              <w:rPr>
                <w:sz w:val="15"/>
                <w:szCs w:val="15"/>
                <w:color w:val="auto"/>
              </w:rPr>
            </w:pPr>
          </w:p>
        </w:tc>
        <w:tc>
          <w:tcPr>
            <w:tcW w:w="9940" w:type="dxa"/>
            <w:vAlign w:val="bottom"/>
            <w:gridSpan w:val="8"/>
          </w:tcPr>
          <w:p>
            <w:pPr>
              <w:spacing w:after="0" w:line="182" w:lineRule="exact"/>
              <w:rPr>
                <w:rFonts w:ascii="Arial" w:cs="Arial" w:eastAsia="Arial" w:hAnsi="Arial"/>
                <w:sz w:val="18"/>
                <w:szCs w:val="18"/>
                <w:color w:val="0000FF"/>
                <w:w w:val="94"/>
              </w:rPr>
            </w:pPr>
            <w:hyperlink r:id="rId189">
              <w:r>
                <w:rPr>
                  <w:rFonts w:ascii="Arial" w:cs="Arial" w:eastAsia="Arial" w:hAnsi="Arial"/>
                  <w:sz w:val="18"/>
                  <w:szCs w:val="18"/>
                  <w:color w:val="0000FF"/>
                  <w:w w:val="94"/>
                </w:rPr>
                <w:t>Agreement and Plan of Merger and reorganization, dated as of August 9, 2022, by and among Gemini Therapeutics, Inc. Gemstone</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w w:val="93"/>
              </w:rPr>
            </w:pPr>
            <w:hyperlink r:id="rId189">
              <w:r>
                <w:rPr>
                  <w:rFonts w:ascii="Arial" w:cs="Arial" w:eastAsia="Arial" w:hAnsi="Arial"/>
                  <w:sz w:val="18"/>
                  <w:szCs w:val="18"/>
                  <w:color w:val="0000FF"/>
                  <w:w w:val="93"/>
                </w:rPr>
                <w:t>Merger Sub, Inc. and Disc Medicine, Inc. (incorporated by reference to Exhibit 2.1 to the Registrant’s Proxy Statement/Prospectus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rPr>
            </w:pPr>
            <w:hyperlink r:id="rId189">
              <w:r>
                <w:rPr>
                  <w:rFonts w:ascii="Arial" w:cs="Arial" w:eastAsia="Arial" w:hAnsi="Arial"/>
                  <w:sz w:val="18"/>
                  <w:szCs w:val="18"/>
                  <w:color w:val="0000FF"/>
                </w:rPr>
                <w:t>Form S-4 filed on September 2,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9"/>
                <w:szCs w:val="19"/>
                <w:color w:val="auto"/>
              </w:rPr>
            </w:pPr>
          </w:p>
        </w:tc>
        <w:tc>
          <w:tcPr>
            <w:tcW w:w="9940" w:type="dxa"/>
            <w:vAlign w:val="bottom"/>
            <w:gridSpan w:val="8"/>
          </w:tcPr>
          <w:p>
            <w:pPr>
              <w:spacing w:after="0"/>
              <w:rPr>
                <w:rFonts w:ascii="Arial" w:cs="Arial" w:eastAsia="Arial" w:hAnsi="Arial"/>
                <w:sz w:val="18"/>
                <w:szCs w:val="18"/>
                <w:color w:val="0000FF"/>
              </w:rPr>
            </w:pPr>
            <w:hyperlink r:id="rId190">
              <w:r>
                <w:rPr>
                  <w:rFonts w:ascii="Arial" w:cs="Arial" w:eastAsia="Arial" w:hAnsi="Arial"/>
                  <w:sz w:val="18"/>
                  <w:szCs w:val="18"/>
                  <w:color w:val="0000FF"/>
                </w:rPr>
                <w:t>Amended and Restated Certificate of Incorporation of Disc Medicine, Inc. (incorporated by reference to Annex B to Gemini</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Therapeutics, Inc.’s Proxy Statement/Prospectus on Form S-4/A (Registration No. 333-249785)).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9940" w:type="dxa"/>
            <w:vAlign w:val="bottom"/>
            <w:gridSpan w:val="8"/>
          </w:tcPr>
          <w:p>
            <w:pPr>
              <w:spacing w:after="0"/>
              <w:rPr>
                <w:rFonts w:ascii="Arial" w:cs="Arial" w:eastAsia="Arial" w:hAnsi="Arial"/>
                <w:sz w:val="18"/>
                <w:szCs w:val="18"/>
                <w:color w:val="0000FF"/>
                <w:w w:val="93"/>
              </w:rPr>
            </w:pPr>
            <w:hyperlink r:id="rId191">
              <w:r>
                <w:rPr>
                  <w:rFonts w:ascii="Arial" w:cs="Arial" w:eastAsia="Arial" w:hAnsi="Arial"/>
                  <w:sz w:val="18"/>
                  <w:szCs w:val="18"/>
                  <w:color w:val="0000FF"/>
                  <w:w w:val="93"/>
                </w:rPr>
                <w:t>Certificate of Amendment to the Amended and Restated Certificate of Incorporation of Disc Medicine, Inc., dated December 28, 2022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rPr>
            </w:pPr>
            <w:hyperlink r:id="rId191">
              <w:r>
                <w:rPr>
                  <w:rFonts w:ascii="Arial" w:cs="Arial" w:eastAsia="Arial" w:hAnsi="Arial"/>
                  <w:sz w:val="18"/>
                  <w:szCs w:val="18"/>
                  <w:color w:val="0000FF"/>
                </w:rPr>
                <w:t>(incorporated by reference to Exhibit 3.1 to the Registrant’s Current Report on Form 8-K filed on December 29,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9"/>
                <w:szCs w:val="19"/>
                <w:color w:val="auto"/>
              </w:rPr>
            </w:pPr>
          </w:p>
        </w:tc>
        <w:tc>
          <w:tcPr>
            <w:tcW w:w="9940" w:type="dxa"/>
            <w:vAlign w:val="bottom"/>
            <w:gridSpan w:val="8"/>
          </w:tcPr>
          <w:p>
            <w:pPr>
              <w:spacing w:after="0"/>
              <w:rPr>
                <w:rFonts w:ascii="Arial" w:cs="Arial" w:eastAsia="Arial" w:hAnsi="Arial"/>
                <w:sz w:val="18"/>
                <w:szCs w:val="18"/>
                <w:color w:val="0000FF"/>
                <w:w w:val="93"/>
              </w:rPr>
            </w:pPr>
            <w:hyperlink r:id="rId192">
              <w:r>
                <w:rPr>
                  <w:rFonts w:ascii="Arial" w:cs="Arial" w:eastAsia="Arial" w:hAnsi="Arial"/>
                  <w:sz w:val="18"/>
                  <w:szCs w:val="18"/>
                  <w:color w:val="0000FF"/>
                  <w:w w:val="93"/>
                </w:rPr>
                <w:t>Certificate of Amendment to the Amended and Restated Certificate of Incorporation of Disc Medicine, Inc., dated December 29, 2022</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rPr>
            </w:pPr>
            <w:hyperlink r:id="rId192">
              <w:r>
                <w:rPr>
                  <w:rFonts w:ascii="Arial" w:cs="Arial" w:eastAsia="Arial" w:hAnsi="Arial"/>
                  <w:sz w:val="18"/>
                  <w:szCs w:val="18"/>
                  <w:color w:val="0000FF"/>
                </w:rPr>
                <w:t>(incorporated by reference to Exhibit 3.2 to the Registrant’s Current Report on Form 8-K filed on December 29, 2022).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9"/>
                <w:szCs w:val="19"/>
                <w:color w:val="auto"/>
              </w:rPr>
            </w:pPr>
          </w:p>
        </w:tc>
        <w:tc>
          <w:tcPr>
            <w:tcW w:w="9940" w:type="dxa"/>
            <w:vAlign w:val="bottom"/>
            <w:gridSpan w:val="8"/>
          </w:tcPr>
          <w:p>
            <w:pPr>
              <w:spacing w:after="0"/>
              <w:rPr>
                <w:rFonts w:ascii="Arial" w:cs="Arial" w:eastAsia="Arial" w:hAnsi="Arial"/>
                <w:sz w:val="18"/>
                <w:szCs w:val="18"/>
                <w:color w:val="0000FF"/>
                <w:w w:val="95"/>
              </w:rPr>
            </w:pPr>
            <w:hyperlink r:id="rId190">
              <w:r>
                <w:rPr>
                  <w:rFonts w:ascii="Arial" w:cs="Arial" w:eastAsia="Arial" w:hAnsi="Arial"/>
                  <w:sz w:val="18"/>
                  <w:szCs w:val="18"/>
                  <w:color w:val="0000FF"/>
                  <w:w w:val="95"/>
                </w:rPr>
                <w:t>Amended and Restated By-laws of Disc Medicine, Inc. (incorporated by reference to Annex C to Gemini Therapeutics, Inc.’s Proxy</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58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8"/>
          </w:tcPr>
          <w:p>
            <w:pPr>
              <w:spacing w:after="0" w:line="196" w:lineRule="exact"/>
              <w:rPr>
                <w:rFonts w:ascii="Arial" w:cs="Arial" w:eastAsia="Arial" w:hAnsi="Arial"/>
                <w:sz w:val="18"/>
                <w:szCs w:val="18"/>
                <w:color w:val="0000FF"/>
              </w:rPr>
            </w:pPr>
            <w:hyperlink r:id="rId190">
              <w:r>
                <w:rPr>
                  <w:rFonts w:ascii="Arial" w:cs="Arial" w:eastAsia="Arial" w:hAnsi="Arial"/>
                  <w:sz w:val="18"/>
                  <w:szCs w:val="18"/>
                  <w:color w:val="0000FF"/>
                </w:rPr>
                <w:t>Statement/Prospectus on Form S-4/A (Registration No. 333-249785)).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740" w:type="dxa"/>
            <w:vAlign w:val="bottom"/>
            <w:tcBorders>
              <w:right w:val="single" w:sz="8" w:color="0000EE"/>
            </w:tcBorders>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9940" w:type="dxa"/>
            <w:vAlign w:val="bottom"/>
            <w:gridSpan w:val="8"/>
          </w:tcPr>
          <w:p>
            <w:pPr>
              <w:spacing w:after="0"/>
              <w:rPr>
                <w:rFonts w:ascii="Arial" w:cs="Arial" w:eastAsia="Arial" w:hAnsi="Arial"/>
                <w:sz w:val="18"/>
                <w:szCs w:val="18"/>
                <w:color w:val="0000FF"/>
                <w:w w:val="92"/>
              </w:rPr>
            </w:pPr>
            <w:hyperlink r:id="rId193">
              <w:r>
                <w:rPr>
                  <w:rFonts w:ascii="Arial" w:cs="Arial" w:eastAsia="Arial" w:hAnsi="Arial"/>
                  <w:sz w:val="18"/>
                  <w:szCs w:val="18"/>
                  <w:color w:val="0000FF"/>
                  <w:w w:val="92"/>
                </w:rPr>
                <w:t>Form of Pre-Funded Warrant (incorporated by reference to Exhibit 4.1 to the Registrant’s Current Report on Form 8-K filed on February</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0" w:type="dxa"/>
            <w:vAlign w:val="bottom"/>
            <w:tcBorders>
              <w:left w:val="single" w:sz="8" w:color="0000FF"/>
            </w:tcBorders>
            <w:shd w:val="clear" w:color="auto" w:fill="0000FF"/>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line="196" w:lineRule="exact"/>
              <w:rPr>
                <w:rFonts w:ascii="Arial" w:cs="Arial" w:eastAsia="Arial" w:hAnsi="Arial"/>
                <w:sz w:val="18"/>
                <w:szCs w:val="18"/>
                <w:color w:val="0000FF"/>
                <w:w w:val="86"/>
              </w:rPr>
            </w:pPr>
            <w:hyperlink r:id="rId193">
              <w:r>
                <w:rPr>
                  <w:rFonts w:ascii="Arial" w:cs="Arial" w:eastAsia="Arial" w:hAnsi="Arial"/>
                  <w:sz w:val="18"/>
                  <w:szCs w:val="18"/>
                  <w:color w:val="0000FF"/>
                  <w:w w:val="86"/>
                </w:rPr>
                <w:t>14, 2023).</w:t>
              </w:r>
            </w:hyperlink>
          </w:p>
        </w:tc>
        <w:tc>
          <w:tcPr>
            <w:tcW w:w="20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740" w:type="dxa"/>
            <w:vAlign w:val="bottom"/>
            <w:tcBorders>
              <w:right w:val="single" w:sz="8" w:color="0000EE"/>
            </w:tcBorders>
            <w:shd w:val="clear" w:color="auto" w:fill="0000FF"/>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3940" w:type="dxa"/>
            <w:vAlign w:val="bottom"/>
            <w:gridSpan w:val="3"/>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 of Principal Executive Officer pursuant to Section 302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258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19"/>
                <w:szCs w:val="19"/>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rPr>
              <w:t>Certification of Principal Financial Officer pursuant to Section 302 of the Sarbanes-Oxley Act of 2002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940" w:type="dxa"/>
            <w:vAlign w:val="bottom"/>
            <w:gridSpan w:val="3"/>
            <w:shd w:val="clear" w:color="auto" w:fill="0000FF"/>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ind w:left="20"/>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9"/>
                <w:szCs w:val="19"/>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0000FF"/>
                <w:w w:val="93"/>
              </w:rPr>
              <w:t>Certification of Principal Executive Officer and Principal Financial Officer Pursuant to 18 U.S.C. Section 1350, as Adopted Pursuant to</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652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940" w:type="dxa"/>
            <w:vAlign w:val="bottom"/>
            <w:gridSpan w:val="8"/>
          </w:tcPr>
          <w:p>
            <w:pPr>
              <w:spacing w:after="0" w:line="196" w:lineRule="exact"/>
              <w:rPr>
                <w:sz w:val="20"/>
                <w:szCs w:val="20"/>
                <w:color w:val="auto"/>
              </w:rPr>
            </w:pPr>
            <w:r>
              <w:rPr>
                <w:rFonts w:ascii="Arial" w:cs="Arial" w:eastAsia="Arial" w:hAnsi="Arial"/>
                <w:sz w:val="18"/>
                <w:szCs w:val="18"/>
                <w:color w:val="0000FF"/>
              </w:rPr>
              <w:t>Section 906 of the Sarbanes-Oxley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tcPr>
          <w:p>
            <w:pPr>
              <w:ind w:left="20"/>
              <w:spacing w:after="0"/>
              <w:rPr>
                <w:sz w:val="20"/>
                <w:szCs w:val="20"/>
                <w:color w:val="auto"/>
              </w:rPr>
            </w:pPr>
            <w:r>
              <w:rPr>
                <w:rFonts w:ascii="Arial" w:cs="Arial" w:eastAsia="Arial" w:hAnsi="Arial"/>
                <w:sz w:val="18"/>
                <w:szCs w:val="18"/>
                <w:color w:val="auto"/>
              </w:rPr>
              <w:t>101.INS</w:t>
            </w:r>
          </w:p>
        </w:tc>
        <w:tc>
          <w:tcPr>
            <w:tcW w:w="160" w:type="dxa"/>
            <w:vAlign w:val="bottom"/>
          </w:tcPr>
          <w:p>
            <w:pPr>
              <w:spacing w:after="0"/>
              <w:rPr>
                <w:sz w:val="21"/>
                <w:szCs w:val="21"/>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Inline XBRL Instance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101.SCH</w:t>
            </w:r>
          </w:p>
        </w:tc>
        <w:tc>
          <w:tcPr>
            <w:tcW w:w="160" w:type="dxa"/>
            <w:vAlign w:val="bottom"/>
          </w:tcPr>
          <w:p>
            <w:pPr>
              <w:spacing w:after="0"/>
              <w:rPr>
                <w:sz w:val="21"/>
                <w:szCs w:val="21"/>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Inline XBRL Taxonomy Extension Schema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101.CAL</w:t>
            </w:r>
          </w:p>
        </w:tc>
        <w:tc>
          <w:tcPr>
            <w:tcW w:w="160" w:type="dxa"/>
            <w:vAlign w:val="bottom"/>
          </w:tcPr>
          <w:p>
            <w:pPr>
              <w:spacing w:after="0"/>
              <w:rPr>
                <w:sz w:val="21"/>
                <w:szCs w:val="21"/>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101.DEF</w:t>
            </w:r>
          </w:p>
        </w:tc>
        <w:tc>
          <w:tcPr>
            <w:tcW w:w="160" w:type="dxa"/>
            <w:vAlign w:val="bottom"/>
          </w:tcPr>
          <w:p>
            <w:pPr>
              <w:spacing w:after="0"/>
              <w:rPr>
                <w:sz w:val="21"/>
                <w:szCs w:val="21"/>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101.LAB</w:t>
            </w:r>
          </w:p>
        </w:tc>
        <w:tc>
          <w:tcPr>
            <w:tcW w:w="160" w:type="dxa"/>
            <w:vAlign w:val="bottom"/>
          </w:tcPr>
          <w:p>
            <w:pPr>
              <w:spacing w:after="0"/>
              <w:rPr>
                <w:sz w:val="21"/>
                <w:szCs w:val="21"/>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60" w:type="dxa"/>
            <w:vAlign w:val="bottom"/>
          </w:tcPr>
          <w:p>
            <w:pPr>
              <w:ind w:left="20"/>
              <w:spacing w:after="0"/>
              <w:rPr>
                <w:sz w:val="20"/>
                <w:szCs w:val="20"/>
                <w:color w:val="auto"/>
              </w:rPr>
            </w:pPr>
            <w:r>
              <w:rPr>
                <w:rFonts w:ascii="Arial" w:cs="Arial" w:eastAsia="Arial" w:hAnsi="Arial"/>
                <w:sz w:val="18"/>
                <w:szCs w:val="18"/>
                <w:color w:val="auto"/>
              </w:rPr>
              <w:t>101.PRE</w:t>
            </w:r>
          </w:p>
        </w:tc>
        <w:tc>
          <w:tcPr>
            <w:tcW w:w="160" w:type="dxa"/>
            <w:vAlign w:val="bottom"/>
          </w:tcPr>
          <w:p>
            <w:pPr>
              <w:spacing w:after="0"/>
              <w:rPr>
                <w:sz w:val="21"/>
                <w:szCs w:val="21"/>
                <w:color w:val="auto"/>
              </w:rPr>
            </w:pPr>
          </w:p>
        </w:tc>
        <w:tc>
          <w:tcPr>
            <w:tcW w:w="9940" w:type="dxa"/>
            <w:vAlign w:val="bottom"/>
            <w:gridSpan w:val="8"/>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300" w:hanging="1279"/>
        <w:spacing w:after="0"/>
        <w:tabs>
          <w:tab w:leader="none" w:pos="1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9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117" w:lineRule="exact"/>
        <w:rPr>
          <w:rFonts w:ascii="Arial" w:cs="Arial" w:eastAsia="Arial" w:hAnsi="Arial"/>
          <w:sz w:val="18"/>
          <w:szCs w:val="18"/>
          <w:color w:val="auto"/>
        </w:rPr>
      </w:pPr>
    </w:p>
    <w:p>
      <w:pPr>
        <w:jc w:val="both"/>
        <w:ind w:right="40" w:firstLine="8"/>
        <w:spacing w:after="0" w:line="263" w:lineRule="auto"/>
        <w:tabs>
          <w:tab w:leader="none" w:pos="23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Securities Exchange Act of 1934, as amended, except to the extent that the Registrant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95123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56" w:lineRule="exact"/>
        <w:rPr>
          <w:sz w:val="20"/>
          <w:szCs w:val="20"/>
          <w:color w:val="auto"/>
        </w:rPr>
      </w:pPr>
    </w:p>
    <w:p>
      <w:pPr>
        <w:ind w:right="40" w:firstLine="8"/>
        <w:spacing w:after="0" w:line="277" w:lineRule="auto"/>
        <w:tabs>
          <w:tab w:leader="none" w:pos="15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annexes, schedules, and certain exhibits to the Merger Agreement have been omitted pursuant to Item 601(b)(2) of Regulation S-K. The Registrant hereby agrees to furnish supplementally a copy of any omitted annex, schedule or exhibit to the Commission upon request.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37" w:right="29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7"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DISC MEDICINE, INC.</w:t>
      </w:r>
    </w:p>
    <w:p>
      <w:pPr>
        <w:spacing w:after="0" w:line="283" w:lineRule="exact"/>
        <w:rPr>
          <w:sz w:val="20"/>
          <w:szCs w:val="20"/>
          <w:color w:val="auto"/>
        </w:rPr>
      </w:pPr>
    </w:p>
    <w:p>
      <w:pPr>
        <w:ind w:left="20"/>
        <w:spacing w:after="0"/>
        <w:tabs>
          <w:tab w:leader="none" w:pos="5720" w:val="left"/>
          <w:tab w:leader="none" w:pos="816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86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0"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(Principal Executive Officer)</w:t>
      </w:r>
    </w:p>
    <w:p>
      <w:pPr>
        <w:spacing w:after="0" w:line="386" w:lineRule="exact"/>
        <w:rPr>
          <w:sz w:val="20"/>
          <w:szCs w:val="20"/>
          <w:color w:val="auto"/>
        </w:rPr>
      </w:pPr>
    </w:p>
    <w:p>
      <w:pPr>
        <w:ind w:left="20"/>
        <w:spacing w:after="0"/>
        <w:tabs>
          <w:tab w:leader="none" w:pos="5720" w:val="left"/>
          <w:tab w:leader="none" w:pos="8100" w:val="left"/>
        </w:tabs>
        <w:rPr>
          <w:sz w:val="20"/>
          <w:szCs w:val="20"/>
          <w:color w:val="auto"/>
        </w:rPr>
      </w:pPr>
      <w:r>
        <w:rPr>
          <w:rFonts w:ascii="Arial" w:cs="Arial" w:eastAsia="Arial" w:hAnsi="Arial"/>
          <w:sz w:val="18"/>
          <w:szCs w:val="18"/>
          <w:color w:val="auto"/>
        </w:rPr>
        <w:t>Date: August 11,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23495</wp:posOffset>
            </wp:positionV>
            <wp:extent cx="31978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197860" cy="8255"/>
                    </a:xfrm>
                    <a:prstGeom prst="rect">
                      <a:avLst/>
                    </a:prstGeom>
                    <a:noFill/>
                  </pic:spPr>
                </pic:pic>
              </a:graphicData>
            </a:graphic>
          </wp:anchor>
        </w:drawing>
      </w:r>
    </w:p>
    <w:p>
      <w:pPr>
        <w:spacing w:after="0" w:line="30" w:lineRule="exact"/>
        <w:rPr>
          <w:sz w:val="20"/>
          <w:szCs w:val="20"/>
          <w:color w:val="auto"/>
        </w:rPr>
      </w:pPr>
    </w:p>
    <w:p>
      <w:pPr>
        <w:ind w:left="80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5" w:name="page86"/>
    <w:bookmarkEnd w:id="85"/>
    <w:p>
      <w:pPr>
        <w:ind w:left="10260"/>
        <w:spacing w:after="0"/>
        <w:rPr>
          <w:sz w:val="20"/>
          <w:szCs w:val="20"/>
          <w:color w:val="auto"/>
        </w:rPr>
      </w:pPr>
      <w:r>
        <w:rPr>
          <w:rFonts w:ascii="Arial" w:cs="Arial" w:eastAsia="Arial" w:hAnsi="Arial"/>
          <w:sz w:val="17"/>
          <w:szCs w:val="17"/>
          <w:b w:val="1"/>
          <w:bCs w:val="1"/>
          <w:color w:val="auto"/>
        </w:rPr>
        <w:t>Exhibit 31.1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w:t>
      </w:r>
      <w:r>
        <w:rPr>
          <w:rFonts w:ascii="Arial" w:cs="Arial" w:eastAsia="Arial" w:hAnsi="Arial"/>
          <w:sz w:val="13"/>
          <w:szCs w:val="13"/>
          <w:b w:val="1"/>
          <w:bCs w:val="1"/>
          <w:color w:val="auto"/>
        </w:rPr>
        <w:t>A</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 RULE 15</w:t>
      </w:r>
      <w:r>
        <w:rPr>
          <w:rFonts w:ascii="Arial" w:cs="Arial" w:eastAsia="Arial" w:hAnsi="Arial"/>
          <w:sz w:val="13"/>
          <w:szCs w:val="13"/>
          <w:b w:val="1"/>
          <w:bCs w:val="1"/>
          <w:color w:val="auto"/>
        </w:rPr>
        <w:t>D</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Quisel, J.D., Ph.D., certify that:</w:t>
      </w:r>
    </w:p>
    <w:p>
      <w:pPr>
        <w:spacing w:after="0" w:line="225"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Disc Medicine,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7"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3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57"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6" w:name="page87"/>
    <w:bookmarkEnd w:id="8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ind w:left="10260"/>
        <w:spacing w:after="0"/>
        <w:rPr>
          <w:sz w:val="20"/>
          <w:szCs w:val="20"/>
          <w:color w:val="auto"/>
        </w:rPr>
      </w:pPr>
      <w:r>
        <w:rPr>
          <w:rFonts w:ascii="Arial" w:cs="Arial" w:eastAsia="Arial" w:hAnsi="Arial"/>
          <w:sz w:val="17"/>
          <w:szCs w:val="17"/>
          <w:b w:val="1"/>
          <w:bCs w:val="1"/>
          <w:color w:val="auto"/>
        </w:rPr>
        <w:t>Exhibit 31.2</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RULE 13</w:t>
      </w:r>
      <w:r>
        <w:rPr>
          <w:rFonts w:ascii="Arial" w:cs="Arial" w:eastAsia="Arial" w:hAnsi="Arial"/>
          <w:sz w:val="13"/>
          <w:szCs w:val="13"/>
          <w:b w:val="1"/>
          <w:bCs w:val="1"/>
          <w:color w:val="auto"/>
        </w:rPr>
        <w:t>A</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 RULE 15</w:t>
      </w:r>
      <w:r>
        <w:rPr>
          <w:rFonts w:ascii="Arial" w:cs="Arial" w:eastAsia="Arial" w:hAnsi="Arial"/>
          <w:sz w:val="13"/>
          <w:szCs w:val="13"/>
          <w:b w:val="1"/>
          <w:bCs w:val="1"/>
          <w:color w:val="auto"/>
        </w:rPr>
        <w:t>D</w:t>
      </w:r>
      <w:r>
        <w:rPr>
          <w:rFonts w:ascii="Arial" w:cs="Arial" w:eastAsia="Arial" w:hAnsi="Arial"/>
          <w:sz w:val="18"/>
          <w:szCs w:val="18"/>
          <w:b w:val="1"/>
          <w:bCs w:val="1"/>
          <w:color w:val="auto"/>
        </w:rPr>
        <w:t>-14(</w:t>
      </w:r>
      <w:r>
        <w:rPr>
          <w:rFonts w:ascii="Arial" w:cs="Arial" w:eastAsia="Arial" w:hAnsi="Arial"/>
          <w:sz w:val="13"/>
          <w:szCs w:val="13"/>
          <w:b w:val="1"/>
          <w:bCs w:val="1"/>
          <w:color w:val="auto"/>
        </w:rPr>
        <w:t>A</w:t>
      </w:r>
      <w:r>
        <w:rPr>
          <w:rFonts w:ascii="Arial" w:cs="Arial" w:eastAsia="Arial" w:hAnsi="Arial"/>
          <w:sz w:val="18"/>
          <w:szCs w:val="18"/>
          <w:b w:val="1"/>
          <w:bCs w:val="1"/>
          <w:color w:val="auto"/>
        </w:rPr>
        <w:t>) OF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Joanne Bryce, CPA, certify that:</w:t>
      </w:r>
    </w:p>
    <w:p>
      <w:pPr>
        <w:spacing w:after="0" w:line="225" w:lineRule="exact"/>
        <w:rPr>
          <w:sz w:val="20"/>
          <w:szCs w:val="20"/>
          <w:color w:val="auto"/>
        </w:rPr>
      </w:pPr>
    </w:p>
    <w:p>
      <w:pPr>
        <w:ind w:left="180" w:hanging="172"/>
        <w:spacing w:after="0"/>
        <w:tabs>
          <w:tab w:leader="none" w:pos="1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Disc Medicine, Inc.;</w:t>
      </w:r>
    </w:p>
    <w:p>
      <w:pPr>
        <w:spacing w:after="0" w:line="225" w:lineRule="exact"/>
        <w:rPr>
          <w:rFonts w:ascii="Arial" w:cs="Arial" w:eastAsia="Arial" w:hAnsi="Arial"/>
          <w:sz w:val="18"/>
          <w:szCs w:val="18"/>
          <w:color w:val="auto"/>
        </w:rPr>
      </w:pPr>
    </w:p>
    <w:p>
      <w:pPr>
        <w:ind w:firstLine="8"/>
        <w:spacing w:after="0" w:line="342" w:lineRule="auto"/>
        <w:tabs>
          <w:tab w:leader="none" w:pos="202" w:val="left"/>
        </w:tabs>
        <w:numPr>
          <w:ilvl w:val="0"/>
          <w:numId w:val="5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20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3" w:lineRule="auto"/>
        <w:tabs>
          <w:tab w:leader="none" w:pos="17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firstLine="8"/>
        <w:spacing w:after="0" w:line="263" w:lineRule="auto"/>
        <w:tabs>
          <w:tab w:leader="none" w:pos="2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57"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277" w:lineRule="auto"/>
        <w:tabs>
          <w:tab w:leader="none" w:pos="2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firstLine="8"/>
        <w:spacing w:after="0" w:line="263" w:lineRule="auto"/>
        <w:tabs>
          <w:tab w:leader="none" w:pos="27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308" w:lineRule="auto"/>
        <w:tabs>
          <w:tab w:leader="none" w:pos="19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sz w:val="20"/>
          <w:szCs w:val="20"/>
          <w:color w:val="auto"/>
        </w:rPr>
      </w:pPr>
    </w:p>
    <w:p>
      <w:pPr>
        <w:ind w:firstLine="8"/>
        <w:spacing w:after="0" w:line="277" w:lineRule="auto"/>
        <w:tabs>
          <w:tab w:leader="none" w:pos="2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5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11,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8" w:name="page89"/>
    <w:bookmarkEnd w:id="8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ind w:left="10260"/>
        <w:spacing w:after="0"/>
        <w:rPr>
          <w:sz w:val="20"/>
          <w:szCs w:val="20"/>
          <w:color w:val="auto"/>
        </w:rPr>
      </w:pPr>
      <w:r>
        <w:rPr>
          <w:rFonts w:ascii="Arial" w:cs="Arial" w:eastAsia="Arial" w:hAnsi="Arial"/>
          <w:sz w:val="17"/>
          <w:szCs w:val="17"/>
          <w:b w:val="1"/>
          <w:bCs w:val="1"/>
          <w:color w:val="auto"/>
        </w:rPr>
        <w:t>Exhibit 32.1</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CERTIFICATIONS OF PRINCIPAL EXECUTIVE OFFICER AND PRINCIPAL</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OFFICER 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629"/>
        <w:spacing w:after="0" w:line="286" w:lineRule="auto"/>
        <w:rPr>
          <w:sz w:val="20"/>
          <w:szCs w:val="20"/>
          <w:color w:val="auto"/>
        </w:rPr>
      </w:pPr>
      <w:r>
        <w:rPr>
          <w:rFonts w:ascii="Arial" w:cs="Arial" w:eastAsia="Arial" w:hAnsi="Arial"/>
          <w:sz w:val="17"/>
          <w:szCs w:val="17"/>
          <w:color w:val="auto"/>
        </w:rPr>
        <w:t>In connection with this Quarterly Report on Form 10-Q of Disc Medicine, Inc. (the “Company”) for the quarter ended June 30, 2023 as filed with the Securities and Exchange Commission on the date hereof (the “Report”), each of the undersigned officers hereby certifies, pursuant to 18 U.S.C. Section 1350, as adopted pursuant to Section 906 of the Sarbanes-Oxley Act of 2002, that to the best of his or her knowledge:</w:t>
      </w:r>
    </w:p>
    <w:p>
      <w:pPr>
        <w:spacing w:after="0" w:line="57" w:lineRule="exact"/>
        <w:rPr>
          <w:sz w:val="20"/>
          <w:szCs w:val="20"/>
          <w:color w:val="auto"/>
        </w:rPr>
      </w:pPr>
    </w:p>
    <w:p>
      <w:pPr>
        <w:ind w:left="1140" w:hanging="504"/>
        <w:spacing w:after="0"/>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40" w:hanging="504"/>
        <w:spacing w:after="0" w:line="277" w:lineRule="auto"/>
        <w:tabs>
          <w:tab w:leader="none" w:pos="11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11, 2023</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John Quisel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John Quisel, J.D., Ph.D.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Executive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Joanne Bryce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Joanne Bryce, CPA</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Financial Officer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216535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
      <w:numFmt w:val="bullet"/>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
      <w:numFmt w:val="bullet"/>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
      <w:numFmt w:val="bullet"/>
      <w:start w:val="1"/>
    </w:lvl>
  </w:abstractNum>
  <w:abstractNum w:abstractNumId="43">
    <w:nsid w:val="749ABB43"/>
    <w:multiLevelType w:val="hybridMultilevel"/>
    <w:lvl w:ilvl="0">
      <w:lvlJc w:val="left"/>
      <w:lvlText w:val="•"/>
      <w:numFmt w:val="bullet"/>
      <w:start w:val="1"/>
    </w:lvl>
  </w:abstractNum>
  <w:abstractNum w:abstractNumId="44">
    <w:nsid w:val="3DC240FB"/>
    <w:multiLevelType w:val="hybridMultilevel"/>
    <w:lvl w:ilvl="0">
      <w:lvlJc w:val="left"/>
      <w:lvlText w:val="*"/>
      <w:numFmt w:val="bullet"/>
      <w:start w:val="1"/>
    </w:lvl>
    <w:lvl w:ilvl="1">
      <w:lvlJc w:val="left"/>
      <w:lvlText w:val="%2"/>
      <w:numFmt w:val="decimal"/>
      <w:start w:val="104"/>
    </w:lvl>
  </w:abstractNum>
  <w:abstractNum w:abstractNumId="45">
    <w:nsid w:val="1BA026FA"/>
    <w:multiLevelType w:val="hybridMultilevel"/>
    <w:lvl w:ilvl="0">
      <w:lvlJc w:val="left"/>
      <w:lvlText w:val="**"/>
      <w:numFmt w:val="bullet"/>
      <w:start w:val="1"/>
    </w:lvl>
    <w:lvl w:ilvl="1">
      <w:lvlJc w:val="left"/>
      <w:lvlText w:val="%2"/>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lowerLetter"/>
      <w:start w:val="1"/>
    </w:lvl>
  </w:abstractNum>
  <w:abstractNum w:abstractNumId="49">
    <w:nsid w:val="70C6A529"/>
    <w:multiLevelType w:val="hybridMultilevel"/>
    <w:lvl w:ilvl="0">
      <w:lvlJc w:val="left"/>
      <w:lvlText w:val="%1."/>
      <w:numFmt w:val="decimal"/>
      <w:start w:val="5"/>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lowerLetter"/>
      <w:start w:val="1"/>
    </w:lvl>
  </w:abstractNum>
  <w:abstractNum w:abstractNumId="53">
    <w:nsid w:val="23F9C13C"/>
    <w:multiLevelType w:val="hybridMultilevel"/>
    <w:lvl w:ilvl="0">
      <w:lvlJc w:val="left"/>
      <w:lvlText w:val="%1."/>
      <w:numFmt w:val="decimal"/>
      <w:start w:val="5"/>
    </w:lvl>
  </w:abstractNum>
  <w:abstractNum w:abstractNumId="54">
    <w:nsid w:val="649BB77C"/>
    <w:multiLevelType w:val="hybridMultilevel"/>
    <w:lvl w:ilvl="0">
      <w:lvlJc w:val="left"/>
      <w:lvlText w:val="(%1)"/>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189" Type="http://schemas.openxmlformats.org/officeDocument/2006/relationships/hyperlink" Target="https://www.sec.gov/Archives/edgar/data/1816736/000114036122032239/ny20005172x1_s4.htm#tANNEXA" TargetMode="External"/><Relationship Id="rId190" Type="http://schemas.openxmlformats.org/officeDocument/2006/relationships/hyperlink" Target="https://www.sec.gov/Archives/edgar/data/1816736/000114036122032239/ny20005172x1_ex3-1.htm" TargetMode="External"/><Relationship Id="rId191" Type="http://schemas.openxmlformats.org/officeDocument/2006/relationships/hyperlink" Target="https://www.sec.gov/Archives/edgar/data/1816736/000114036122047453/brhc10045896_ex3-1.htm" TargetMode="External"/><Relationship Id="rId192" Type="http://schemas.openxmlformats.org/officeDocument/2006/relationships/hyperlink" Target="https://www.sec.gov/Archives/edgar/data/1816736/000114036122047453/brhc10045896_ex3-2.htm" TargetMode="External"/><Relationship Id="rId193" Type="http://schemas.openxmlformats.org/officeDocument/2006/relationships/hyperlink" Target="https://www.sec.gov/Archives/edgar/data/1816736/000119312523037151/d289637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2023-08-11T06:22:39Z</dcterms:created>
  <dcterms:modified xsi:type="dcterms:W3CDTF">2023-08-11T06:22:39Z</dcterms:modified>
</cp:coreProperties>
</file>