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15, 2020</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0" w:type="dxa"/>
            <w:vAlign w:val="bottom"/>
          </w:tcPr>
          <w:p>
            <w:pPr>
              <w:spacing w:after="0"/>
              <w:rPr>
                <w:sz w:val="22"/>
                <w:szCs w:val="22"/>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600 Montgomery Street, Suite 4500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9"/>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94111</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6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87"/>
        </w:trPr>
        <w:tc>
          <w:tcPr>
            <w:tcW w:w="362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FSDC</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ind w:left="660" w:hanging="328"/>
        <w:spacing w:after="0" w:line="282" w:lineRule="auto"/>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328"/>
        <w:spacing w:after="0" w:line="282" w:lineRule="auto"/>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Amendment supplements Item 9.01 (solely to add additional exhibits) of the Current Report on Form 8-K of FS Development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filed with the Securities and Exchange Commission on October 15, 2020 (the “</w:t>
      </w:r>
      <w:r>
        <w:rPr>
          <w:rFonts w:ascii="Times New Roman" w:cs="Times New Roman" w:eastAsia="Times New Roman" w:hAnsi="Times New Roman"/>
          <w:sz w:val="18"/>
          <w:szCs w:val="18"/>
          <w:b w:val="1"/>
          <w:bCs w:val="1"/>
          <w:i w:val="1"/>
          <w:iCs w:val="1"/>
          <w:color w:val="auto"/>
        </w:rPr>
        <w:t>Original Current Report</w:t>
      </w:r>
      <w:r>
        <w:rPr>
          <w:rFonts w:ascii="Times New Roman" w:cs="Times New Roman" w:eastAsia="Times New Roman" w:hAnsi="Times New Roman"/>
          <w:sz w:val="18"/>
          <w:szCs w:val="18"/>
          <w:color w:val="auto"/>
        </w:rPr>
        <w:t>”), in which the Company reported, among other events, the execution of the Merger Agreement (as defined in the Original Current Report). Item 1.01, Item 3.02, Item 7.01 and Item 8.01 of the Original Current Report remain unchanged. Interested parties should refer to the Original Current Report for Item 1.01, Item 3.02, Item 7.01 and Item 8.01 and the prior exhibits filed pursuant to Item 9.01.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3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Merger Agreement, dated as of October 15, 2020, by and between FS Development Corp., FSG Merger Sub Inc., Gemini Therapeutics,</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Inc., and Shareholder Representative Services LLC.</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tcPr>
          <w:p>
            <w:pPr>
              <w:spacing w:after="0"/>
              <w:rPr>
                <w:sz w:val="18"/>
                <w:szCs w:val="18"/>
                <w:color w:val="auto"/>
              </w:rPr>
            </w:pPr>
          </w:p>
        </w:tc>
        <w:tc>
          <w:tcPr>
            <w:tcW w:w="3740" w:type="dxa"/>
            <w:vAlign w:val="bottom"/>
            <w:tcBorders>
              <w:top w:val="single" w:sz="8" w:color="0000EE"/>
            </w:tcBorders>
            <w:gridSpan w:val="2"/>
          </w:tcPr>
          <w:p>
            <w:pPr>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Form of Subscription Agreement.</w:t>
              </w:r>
            </w:hyperlink>
          </w:p>
        </w:tc>
        <w:tc>
          <w:tcPr>
            <w:tcW w:w="6360" w:type="dxa"/>
            <w:vAlign w:val="bottom"/>
            <w:tcBorders>
              <w:top w:val="single" w:sz="8" w:color="CCEEFF"/>
            </w:tcBorders>
            <w:gridSpan w:val="3"/>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Company Support Agreement, dated as of October 15, 2020, by and among FS Development Corp., and certain supporting stockholders of</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9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Gemini Therapeutics, Inc.</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rFonts w:ascii="Times New Roman" w:cs="Times New Roman" w:eastAsia="Times New Roman" w:hAnsi="Times New Roman"/>
                <w:sz w:val="18"/>
                <w:szCs w:val="18"/>
                <w:color w:val="0000EE"/>
              </w:rPr>
            </w:pPr>
            <w:hyperlink w:anchor="page252">
              <w:r>
                <w:rPr>
                  <w:rFonts w:ascii="Times New Roman" w:cs="Times New Roman" w:eastAsia="Times New Roman" w:hAnsi="Times New Roman"/>
                  <w:sz w:val="18"/>
                  <w:szCs w:val="18"/>
                  <w:color w:val="0000EE"/>
                </w:rPr>
                <w:t>Parent Support Agreement, dated as of October 15, 2020, by and among FS Development Corp., Gemini Therapeutics, Inc. FS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252">
              <w:r>
                <w:rPr>
                  <w:rFonts w:ascii="Times New Roman" w:cs="Times New Roman" w:eastAsia="Times New Roman" w:hAnsi="Times New Roman"/>
                  <w:sz w:val="18"/>
                  <w:szCs w:val="18"/>
                  <w:color w:val="0000EE"/>
                </w:rPr>
                <w:t>Development Holdings, LLC and certain supporting stockholders of FS Development Corp.</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Item 601(a)(5) of Regulation S-K. The Company agrees to furnish supplementally a copy of any omitted exhibit or schedule to the SEC upon its request.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Dennis Ryan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19,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October 15, 2020</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Shareholder Representative Services LLC, as the Stockholders’ Representative,</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1680210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936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Definitions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Construction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MERGER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Merger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Merger Effective Time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the Merger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2.4</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Tax Treatment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2.5</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2.6</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Closing; Effective Time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2.7</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 of Directors of Parent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2.8</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2.9</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Further Ownership Rights in Company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2.10</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Appraisal Rights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[INTENTIONALLY OMITTED]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CONSIDERATION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4.1</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Conversion of Company Securities; Convertible Notes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4.2</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Fractional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4.3</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Withholding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COMPANY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5.3</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5.4</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Non-Contravention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5.5</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Capitalization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5.6</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Records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Subsidiaries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5.8</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5.9</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5.10</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Books and Records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5.11</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Internal Accounting Controls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5.12</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5.13</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Properties; Title to the Company’s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5.14</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Litigation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5.15</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5.16</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Licenses and Permits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5.17</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Compliance with Laws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5.18</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Intellectual Property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5.19</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FDA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5.20</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Affiliate Loans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5.21</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Employees; Employment Matters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5.22</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Withholding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936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TABLE OF CONTENTS CONTINUED</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5.23</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Employee Benefits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5.24</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 Property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5.25</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Tax Matters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5.26</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Environmental Laws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5.27</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Finders’ Fees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5.28</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Powers of Attorney and Suretyships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5.29</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Directors and Officers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5.30</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5.31</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Insurance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5.32</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OF PARENT AND MERGER SUB</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6.2</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Authorization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6.3</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6.4</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Non-Contravention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6.5</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Finders’ Fees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6.6</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Issuance of Shares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6.7</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Capitalization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6.8</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Information Supplied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6.9</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Trust Fund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6.10</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Listing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6.11</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 Approval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6.12</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Parent SEC Documents and Financial Statements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6.13</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6.14</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6.15</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Affiliate Transactions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6.16</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Litigation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6.17</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 Indebtedness and Other Liabilities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6.18</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Tax Matters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COVENANTS OF THE PARTIES PENDING CLOSING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7.1</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Conduct of the Business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7.2</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Exclusivity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7.3</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Access to Information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7.4</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7.5</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Cooperation with Form S-4/Proxy Statement; Other Filings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7.6</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Trust Account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7.7</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7.8</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 Placement, Parent Support Agreements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COVENANTS OF THE COMPANY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8.1</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Reporting; Compliance with Laws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8.2</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Commercially Reasonable Efforts to Obtain Consents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8.3</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Company’s Stockholders Approval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8.4</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280G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936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TABLE OF CONTENTS CONTINUED</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COVENANTS OF ALL PARTIES HERETO</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9.1</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Commercially Reasonable Efforts; Further Assurances; Governmental Consents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9.2</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Confidentiality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9.3</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Directors’ and Officers’ Indemnification and Liability Insurance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9.4</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Nasdaq Listing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9.5</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Certain Tax Matters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9.6</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Incentive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CONDITIONS TO CLOSING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 to the Obligations of the Parties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10.2</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10.3</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INDEMNIFICATION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11.1</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Indemnification of Parent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11.2</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Procedure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11.3</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Escrow of Escrow Shares by Escrow Participants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11.4</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Indemnification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11.5</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11.6</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Survival of Indemnification Rights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11.7</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and Exclusive Remedy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DISPUTE RESOLUTION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12.1</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Arbitration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12.2</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Waiver of Jury Trial; Exemplary Damages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XIII TERMINATION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13.1</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Termination Without Default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13.2</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Termination Upon Default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13.3</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Effect of Termination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XIV MISCELLANEOUS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14.1</w:t>
            </w:r>
          </w:p>
        </w:tc>
        <w:tc>
          <w:tcPr>
            <w:tcW w:w="9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Notices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14.2</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Amendments; No Waivers; Remedies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30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TABLE OF CONTENTS CONTINUED</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8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14.3</w:t>
            </w: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Arm’s Length Bargaining; No Presumption Against Drafter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14.4</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14.5</w:t>
            </w: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14.6</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Assignment or Delegation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14.7</w:t>
            </w: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14.8</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14.9</w:t>
            </w: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14.10</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14.11</w:t>
            </w: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14.12</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14.13</w:t>
            </w: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Waiver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14.14</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Representative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14.15</w:t>
            </w:r>
          </w:p>
        </w:tc>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Non-Recourse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14.16</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 No Reliance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 Support Agreement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Subscription Agreement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Parent Support Agreement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Voting Agreement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Escrow Agreement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Certificate of Incorporation of Parent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Bylaws of Parent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Parent Equity Incentive Plan</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FIRPTA Certificate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Lockup Agreement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L</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Certificate of Merger</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M</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Tax representation Letters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N</w:t>
            </w: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Tax representation Letters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Disclosure Schedules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Disclosure Schedules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AGREEMENT AND PLAN OF MERGER, dated as of October 15,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agent and attorney-in-fact of the Company Securityholders (the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WITNESETH: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Company is in the business of therapeutic drug development and commercialization and related activities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The Company Securityholders are listed on </w:t>
      </w:r>
      <w:r>
        <w:rPr>
          <w:rFonts w:ascii="Times New Roman" w:cs="Times New Roman" w:eastAsia="Times New Roman" w:hAnsi="Times New Roman"/>
          <w:sz w:val="18"/>
          <w:szCs w:val="18"/>
          <w:u w:val="single" w:color="auto"/>
          <w:color w:val="auto"/>
        </w:rPr>
        <w:t>the Capitalization Schedule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5.5(a)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Schedule 5.5</w:t>
      </w:r>
      <w:r>
        <w:rPr>
          <w:rFonts w:ascii="Times New Roman" w:cs="Times New Roman" w:eastAsia="Times New Roman" w:hAnsi="Times New Roman"/>
          <w:sz w:val="18"/>
          <w:szCs w:val="18"/>
          <w:color w:val="auto"/>
        </w:rPr>
        <w:t xml:space="preserve"> and own 100% of the issued and outstanding Company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after which the Company will be the surviving company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a wholly-owned subsidiary of Parent and Parent shall change its name to “Gemini Therapeutics, Inc.”;</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Contemporaneously with the execution of, and as a condition and an inducement to Parent and the Company entering into this Agreement, Company Securityholders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Specified Company Securityholders</w:t>
      </w:r>
      <w:r>
        <w:rPr>
          <w:rFonts w:ascii="Times New Roman" w:cs="Times New Roman" w:eastAsia="Times New Roman" w:hAnsi="Times New Roman"/>
          <w:sz w:val="18"/>
          <w:szCs w:val="18"/>
          <w:color w:val="auto"/>
        </w:rPr>
        <w:t xml:space="preserve">”)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pursuant to which each of the Specified Company Securityholders has agreed to vote in favor of this Agreement and the Merger;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Contemporaneously with the execution of, and as a condition and an inducement to Parent and the Company entering into this Agreement, the Specified Company Securityholders and certain other Company Securityholders and third parties have entered into subscription agreements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pursuant to which, at the Closing, such Persons have agreed, subject to the terms and conditions set forth therein, to subscribe for and purchase shares of Parent Class A Common Stock at a purchase price of $10.00 per share, for an aggregate cash amount of $95,000,000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The Subscription Agreements entered into by the Specified Company Securityholders represent an aggregate portion of the Private Placement equal to $15,600,000;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H. Contemporaneously with the execution of, and as a condition and an inducement to Parent and the Company entering into this Agreement, specified stockholders of Parent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pursuant to which each such Parent stockholder has agreed (x) not to transfer or redeem any shares of Parent Common Stock held by such Parent stockholder and (y) to vote in favor of this Agreement and the Merger at the Parent Stockholder Meeting; and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The Company’s Board of Directors has unanimously (i) approved and declared advisable this Agreement and the transactions contemplated by this Agreement and the Additional Agreements to which the Company is or will be party, including the Merger, on the terms and subject to the conditions set forth herein, (ii) determined that this Agreement and such transactions are fair to, and in the best interests of, the Company and the Company Stockholders and (iii) resolved to recommend that the Company Stockholders approve the Merger and such other transactions and adopt this Agreement and the Additional Agreements to which the Company is or will be a party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legal action, litigation, suit, claim, hearing or proceeding, including any audit, claim or assessment for Taxes or otherwise, by or before any Authority.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xml:space="preserve">” means the Voting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Registration Rights Agreement, the Escrow Agreement, the Company Support Agreements, the Subscription Agreements, the Parent Support Agreements, and the Lockup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“Affiliate” shall also include, with respect to any individual natural Person, (a) such Peron’s a spouse, Parent, lineal descendant, sibling, aunt, uncle, niece, nephew, mother-in-law, father-in-law, sister-in-law, or brother-in-law or (b) a trust for the benefit of such Person and/or the individuals described in the foregoing clause (a) or of which such Person is a trustee.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5.32</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xml:space="preserve">” means an amount equal to (a)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of (i) the aggregate cash proceeds available for release to Parent from the Trust Fund in connection with the transactions contemplated hereby (net of the Parent Redemption Amount);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aggregate cash proceeds actually received by Parent on the Closing Date in respect of the Private Placement,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Unpaid Parent Liabilities.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governmental, regulatory or administrative body, agency or authority, any court or judicial authority, any arbitrator, or any public, private or industry regulatory authority, whether international, national, foreign, Federal, state, or local.</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legal holiday on which commercial banking institutions in New York, New York are authorized to close for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Schedule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Schedule 4.1(j)</w:t>
      </w:r>
      <w:r>
        <w:rPr>
          <w:rFonts w:ascii="Times New Roman" w:cs="Times New Roman" w:eastAsia="Times New Roman" w:hAnsi="Times New Roman"/>
          <w:sz w:val="18"/>
          <w:szCs w:val="18"/>
          <w:color w:val="auto"/>
        </w:rPr>
        <w:t>, as updated as contemplated herein.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 Conversion Ratio</w:t>
      </w:r>
      <w:r>
        <w:rPr>
          <w:rFonts w:ascii="Times New Roman" w:cs="Times New Roman" w:eastAsia="Times New Roman" w:hAnsi="Times New Roman"/>
          <w:sz w:val="18"/>
          <w:szCs w:val="18"/>
          <w:color w:val="auto"/>
        </w:rPr>
        <w:t>” shall mean a number of Parent Class A Shares equal to the quotient obtained by dividing (a) the Closing Payment Shares; by (b) the Fully Diluted Company Shares, in each case, as listed on the Capitalization Schedule delivered prior to Closing.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Payment Shares</w:t>
      </w:r>
      <w:r>
        <w:rPr>
          <w:rFonts w:ascii="Times New Roman" w:cs="Times New Roman" w:eastAsia="Times New Roman" w:hAnsi="Times New Roman"/>
          <w:sz w:val="18"/>
          <w:szCs w:val="18"/>
          <w:color w:val="auto"/>
        </w:rPr>
        <w:t>” means an aggregate number of Parent Class A Shares, which for the avoidance of doubt is inclusive of the Escrow Shares, equal to the difference between (a) 21,500,000 Parent Class A Shares; minus (b) a number of Parent Class A Shares equal to one half (1/2) of the initial unallocated shares of Parent Class A Stock reserved for issuance under the Parent Equity Incentive Plan (which shall not exceed two and one-half percent (2.5%) of the issued and outstanding Parent Class A Shares as of immediately following the Effective Time as set forth in the Capitalization Schedule delivered prior to Closing (and approved by Parent, such approval not to be unreasonably withheld, conditioned or delayed)).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collectively, the requirements of Sections 601 through 606 of ERISA and Section 4980B of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means Company Common Stock, Company Series A Preferred Stock and Company Series B Preferred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Third Amended and Restated Certificate of Incorporation of the Company, as filed on or about September 26, 2019 with the Secretary of State of the State of Delaware pursuant to the DGCL.</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common stock of the Company, par value $0.001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Existence and Power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Company Common Stock granted, and that remains outstanding, under the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Plans.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means any outstanding shares of Company Capital Stock that are unvested or subject to a risk of forfeiture or repurchase option in favor of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the Company Common Stock, the Company Preferred Stock, the Company Options and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Securityholder</w:t>
      </w:r>
      <w:r>
        <w:rPr>
          <w:rFonts w:ascii="Times New Roman" w:cs="Times New Roman" w:eastAsia="Times New Roman" w:hAnsi="Times New Roman"/>
          <w:sz w:val="18"/>
          <w:szCs w:val="18"/>
          <w:color w:val="auto"/>
        </w:rPr>
        <w:t>” means each Person who holds Company Securities immediately prior to the Effective Time, each of which is listed on the Capitalization Schedule delivered prior to Closing.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Preferred Stock</w:t>
      </w:r>
      <w:r>
        <w:rPr>
          <w:rFonts w:ascii="Times New Roman" w:cs="Times New Roman" w:eastAsia="Times New Roman" w:hAnsi="Times New Roman"/>
          <w:sz w:val="18"/>
          <w:szCs w:val="18"/>
          <w:color w:val="auto"/>
        </w:rPr>
        <w:t>” means the series A preferred stock of the Company, par value $0.0001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 Preferred Stock</w:t>
      </w:r>
      <w:r>
        <w:rPr>
          <w:rFonts w:ascii="Times New Roman" w:cs="Times New Roman" w:eastAsia="Times New Roman" w:hAnsi="Times New Roman"/>
          <w:sz w:val="18"/>
          <w:szCs w:val="18"/>
          <w:color w:val="auto"/>
        </w:rPr>
        <w:t>” means the series B preferred stock of the Company, par value $0.0001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at any given time, the holders of Company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the Warrant to Purchase Stock dated February 8, 2019, issued to Silicon Valley Bank, pursuant to which Silicon Valley Bank is entitled to purchase shares of Company Series A Preferred Stock.</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the Company is a party or by which any of its respective assets is bound.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8"/>
          <w:szCs w:val="18"/>
          <w:u w:val="single" w:color="auto"/>
          <w:color w:val="auto"/>
        </w:rPr>
        <w:t>Controlled Person</w:t>
      </w:r>
      <w:r>
        <w:rPr>
          <w:rFonts w:ascii="Times New Roman" w:cs="Times New Roman" w:eastAsia="Times New Roman" w:hAnsi="Times New Roman"/>
          <w:sz w:val="18"/>
          <w:szCs w:val="18"/>
          <w:color w:val="auto"/>
        </w:rPr>
        <w:t>”) shall be deemed Controlled by any other Person (the “</w:t>
      </w:r>
      <w:r>
        <w:rPr>
          <w:rFonts w:ascii="Times New Roman" w:cs="Times New Roman" w:eastAsia="Times New Roman" w:hAnsi="Times New Roman"/>
          <w:sz w:val="18"/>
          <w:szCs w:val="18"/>
          <w:u w:val="single" w:color="auto"/>
          <w:color w:val="auto"/>
        </w:rPr>
        <w:t>50% Owner</w:t>
      </w:r>
      <w:r>
        <w:rPr>
          <w:rFonts w:ascii="Times New Roman" w:cs="Times New Roman" w:eastAsia="Times New Roman" w:hAnsi="Times New Roman"/>
          <w:sz w:val="18"/>
          <w:szCs w:val="18"/>
          <w:color w:val="auto"/>
        </w:rPr>
        <w:t>”) (i) owning beneficially, as meant in Rule 13d-3 under the Exchange Act, securities entitling such Person to cast 50% or more of the votes for election of directors or equivalent governing authority of the Controlled Person or (ii) entitled to be allocated or receive 50% or more of the profits, losses, or distributions of the Controlled Person.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means those certain Convertible Promissory Notes of the Company in the aggregate principal amount of $14,000,000, issued on August 21, 2020 to certain Company Securityholders pursuant to the Convertible Promissory Note Purchase Agreement dated August 21, 2020 among the Company and such Company Securityholders.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Laws worldwide relating to the processing, privacy or security of Personal Information and all regulations or guidance issued thereunder, including the EU General Data Protection Regulation (EU) 2016/679 and all laws implementing it, HIPAA, the regulations set forth in 42 C.F.R. Part 495 and 45 C.F.R. Parts 160, 164 and 170, the HITECH Act, Section 5 of the Federal Trade Commission Act, the FTC Red Flag Rules, the CAN SPAM Act and associated regulations set forth in 16 C.F.R. Part 316, the Children’s Online Privacy Protection Act, state social security number protection laws, state data breach notification laws, state data privacy laws including the California Consumer Privacy Act, as amended, state data security laws, state consumer protection Laws, PCI-DSS regulatory standards and any law concerning requirements for website and mobile application privacy policies and practices, or any outbound commercial communications (including e-mail marketing, telemarketing and text messaging), tracking and marketing.</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Plans</w:t>
      </w:r>
      <w:r>
        <w:rPr>
          <w:rFonts w:ascii="Times New Roman" w:cs="Times New Roman" w:eastAsia="Times New Roman" w:hAnsi="Times New Roman"/>
          <w:sz w:val="18"/>
          <w:szCs w:val="18"/>
          <w:color w:val="auto"/>
        </w:rPr>
        <w:t>” means the Company’s 2015 Employee, Director and Consultant Stock Option Plan and the Company’s 2017 Stock Option and Grant Plan.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any capital stock of, or other ownership, membership, partnership, voting, joint venture, equity interest, preemptive right, stock appreciation, phantom stock, profit participation or similar rights in, such Person or any indebtedness, securities, options, warrants, call, subscription or other rights or entitlements of, or granted by, such Person that are convertible into, or are exercisable or exchangeable for, or give any person any right or entitlement to acquire any such capital stock or other ownership, partnership, voting, joint venture, equity interest, preemptive right, stock appreciation, phantom stock, profit participation or similar rights, in all cases, whether vested or unvested, of such Person or any similar security or right that is derivative or provides any economic benefit based, directly or indirectly, on the value or price of any such capital stock or other ownership, partnership, voting, joint venture, equity interest, preemptive right, stock appreciation, phantom stock, profit participation or similar rights, in all cases, whether vested or unvested.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entity, trade or business that is, or was at the relevant time, a member of a group described in Section 414(b), (c), (m) or (o) of the Code or Section 4001(b)(1) of ERISA that includes or included the Company, or that is, or was at the relevant time, a member of the same “controlled group” as the Company pursuant to Section 4001(a)(14) of ERISA.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means an agreement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between the Stockholders’ Representative, the Escrow Agent and Parent with respect to the Escrow Shares to reflect the terms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w:t>
      </w:r>
      <w:r>
        <w:rPr>
          <w:rFonts w:ascii="Times New Roman" w:cs="Times New Roman" w:eastAsia="Times New Roman" w:hAnsi="Times New Roman"/>
          <w:sz w:val="18"/>
          <w:szCs w:val="18"/>
          <w:color w:val="auto"/>
        </w:rPr>
        <w:t>” means each Person who holds Company Common Stock or Company Preferred Stock, in each case, as of immediately prior to the Effective Time.</w:t>
      </w:r>
    </w:p>
    <w:p>
      <w:pPr>
        <w:spacing w:after="0" w:line="160"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 Company Securities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shares of Company Preferred Stock (on an as converted to Company Common Stock basis) that are issued and outstanding immediately prior to the Effective Time.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Shares</w:t>
      </w:r>
      <w:r>
        <w:rPr>
          <w:rFonts w:ascii="Times New Roman" w:cs="Times New Roman" w:eastAsia="Times New Roman" w:hAnsi="Times New Roman"/>
          <w:sz w:val="18"/>
          <w:szCs w:val="18"/>
          <w:color w:val="auto"/>
        </w:rPr>
        <w:t>” means 2,150,000 Parent Class A Shares to be held in escrow for indemnification purposes.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Company Shares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(including Company Restricted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shares of Company Preferred Stock (on an as converted to Company Common Stock basis)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the aggregate number of shares of Company Common Stock issuable upon exercise of the Company Warrant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(d) the aggregate number of shares of Company Common Stock issuable upon exercise of 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(e) the aggregate number of shares of Company Common Stock issuable upon exercise of Unvested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(f) the aggregate number of shares of Company Series B Preferred Stock (on an as converted to Company Common Stock basis) issuable upon the conversion of the Convertible Notes as of immediately prior to the Effective Time.</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mean any material, emission, chemical, substance or waste that has been designated by any Authority to be radioactive, toxic, hazardous, a pollutant or a contaminant.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 Activity</w:t>
      </w:r>
      <w:r>
        <w:rPr>
          <w:rFonts w:ascii="Times New Roman" w:cs="Times New Roman" w:eastAsia="Times New Roman" w:hAnsi="Times New Roman"/>
          <w:sz w:val="18"/>
          <w:szCs w:val="18"/>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Parent pursuant to a prospectus dated August 13, 2020.</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under U.S. GAAP, (g) all guarantees by such Person, (h) all liability of such Person with respect to any hedging obligations, including interest rate or currency exchange swaps, collars, caps or similar hedging obligations, (i) any unfunded or underfunded liabilities pursuant to any pension or nonqualified deferred compensation plan or arrangement and (j) any agreement to incur any of the same. For informational purposes, Indebtedness shall include any grants or loans that are not carried as tangible liabilities on the Financial Statements on a stand-alone basis (whether or not such liabilities are included in the footnotes to the Financial Statements).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technology (including patented, patentable and unpatented inventions and unpatentable proprietary or confidential information, systems or procedures), designs, processes, trademarks, service marks, registrations thereof or applications for registration therefor, trade names, licenses, inventions, patents, patent applications, trade secrets, trade dress, know-how, copyrights, copyrightable materials, copyright registrations, applications for copyright registration, software programs, data bases, u.r.l.s., and any other works of authorship, computer programs, technical data and information and other intellectual property, and all embodiments and fixations thereof and related documentation and registrations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or similar terms (whether or not capitalized) means the actual knowledge of Jason Meyenburg and Gregg Beloff.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Parent’s 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Known by Parent</w:t>
      </w:r>
      <w:r>
        <w:rPr>
          <w:rFonts w:ascii="Times New Roman" w:cs="Times New Roman" w:eastAsia="Times New Roman" w:hAnsi="Times New Roman"/>
          <w:sz w:val="18"/>
          <w:szCs w:val="18"/>
          <w:color w:val="auto"/>
        </w:rPr>
        <w:t>” or similar terms (whether or not capitalized) means the actual knowledge of Jim Tananbaum and Dennis Ryan.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domestic or foreign, federal, state, municipality or local law, statute, ordinance, code, rule, or regulation.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xml:space="preserve">” means the lease described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together with all fixtures and improvements erected on the premises leased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or encumbrance of any kind in respect of such property or asset, and any conditional sale or voting agreement or proxy, including any agreement to give any of the foregoing.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means the lockup agreements, in each case substantially in the form attached hereto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xml:space="preserve">” means a material adverse change or a material adverse effect upon the assets, liabilities, financial condition, net worth, management, earnings, cash flows, business, operations or properties of the Company and the Business,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“Material Adverse Effect” or “Material Adverse Change” shall not include any event, occurrence, fact, condition or change, directly or indirectly, arising out of or attributable to: (a) general economic or political conditions; (b) conditions generally affecting the industries in which the Company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taken (or omitted to be taken) with the written consent of or at the written request of Parent; (f) any changes in applicable Laws or accounting rules (including U.S. GAAP) or the enforcement, implementation or interpretation thereof; (g) the announcement, pendency or completion of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subclause (g) shall not apply to any representation or warranty contained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or to the determination of whether any inaccuracy in such representations or warranties would reasonably be expected to have a Material Adverse Effect for purposes of </w:t>
      </w:r>
      <w:r>
        <w:rPr>
          <w:rFonts w:ascii="Times New Roman" w:cs="Times New Roman" w:eastAsia="Times New Roman" w:hAnsi="Times New Roman"/>
          <w:sz w:val="18"/>
          <w:szCs w:val="18"/>
          <w:u w:val="single" w:color="auto"/>
          <w:color w:val="auto"/>
        </w:rPr>
        <w:t>Sections 10.2(b)</w:t>
      </w:r>
      <w:r>
        <w:rPr>
          <w:rFonts w:ascii="Times New Roman" w:cs="Times New Roman" w:eastAsia="Times New Roman" w:hAnsi="Times New Roman"/>
          <w:sz w:val="18"/>
          <w:szCs w:val="18"/>
          <w:color w:val="auto"/>
        </w:rPr>
        <w:t>); (h) any natural or man-made disaster or acts of God or the COVID-19 pandemic; or (i) any failure by the Company to meet any internal or published projections, forecasts or revenue or earnings predictions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of such failures (subject to the other provisions of this definition) shall not be excluded); except, in the case of subclauses (a), (b), (d), (f) and (h), to the extent such change, event, circumstance or effect has a disproportionate adverse effect on such entity as compared to other Persons engaged in the same industry.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rule or consent of or by an Authority.</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any filings to be made by Parent required under the Exchange Act, Securities Act or any other United States federal, foreign or blue sky laws, other than the SEC Statement and the other Offer Documents.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Parachute Payment Waiver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Certificate of Incorporation</w:t>
      </w:r>
      <w:r>
        <w:rPr>
          <w:rFonts w:ascii="Times New Roman" w:cs="Times New Roman" w:eastAsia="Times New Roman" w:hAnsi="Times New Roman"/>
          <w:sz w:val="18"/>
          <w:szCs w:val="18"/>
          <w:color w:val="auto"/>
        </w:rPr>
        <w:t>” means the Amended and Restated Certificate of Incorporation of the Company, as filed on August 11, 2020 with the Secretary of State of the State of Delaware pursuant to the DGCL.</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A Shares</w:t>
      </w:r>
      <w:r>
        <w:rPr>
          <w:rFonts w:ascii="Times New Roman" w:cs="Times New Roman" w:eastAsia="Times New Roman" w:hAnsi="Times New Roman"/>
          <w:sz w:val="18"/>
          <w:szCs w:val="18"/>
          <w:color w:val="auto"/>
        </w:rPr>
        <w:t>” means the Class A common stock, $0.0001 par value, of Parent.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B Shares</w:t>
      </w:r>
      <w:r>
        <w:rPr>
          <w:rFonts w:ascii="Times New Roman" w:cs="Times New Roman" w:eastAsia="Times New Roman" w:hAnsi="Times New Roman"/>
          <w:sz w:val="18"/>
          <w:szCs w:val="18"/>
          <w:color w:val="auto"/>
        </w:rPr>
        <w:t>” means the Class B common stock, $0.0001 par value, of Parent.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Parent Class A Shares and Parent Class B Shares.</w:t>
      </w:r>
    </w:p>
    <w:p>
      <w:pPr>
        <w:spacing w:after="0" w:line="223"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the representations and warranties of Parent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Liabilities</w:t>
      </w:r>
      <w:r>
        <w:rPr>
          <w:rFonts w:ascii="Times New Roman" w:cs="Times New Roman" w:eastAsia="Times New Roman" w:hAnsi="Times New Roman"/>
          <w:sz w:val="18"/>
          <w:szCs w:val="18"/>
          <w:color w:val="auto"/>
        </w:rPr>
        <w:t>” means, as of any determination time, the aggregate of all debts, liabilities and obligations, whether accrued or fixed, absolute or contingent, known or unknown, matured or unmatured or determined or determinable, including those arising under any Law, Action or Order and those arising under any Contract, of Parent or Merger Sub, whether or not such liabilities are due and payable as of such time, including all fees, expense, commissions or other amounts incurred by or on behalf of, or otherwise payable by, whether or not due, Parent or Merger Sub in connection with the negotiation, preparation or execution of this Agreement or any Additional Agreements, the performance of any covenants or agreements in this Agreement or any Additional Agreement or the consummation of the transactions contemplated hereby or thereby.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each license, franchise, permit, order, approval, consent or other similar authorization required to be obtained and maintained by the Company under applicable Law to carry out or otherwise affecting, or relating in any way to, the Business.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for amounts (i) that are not delinquent, (ii) that are not material to the business, operations and financial condition of the Company so encumbered, either individually or in the aggregate, and (iii) not resulting from a breach, default or violation by the Company of any Contract or Law; (c) liens for Taxes not yet due and payable or which are being contested in good faith by appropriate proceedings (and for which adequate accruals or reserves have been established on the Company Financial Statements in accordance with U.S. GAAP); and (d) the Liens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data or information, on any media that, alone or in combination with other data or information, can, directly or indirectly, be associated with or be reasonably used to identify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an individual natural Person, or such Person’s vehicle, browser or device), or any other data or information that constitutes personal data, protected health information, personally identifiable information, personal information or similar defined term under any Privacy Law or Healthcare Laws (including protected health information, as defined in 45 C.F.R. §160.103 and personal data, as defined in the EU General Data Protection Regulation).</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each “employee benefit plan” within the meaning of Section 3(3) of ERISA and all other compensation and benefits plans, policies, programs, or arrangements,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to make any severance, termination, change of control, or similar payment),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or under which the Company has any current or potential liability.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xml:space="preserve">” shall mean, with respect to each Escrow Participant, an amount equal to the quotient (expressed as a percentage) obtained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color w:val="auto"/>
        </w:rPr>
        <w:t xml:space="preserve"> (a) the number of Escrow Participant Company Securities held by such Escrow Participant as of immediately prior to the Effective Time (on an as converted to common stock basis) by (b) the total number of shares of Escrow Participant Company Securities as of immediately prior to the Effective Time.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in substantially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Statement</w:t>
      </w:r>
      <w:r>
        <w:rPr>
          <w:rFonts w:ascii="Times New Roman" w:cs="Times New Roman" w:eastAsia="Times New Roman" w:hAnsi="Times New Roman"/>
          <w:sz w:val="18"/>
          <w:szCs w:val="18"/>
          <w:color w:val="auto"/>
        </w:rPr>
        <w:t>” means the Form S-4, including the Proxy Statement, whether in preliminary or definitive form, and any amendments or supplements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Company Securityholder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FS Development Holdings, LLC,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each entity of which at least fifty percent (50%) of the capital stock or other equity or voting securities are Controlled or owned, directly or indirectly, by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w:t>
      </w:r>
      <w:r>
        <w:rPr>
          <w:rFonts w:ascii="Times New Roman" w:cs="Times New Roman" w:eastAsia="Times New Roman" w:hAnsi="Times New Roman"/>
          <w:sz w:val="18"/>
          <w:szCs w:val="18"/>
          <w:color w:val="auto"/>
        </w:rPr>
        <w:t>” means Silicon Valley Bank.</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 Loan</w:t>
      </w:r>
      <w:r>
        <w:rPr>
          <w:rFonts w:ascii="Times New Roman" w:cs="Times New Roman" w:eastAsia="Times New Roman" w:hAnsi="Times New Roman"/>
          <w:sz w:val="18"/>
          <w:szCs w:val="18"/>
          <w:color w:val="auto"/>
        </w:rPr>
        <w:t>” means the Loan and Security Agreement, dated as of February 8, 2019, by and between SVB and the Company, pursuant to which SVB made available to the Company term loan advances in an original principal amount of up to Ten Million Dollars ($10,000,000.00).</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xml:space="preserve">” means all tangible personal property and interests therein, including machinery, computers and accessories, furniture, office equipment, communications equipment, automobiles, laboratory equipment and other equipment owned or leased by the Company and other tangible property, including the items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escheat and other Taxes), together with any interest, penalty, additions to tax or additional amount imposed with respect thereto and shall include any liability for such amounts as a result of (a) being a transferee or successor or member of a combined, consolidated, unitary or affiliated group, or (b) a contractual obligation to indemnify any Person (other than any commercial agreement the principal purpose of which is not Taxes).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Internal Revenue Service and any other Authority responsible for the collection, assessment or imposition of any Tax or the administration of any Law relating to any Tax.</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for so long as the Parent Class A Shares are listed or admitted for trading on the NYSE American or any other national securities exchange, days on which such securities exchange is open for business; (b) when and if the Parent Class A Shares are quoted on the Nasdaq or any similar system of automated dissemination of quotations of securities prices, days on which trades may be made on such system; or (c) if the Parent Class A Shares are not listed or admitted to trading on any national securities exchange or quoted on the Nasdaq or similar system, days on which the Parent Class A Shares are traded regular way in the over-the- counter market and for which a closing bid and a closing asked price for the Parent Class A Shares are available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to occur at or immediately prior to the Closing, including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means the Parent Liabilities that remain unpaid as of immediately prior to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each Company Option outstanding as of immediately prior to the Effective Time that is not a Vested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Option.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means U.S. generally accepted accounting principles, consistently applied.</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each Company Option outstanding as of immediately prior to the Effective Time that is vested as of immediately prior to the Effective Time or will vest solely as a result of the consummation of the Merger.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has the meaning set forth in the definition of Additional Agreements.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 weighted average price of the Parent Class A Shares for the ten (10) Trading Days ending on the Trading Day immediately preceding the Closing Date.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this Agreement, and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Effective Time, (a) Merger Sub shall be merged with and into the Company, (b) the separate corporate existence of Merger Sub shall thereupon cease, and the Company shall be the Surviving Corporation in the Merger, and (c) the Surviving Corporation shall become a wholly-owned Subsidiary of Parent. The Company Securityholders shall be entitled to the consideration described in, and in accordance with the provisions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Subject to the provisions of this Agreement, at the Closing, the Company shall file a certificate of merger in the form attached hereto as Exhibit L with the Secretary of State of the State of Delaware, executed in accordance with the relevant provisions of the DGCL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the Company and Merger Sub shall become the property, rights, privileges, agreements, powers and franchises, debts, liabilities, duties and obligations of the Surviving Corporation, which shall include the assumption by the Surviving Corporation of any and all agreements, covenants, duties and obligations of the Company and the Merger Sub set forth in this Agreement to be performed after the Closing. Merger Sub will be merged with and into the Company, and the separate corporate existence of Merger Sub will cease, and the Surviving Corporation will become wholly owned directly by Parent, all as provided under the DGCL and the provisions of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U.S. Tax Treatment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Times New Roman" w:cs="Times New Roman" w:eastAsia="Times New Roman" w:hAnsi="Times New Roman"/>
          <w:sz w:val="18"/>
          <w:szCs w:val="18"/>
          <w:u w:val="single" w:color="auto"/>
          <w:color w:val="auto"/>
        </w:rPr>
        <w:t>Sections 5.25(d)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6.18(e)</w:t>
      </w:r>
      <w:r>
        <w:rPr>
          <w:rFonts w:ascii="Times New Roman" w:cs="Times New Roman" w:eastAsia="Times New Roman" w:hAnsi="Times New Roman"/>
          <w:sz w:val="18"/>
          <w:szCs w:val="18"/>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94"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the preparation and filing of the Parent SEC Documents, the Additional Parent SEC Documents, the SEC Statement or any Other Filing (each individually, a “</w:t>
      </w:r>
      <w:r>
        <w:rPr>
          <w:rFonts w:ascii="Times New Roman" w:cs="Times New Roman" w:eastAsia="Times New Roman" w:hAnsi="Times New Roman"/>
          <w:sz w:val="18"/>
          <w:szCs w:val="18"/>
          <w:u w:val="single" w:color="auto"/>
          <w:color w:val="auto"/>
        </w:rPr>
        <w:t>Securities Filing</w:t>
      </w:r>
      <w:r>
        <w:rPr>
          <w:rFonts w:ascii="Times New Roman" w:cs="Times New Roman" w:eastAsia="Times New Roman" w:hAnsi="Times New Roman"/>
          <w:sz w:val="18"/>
          <w:szCs w:val="18"/>
          <w:color w:val="auto"/>
        </w:rPr>
        <w:t>”) or the SEC’s review thereof, the SEC requests or requires that a tax opinion (or tax opinions) with respect to the U.S. federal income tax consequences of the Merger be prepared and submitted in such connection (each, a “</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deliver to Goodwin Procter LLP (“</w:t>
      </w:r>
      <w:r>
        <w:rPr>
          <w:rFonts w:ascii="Times New Roman" w:cs="Times New Roman" w:eastAsia="Times New Roman" w:hAnsi="Times New Roman"/>
          <w:sz w:val="18"/>
          <w:szCs w:val="18"/>
          <w:u w:val="single" w:color="auto"/>
          <w:color w:val="auto"/>
        </w:rPr>
        <w:t>Goodwin</w:t>
      </w:r>
      <w:r>
        <w:rPr>
          <w:rFonts w:ascii="Times New Roman" w:cs="Times New Roman" w:eastAsia="Times New Roman" w:hAnsi="Times New Roman"/>
          <w:sz w:val="18"/>
          <w:szCs w:val="18"/>
          <w:color w:val="auto"/>
        </w:rPr>
        <w:t>”) (or another nationally recognized tax or accounting firm in the United States reasonably acceptable to the Parties), in connection with any Tax Opinion rendered by Goodwin (or such other nationally recognized tax or accounting firm), customary Tax representation letters substantially in the form attached hereto as Exhibits M and N, dated and executed as of the date such relevant filing shall have been declared effective by the SEC and such other date(s) as determined to be reasonably necessary by Goodwin (or such other nationally recognized tax or accounting firm) in connection with the preparation and filing of such Securities Filing, and (ii) the Company shall use its reasonable best efforts to cause Goodwin (or such other nationally recognized tax or accounting firm) to furnish the Tax Opinions, subject to customary assumptions and limitations.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At the Effective Time, the Company Certificate of Incorporation, as in effect immediately prior to the Effective Time, shall cease to have effect and the certificate of incorporation of Merger Sub, as in effect immediately prior to the Effective Time, shall be the certificate of incorporation of the Surviving Corporation, except that reference to the name of Merger Sub shall be replaced by reference to the name of “Gemini Therapeutics Sub, Inc.”.</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Closing; Effective Time</w:t>
      </w:r>
      <w:r>
        <w:rPr>
          <w:rFonts w:ascii="Times New Roman" w:cs="Times New Roman" w:eastAsia="Times New Roman" w:hAnsi="Times New Roman"/>
          <w:sz w:val="18"/>
          <w:szCs w:val="18"/>
          <w:color w:val="auto"/>
        </w:rPr>
        <w:t xml:space="preserve">. Unless this Agreement is earlier terminated in accordance with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virtually at 10:00 a.m. local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Business Day after the satisfaction or waiver (to the extent permitted by applicable law) of the conditions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Board of Directors of Parent</w:t>
      </w:r>
      <w:r>
        <w:rPr>
          <w:rFonts w:ascii="Times New Roman" w:cs="Times New Roman" w:eastAsia="Times New Roman" w:hAnsi="Times New Roman"/>
          <w:sz w:val="18"/>
          <w:szCs w:val="18"/>
          <w:color w:val="auto"/>
        </w:rPr>
        <w:t>. Immediately after the Closing, Parent’s Board of Directors will consist of seven (7) directors. Sponsor shall have the right to designate one (1) director and the Company shall designate six (6) directors as set forth in the Voting Agreement. At least a majority of the Board of Directors shall qualify as independent directors under the Securities Act and the Nasdaq rules. The parties to this Agreement and the Specified Company Securityholders shall enter into the Voting Agreement with respect to the election of directors. The officers and directors of Parent after the Closing shall also serve as the officers and directors of the Surviving Corporation.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the Merger Sub, the officers and directors of the Surviving Corporation are fully authorized in the name and on behalf of the Company and the Merger Sub, to take all lawful action necessary or desirable to accomplish such purpose or acts, so long as such action is not inconsistent with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No Further Ownership Rights in Company Securities</w:t>
      </w:r>
      <w:r>
        <w:rPr>
          <w:rFonts w:ascii="Times New Roman" w:cs="Times New Roman" w:eastAsia="Times New Roman" w:hAnsi="Times New Roman"/>
          <w:sz w:val="18"/>
          <w:szCs w:val="18"/>
          <w:color w:val="auto"/>
        </w:rPr>
        <w:t>. At the Effective Time, the stock transfer books of the Company shall be closed and thereafter there shall be no further registration of transfers of shares of Company Capital Stock or other securities of the Company on the records of the Company. From and after the Effective Time, the holders of certificates evidencing ownership of shares of Company Capital Stock of the Company outstanding immediately prior to the Effective Time shall cease to have any rights with respect to such shares of Company Capital Stock, except as otherwise provided for herein or by Law.</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Notwithstanding anything to the contrary contained herein, any shares of Company Capital Stock that are issued and outstanding immediately prior to the Effective Time and in respect of which appraisal rights shall have been perfected, and not waived, withdrawn or lost, in accordance with the DGCL in connection with the Merger and that are owned by a holder who complies in all respects with Section 262 of the DGCL (such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the right to receive the applicable portion of the Closing Payment Shares, but shall instead be converted into the right to receive such consideration as may be determined to be due with respect to any such Dissenting Shares pursuant to the DGCL. At the Effective Time, (a) all Dissenting Shares shall be cancelled, extinguished and cease to exist and (b) the holders of Dissenting Shares shall be entitled only to such rights as may be granted to them under the DGCL. Each holder of Dissenting Shares who, pursuant to the DGCL, becomes entitled to payment thereunder for such shares shall receive payment therefor in accordance with the DGCL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Closing Payment Shares (upon the terms and conditions of this Agreement) in respect of such shares as if such shares never had been Dissenting Shares, and Parent shall issue and deliver (or cause to be issued and delivered) to the holder thereof, following the satisfaction of the applicable conditions set forth in this Agreement, the applicable portion of the Closing Payment Shares as if such shares never had been Dissenting Shares. The Company shall give Parent prompt written notice (and in any event within two (2) Business Days) of any demands received by the Company for appraisal of shares of Company Common Stock, attempted withdrawals of such demands and any other instruments served pursuant to the DGCL and received by the Company relating to rights to be paid the fair value of Dissenting Shares, and Parent shall have the right to participate in and, following the Effective Time, direct all negotiations and proceedings with respect to such demands. Prior to the Effective Time, neither the Company nor Parent shall, except with the prior written consent of the other party (in its sole discretion), or as otherwise required under the DGCL, (i) make any payment or offer to make any payment with respect to, or settle or compromise or offer to settle or compromise, any claim or demand in respect of any Dissenting Shares., (ii) waive any failure to timely deliver a written demand for appraisal or otherwise comply with the provisions under Section 262 of the DGCL or (iii) agree or commit to do any of the foregoing.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[INTENTIONALLY OMITTED]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Conversion of Company Securities; Convertible Notes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304"/>
        <w:spacing w:after="0" w:line="255"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Company Capital Stock</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at the Effective Time, by virtue of the Merger and without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the part of Parent, Merger Sub, the Company or the Company Securityholders, each share of Company Capital Stock issued and outstanding immediately prior to the Effective Time (other than the Dissenting Shares) shall be canceled and automatically converted into the right to receive a number of Parent Class A Shares equal to the Closing Consideration Conversion Ratio, in each case, as set forth on the Capitalization Schedule delivered prior to Closing,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If any shares of Company Capital Stock issued and outstanding immediately prior to the Effective Time are shares of Company Restricted Stock, then the Parent Class A Shares issued in exchange for such Company Restricted Stock pursuant to the immediately preceding sentence shall to the same extent be unvested and subject to the same repurchase option or risk of forfeiture, and the certificates and/or book entries representing such Parent Class A Shares shall accordingly be marked with appropriate legends.</w:t>
      </w:r>
    </w:p>
    <w:p>
      <w:pPr>
        <w:spacing w:after="0" w:line="18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Company Options. </w:t>
      </w:r>
      <w:r>
        <w:rPr>
          <w:rFonts w:ascii="Times New Roman" w:cs="Times New Roman" w:eastAsia="Times New Roman" w:hAnsi="Times New Roman"/>
          <w:sz w:val="18"/>
          <w:szCs w:val="18"/>
          <w:color w:val="auto"/>
        </w:rPr>
        <w:t>The Company shall terminate the Equity Incentive Plans at or prior to the Effective Time,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the closing of the Merger. As of the Effective Time, all Company Options shall no longer be outstanding and each Person who previously held Company Options shall cease to have any rights with respect to such Company Options, except as set forth in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Prior to the Effective Time, the Boards of Directors of the Company and Parent (or any duly authorized committee thereof) shall, as applicable, take all corporate actions necessary, including adopting appropriate resolutions and obtaining consents of the holders of the Company Options, if required, to provide that, as of the Effective Time, that each Company Option shall be assumed by Parent and shall continue in full force and effect, containing the same terms, conditions, vesting and other provisions as are currently applicable to such Company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such Company Option shall be exercisable for such number of Parent Class A Shares that equals the Closing Consideration Conversion Ratio multiplied by the number of shares of Company Common Stock subject to such Company Option as of immediately prior to the Effective Time, in each case,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at such per share exercise price that shall equal the per share exercise price of such Company Option as of immediately prior to the Effective Time divided by the Closing Consideration Conversion Ratio (as so converted, a “</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 (B) with respect to each such Company Option, any fractional shares that would be issuable upon exercise thereof will be rounded down to the nearest whole number of Parent Class A Shares and the per share exercise price will be rounded up to the nearest whole cent. Parent shall adopt the Parent Equity Incentive Plan, which will cover the Company Options, pursuant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per share exercise price and the number of Parent Class A Shares purchasable pursuant to each Converted Company Option shall be determined in a manner consistent with the requirements of Section 409A of the Code;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 in the case of any Unvested Company Options to which Section 422 of the Code applies, the exercise price and the number of Parent Class A Shares purchasable pursuant to the applicable Converted Company Option shall be determined in accordance with the foregoing, subject to such adjustments as are necessary in order to satisfy the requirements of Section 424(a) of the Code.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1540" w:hanging="236"/>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the Company Warrant</w:t>
      </w:r>
      <w:r>
        <w:rPr>
          <w:rFonts w:ascii="Times New Roman" w:cs="Times New Roman" w:eastAsia="Times New Roman" w:hAnsi="Times New Roman"/>
          <w:sz w:val="18"/>
          <w:szCs w:val="18"/>
          <w:color w:val="auto"/>
        </w:rPr>
        <w:t>. At the Effective Time, the Company Warrant will be treated in accordance with its terms.</w:t>
      </w:r>
    </w:p>
    <w:p>
      <w:pPr>
        <w:spacing w:after="0" w:line="225"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Convertible Notes. </w:t>
      </w:r>
      <w:r>
        <w:rPr>
          <w:rFonts w:ascii="Times New Roman" w:cs="Times New Roman" w:eastAsia="Times New Roman" w:hAnsi="Times New Roman"/>
          <w:sz w:val="18"/>
          <w:szCs w:val="18"/>
          <w:color w:val="auto"/>
        </w:rPr>
        <w:t>Prior to the Closing, each Convertible Note will be converted into Company Series B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the terms thereof, in each case, as set forth on Capitalization Schedule delivered prior to Closing.</w:t>
      </w:r>
    </w:p>
    <w:p>
      <w:pPr>
        <w:spacing w:after="0" w:line="15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Shares of Merger Sub</w:t>
      </w:r>
      <w:r>
        <w:rPr>
          <w:rFonts w:ascii="Times New Roman" w:cs="Times New Roman" w:eastAsia="Times New Roman" w:hAnsi="Times New Roman"/>
          <w:sz w:val="18"/>
          <w:szCs w:val="18"/>
          <w:color w:val="auto"/>
        </w:rPr>
        <w:t>. Each share of Merger Sub that is issued and outstanding immediately prior to the Effective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by virtue of the Merger and without further action on the part of the sole shareholder of Merger Sub, be converted into and become one share of the Surviving Corporation (and the shares of Surviving Corporation into which the shares of Merger Sub are so converted shall be the only shares of the Surviving Corporation that are issued and outstanding immediately after the Effective Time). Each certificate evidencing ownership of shares of Merger Sub will, as of the Effective Time, be deemed to evidence ownership of such shares of the Surviving Corporation.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Shares of Company Common Stock Owned by the Company</w:t>
      </w:r>
      <w:r>
        <w:rPr>
          <w:rFonts w:ascii="Times New Roman" w:cs="Times New Roman" w:eastAsia="Times New Roman" w:hAnsi="Times New Roman"/>
          <w:sz w:val="18"/>
          <w:szCs w:val="18"/>
          <w:color w:val="auto"/>
        </w:rPr>
        <w:t>. At the Effective Time, all shares of Company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that are owned by the Company as treasury shares immediately prior to the Effective Time shall be canceled and extinguished without any conversion thereof.</w:t>
      </w:r>
    </w:p>
    <w:p>
      <w:pPr>
        <w:spacing w:after="0" w:line="17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Surrender of Certificates</w:t>
      </w:r>
      <w:r>
        <w:rPr>
          <w:rFonts w:ascii="Times New Roman" w:cs="Times New Roman" w:eastAsia="Times New Roman" w:hAnsi="Times New Roman"/>
          <w:sz w:val="18"/>
          <w:szCs w:val="18"/>
          <w:color w:val="auto"/>
        </w:rPr>
        <w:t>. All Closing Payment Shares issued upon the surrender and cancellation of the Company Common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the terms hereof, shall be deemed to have been issued in full satisfaction of all rights pertaining to such securities, other than the additional obligations of Parent and the rights of the Stockholders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Lost or Destroyed Certificates</w:t>
      </w:r>
      <w:r>
        <w:rPr>
          <w:rFonts w:ascii="Times New Roman" w:cs="Times New Roman" w:eastAsia="Times New Roman" w:hAnsi="Times New Roman"/>
          <w:sz w:val="18"/>
          <w:szCs w:val="18"/>
          <w:color w:val="auto"/>
        </w:rPr>
        <w:t>. In the event any certificates representing shares of Company Common Stock shall have been lost,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stolen or destroyed, Parent shall issue in exchange for such lost, stolen or destroyed certificates or securities, as the case may be, upon the making of an affidavit of that fact by the holder thereof (without the requirement to post a bond), such securities, as may be required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Escrow Shares</w:t>
      </w:r>
      <w:r>
        <w:rPr>
          <w:rFonts w:ascii="Times New Roman" w:cs="Times New Roman" w:eastAsia="Times New Roman" w:hAnsi="Times New Roman"/>
          <w:sz w:val="18"/>
          <w:szCs w:val="18"/>
          <w:color w:val="auto"/>
        </w:rPr>
        <w:t>. Notwithstanding anything to the contrary in the other provisions of this Agreement, Parent shall withhold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Payment Shares issued to each applicable holder of Company Capital Stock at Closing the portion of the Escrow Shares set forth next to such holder of Company Capital Stock’s name on the Capitalization Schedule, all of which shall, as reflected in the Capitalization Schedule, be withheld on a pro rata basis in proportion to each Escrow Participant’s Pro Rata Portion. The aggregate amount of such shares withheld shall equal Escrow Shares.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ind w:firstLine="1304"/>
        <w:spacing w:after="0" w:line="252" w:lineRule="auto"/>
        <w:tabs>
          <w:tab w:leader="none" w:pos="15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Capitalization Schedule</w:t>
      </w:r>
      <w:r>
        <w:rPr>
          <w:rFonts w:ascii="Times New Roman" w:cs="Times New Roman" w:eastAsia="Times New Roman" w:hAnsi="Times New Roman"/>
          <w:sz w:val="18"/>
          <w:szCs w:val="18"/>
          <w:color w:val="auto"/>
        </w:rPr>
        <w:t>. No later than three (3) Business Days prior to the Closing Date, the Company shall deliver to Parent a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updated Capitalization Schedule, which (A) updates the number of shares of Company Series B Preferred Stock that are issued upon conversion of the Convertible Notes, updates the number of shares of Company Common Stock outstanding to reflect the issuance of such Company Common Stock upon exercise of Company Options after the date hereof and updates the of Vested Company Options prior to the Closing Date and (B) sets forth the following information: (i) the name of each Company Securityholder; (ii) the number and type or class of each Company Security held by each Company Securityholder, including, if applicable to such Company Securityholder, the number of shares of Company Common Stock issuable upon conversion or exercise of such Company Security and the exercise price per share for such Company Security; (iii) the vesting arrangements with respect to each Company Security held by such Company Securityholder (including the vesting schedule, vesting commencement date, date fully vested and the extent to which such Company Security is or will be vested as of the Effective Time); (iv) the total number of Parent Class A Shares issuable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4.1(a)</w:t>
      </w:r>
      <w:r>
        <w:rPr>
          <w:rFonts w:ascii="Times New Roman" w:cs="Times New Roman" w:eastAsia="Times New Roman" w:hAnsi="Times New Roman"/>
          <w:sz w:val="18"/>
          <w:szCs w:val="18"/>
          <w:color w:val="auto"/>
        </w:rPr>
        <w:t xml:space="preserve"> in respect of each share of Company Capital Stock held by such Company Securityholder; (v) the total number of Parent Class A Shares issuable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upon conversion of each Company Option and the Company Warrant, respectively, held by such Company Securityholder, and the respective exercise price per share applicable to such Company Option and the Company Warrant following the Effective Time; (vi) the number of Escrow Shares deposited into the Escrow Fund on behalf of such Company Securityholder pursuant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(vii) such Company Securityholder’s Pro Rata Portion, if any. Nothing contained in this </w:t>
      </w:r>
      <w:r>
        <w:rPr>
          <w:rFonts w:ascii="Times New Roman" w:cs="Times New Roman" w:eastAsia="Times New Roman" w:hAnsi="Times New Roman"/>
          <w:sz w:val="18"/>
          <w:szCs w:val="18"/>
          <w:u w:val="single" w:color="auto"/>
          <w:color w:val="auto"/>
        </w:rPr>
        <w:t>Section 4.1(j)</w:t>
      </w:r>
      <w:r>
        <w:rPr>
          <w:rFonts w:ascii="Times New Roman" w:cs="Times New Roman" w:eastAsia="Times New Roman" w:hAnsi="Times New Roman"/>
          <w:sz w:val="18"/>
          <w:szCs w:val="18"/>
          <w:color w:val="auto"/>
        </w:rPr>
        <w:t xml:space="preserve"> or in the updated Capitalization Schedule delivered pursuant hereto shall be construed or deemed to: (x) modify the Company’s obligations to obtain Parent’s prior consent to the issuance of any securities pursuant to </w:t>
      </w:r>
      <w:r>
        <w:rPr>
          <w:rFonts w:ascii="Times New Roman" w:cs="Times New Roman" w:eastAsia="Times New Roman" w:hAnsi="Times New Roman"/>
          <w:sz w:val="18"/>
          <w:szCs w:val="18"/>
          <w:u w:val="single" w:color="auto"/>
          <w:color w:val="auto"/>
        </w:rPr>
        <w:t>Section 7.1(a)(xvi)</w:t>
      </w:r>
      <w:r>
        <w:rPr>
          <w:rFonts w:ascii="Times New Roman" w:cs="Times New Roman" w:eastAsia="Times New Roman" w:hAnsi="Times New Roman"/>
          <w:sz w:val="18"/>
          <w:szCs w:val="18"/>
          <w:color w:val="auto"/>
        </w:rPr>
        <w:t>; or (y) alter or amend the total aggregate number of Closing Payment Shares issuable or reserved for issuance to the Company Securityholders; or (z) alter or amend the definition of Closing Consideration Conversion Ratio.</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 fractional Parent Class A Shares, or certificates or scrip representing fractional Parent Class A Shares, will be issued upon the conversion of the Company Capital Stock pursuant to the Merger, including with respect to any release of the Escrow Shares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4.1(i)</w:t>
      </w:r>
      <w:r>
        <w:rPr>
          <w:rFonts w:ascii="Times New Roman" w:cs="Times New Roman" w:eastAsia="Times New Roman" w:hAnsi="Times New Roman"/>
          <w:sz w:val="18"/>
          <w:szCs w:val="18"/>
          <w:color w:val="auto"/>
        </w:rPr>
        <w:t xml:space="preserve"> and the Escrow Agreement, and such fractional share interests will not entitle the owner thereof to vote or to any rights of a stockholder of Parent. Any fractional Parent Class A Shares will be rounded down to the nearest whole number of Parent Class A Shares.</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the Company and the Surviving Corporation shall provide recipients of consideration with a reasonable opportunity to provide documentation establishing exemptions from or reductions of such withholdings.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schedules delivered by the Company to Parent prior to the execution of this Agreement, the Company hereby represents and warrants to Parent that each of the following representations and warranties are true, correct and complete as of the date of this Agreement and as of the Closing Date.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xml:space="preserve">. The Company is a corporation duly organized and validly existing under the laws of the State of Delaware The Company has all power and authority, corporate and otherwise, required to own and operate its properties and assets and to carry on the Business as presently conducted and as proposed to be conducted. The Company has the corporate power and authority to own or lease all of its properties and assets and to carry on its Business as it is now being conducted. The Company is duly licensed or qualified to do business in each jurisdiction in which its properties are owned or leased by it or the operation of its Business as currently conducted makes such licensing or qualification necessary, except where the failure to be so licensed or qualified would not have a Material Adverse Effect. The Company has offices located only at the addresses set forth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Additional Agreements to which the Company is or will be a party and the consummation by the Company of the transactions contemplated hereby and thereby are within the corporate powers of the Company and have been duly authorized by all necessary action on the part of the Company. This Agreement constitutes, and, upon the execution and delivery thereof, each Additional Agreement to which the Company is or will be a party will constitute, a valid and legally binding agreement of the Company, enforceable against the Company in accordance with its terms, except as may be limited by bankruptcy, insolvency, reorganization or other similar laws affecting the enforcement of creditors’ rights generally and by general principles of equity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resolutions duly adopted (and not thereafter modified or rescinded) by the requisite vote of the Board of Directors of the Company, the Board of Directors of the Company has (i) approved this Agreement, the Additional Agreements and the transactions contemplated hereby and thereby in accordance with the provisions of the DGCL and the Company Certificate of Incorporation; (ii) determined that this Agreement, the Additional Agreements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votes or written consents of (a) Persons holding more than fifty percent (50%) (on an as-converted basis) of the voting power of the Company Stockholders; (b) Persons holding more than fifty percent (50%) of outstanding shares of Company Preferred Stock, voting as a separate class; and (c) Persons holding more than fifty percent (50%) of outstanding shares of Company Series B Preferred Stock, voting as a separate class, in each case, who deliver written consents or are present in person or by proxy at such meeting and voting thereon are required to, and shall be sufficient to, approve this Agreement and the transactions contemplated hereby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is the only vote or consent of any of the holders of any of the Company Capital Stock necessary to adopt this Agreement and approve the Merger and the consummation of the other transactions contemplated hereby.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the filing of the Certificate of Merger with the Secretary of State of the State of Delaware pursuant to the DGCL.</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None of the execution, delivery or performance by the Company of this Agreement or any Additional Agreement to which the Company is or will be a party does or will (a) contravene or conflict with the organizational documents of the Company, (b) contravene or conflict with or constitute a violation of any provision of any Law or Order binding upon or applicable to the Company or by which any of the Company’s assets is or may be bound, (c) except for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requiring the Company (but only as to the need to obtain such Company Consents),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 to the Business to which the Company is entitled under any provision of any Permit, Contract or other instrument or obligations binding upon the Company or by which any of the Company’s assets is or may be bound or any Permit, (d) cause a loss of any material benefit relating to the Business to which the Company is entitled under any provision of any Permit or Contract binding upon the Company or by which any of the Company’s assets is or may be bound, (e) result in the creation or imposition of any Lien (except for Permitted Liens) on any of the Company’s assets or any of the Company Securities, or (f) require any consent, approval or waiver from any Person pursuant to any provision of the Company Certificate of Incorporation or by-laws, except for such consent, approval or waiver which shall be obtained (and a copy provided to Parent) prior to the Closing.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6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95,000,000 shares of the Company Common Stock, par value $0.001 per share, and 76,723,489 shares of preferred stock, par value $0.001 per share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of which 5,858,662 shares of Company Common Stock, 39,722,088 shares of Company Series A Preferred Stock and 24,790,938 shares of Company Series B Preferred Stock are issued and outstanding as of the date of this Agreement. There are 8,129,358 shares of Company Common Stock reserved for issuance pursuant to outstanding unexercised Company Options. There are 2,342,148 shares of Company Common Stock reserved for issuance under the Equity Incentive Plans. In addition, the Company Warrant to purchase 70,000 shares of Company Series A Preferred Stock is issued and outstanding as of the date of this Agreement. No other shares of capital stock or other voting securities of the Company are issued, reserved for issuance or outstanding. All issued and outstanding shares of Company Common Stock and Company Preferred Stock are duly authorized, validly issued, fully paid and nonassessable. No shares of Company Common Stock or Company Preferred Stock were or are subject to, or were issued in violation of any purchase option, right of first refusal, preemptive right, subscription right or any similar right (including under any provision of the DGCL Corporation Law, the Company Certificate of Incorporation or any Contract to which the Company is a party or by which the Company is bound). </w:t>
      </w:r>
      <w:r>
        <w:rPr>
          <w:rFonts w:ascii="Times New Roman" w:cs="Times New Roman" w:eastAsia="Times New Roman" w:hAnsi="Times New Roman"/>
          <w:sz w:val="18"/>
          <w:szCs w:val="18"/>
          <w:u w:val="single" w:color="auto"/>
          <w:color w:val="auto"/>
        </w:rPr>
        <w:t>Schedule 5.5(a)</w:t>
      </w:r>
      <w:r>
        <w:rPr>
          <w:rFonts w:ascii="Times New Roman" w:cs="Times New Roman" w:eastAsia="Times New Roman" w:hAnsi="Times New Roman"/>
          <w:sz w:val="18"/>
          <w:szCs w:val="18"/>
          <w:color w:val="auto"/>
        </w:rPr>
        <w:t xml:space="preserve"> contains a true, correct and complete list of each Company Option outstanding as of the date of this Agreement, the holder thereof, the number of shares of Company Common Stock issuable thereunder or otherwise subject thereto, the grant date thereof and the exercise price and expiration date thereof.</w:t>
      </w:r>
    </w:p>
    <w:p>
      <w:pPr>
        <w:spacing w:after="0" w:line="187"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Company Restricted Stock, Company Options, the Company Warrant and the Convertible Notes, there are no</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304"/>
        <w:spacing w:after="0" w:line="261" w:lineRule="auto"/>
        <w:tabs>
          <w:tab w:leader="none" w:pos="15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all outstanding shares of the Company Capital Stock are owned of record by the Persons set forth on the Capitalization Schedule in the amounts set forth opposite their respective names. All of the outstanding shares of Company Capital Stock are validly issued and outstanding, fully paid and nonassessable with no personal liability attaching to the ownership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complete and accurate.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directly or indirectly own, or hold any rights to acquire, any capital stock or any other securities or interests in any Person.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are the only Contracts binding upon the Company or by which any of the Company’s assets are bound,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6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Parent (a) the audited balance sheets of the Company, and the related statements of operations and comprehensive loss, convertible preferred stock and stockholders’ equity (deficit) and cash flows, for the years ended December 31, 2018 and December 31, 2019 including the notes thereto (collectively, the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and (b) the unaudited balance sheet of the Company as of June 30, 2020 (the “</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and the related statements of operations and comprehensive loss, convertible preferred stock and stockholders’ equity (deficit) and cash flows for the six (6) months ended June 30, 2019 and June 30, 2020 (collectively,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the Annual Financial Statements,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The Company Financial Statements have been prepared in conformity with U.S. GAAP applied on a consistent basis and in accordance with the requirements of the Public Company Accounting Oversight Board for public companies.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in all material respects. Since June 30, 2020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304"/>
        <w:spacing w:after="0" w:line="254" w:lineRule="auto"/>
        <w:tabs>
          <w:tab w:leader="none" w:pos="15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(i) specifically disclosed, reflected or fully reserved against on the Balance Sheet; (ii) liabilities and obligations incurred in the ordinary course of business since the date of the Balance Sheet; (iii) liabilities that are executory obligations arising under Contracts to which the Company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Times New Roman" w:cs="Times New Roman" w:eastAsia="Times New Roman" w:hAnsi="Times New Roman"/>
          <w:sz w:val="18"/>
          <w:szCs w:val="18"/>
          <w:u w:val="single" w:color="auto"/>
          <w:color w:val="auto"/>
        </w:rPr>
        <w:t>Schedule 5.9(b)</w:t>
      </w:r>
      <w:r>
        <w:rPr>
          <w:rFonts w:ascii="Times New Roman" w:cs="Times New Roman" w:eastAsia="Times New Roman" w:hAnsi="Times New Roman"/>
          <w:sz w:val="18"/>
          <w:szCs w:val="18"/>
          <w:color w:val="auto"/>
        </w:rPr>
        <w:t>, the Company does not have any material liabilities, debts or obligations of any nature (whether accrued, fixed or contingent, liquidated or unliquidated, asserted or unasserted or otherwise) of the type required to be reflected on a balance sheet in accordance with U.S. GAAP. The Company represents that neither its annual sales nor its total assets exceed the current threshold of $18,800,000 under Section 18a(a)(2)(B)(ii) of the Hart-Scott-Rodino Antitrust Improvements Act of 1976.</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Books and Records accurately and fairly, in reasonable detail, reflect the transactions and dispositions of assets of and the providing of services by the Company. The Company maintains procedures of internal controls sufficient to provide reasonable assurance that: (i) transactions are executed only in accordance with the respective management’s authorization; (ii) all income and expense items are promptly and properly recorded for the relevant periods in accordance with the revenue recognition and expense policies maintained by the Company, as permitted by U.S. GAAP; and (iii) access to assets is permitted only in accordance with the respective management’s authorization. The Books and Records of the Company have been maintained, in all material respects in accordance with reasonable business practices.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the Company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From the Balance Sheet Date until the date of this Agreement, (a) the Company and the Company Subsidiaries have conducted in all material respects their respective businesses in the ordinary course and in a manner consistent with past practice; (b) there has not been any Material Adverse Effect; and (c) the Company has not taken any action that, if taken after the date of this Agreement and prior to the consummation of the Merger, would require the consent of Parent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Properties; Title to the Company’s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Tangible Personal Property have no defects, are in good operating condition and repair and function in accordance with their intended uses (ordinary wear and tear excepted), have been properly maintained and are suitable for their present uses and meet all specifications and warranty requirements with respect thereto. All of the Tangible Personal Property is located at the office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good, valid and marketable title in and to, or in the case of the Lease and the assets which are leased or licensed pursuant to Contracts, a valid leasehold interest or license in or a right to use all of the tangible assets reflected on the Balance Sheet. Except as set forth on </w:t>
      </w:r>
      <w:r>
        <w:rPr>
          <w:rFonts w:ascii="Times New Roman" w:cs="Times New Roman" w:eastAsia="Times New Roman" w:hAnsi="Times New Roman"/>
          <w:sz w:val="18"/>
          <w:szCs w:val="18"/>
          <w:u w:val="single" w:color="auto"/>
          <w:color w:val="auto"/>
        </w:rPr>
        <w:t>Schedule 5.13(b),</w:t>
      </w:r>
      <w:r>
        <w:rPr>
          <w:rFonts w:ascii="Times New Roman" w:cs="Times New Roman" w:eastAsia="Times New Roman" w:hAnsi="Times New Roman"/>
          <w:sz w:val="18"/>
          <w:szCs w:val="18"/>
          <w:color w:val="auto"/>
        </w:rPr>
        <w:t xml:space="preserve"> no such tangible asset is subject to any Lien other than Permitted Liens. The Company's assets constitute all of the rights, property and other assets of any kind or description whatsoever, including goodwill, necessary for the Company to operate the Business immediately after the Closing, in all material respects, in the same manner as the Business is currently being conducted.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the Company, threatened in writing against or affecting the Company, any of the officers or directors of the Company (in their capacities as such), the Business, any of the Company’s assets or any Contract before any Authority that any manner challenges or seeks to prevent, enjoin, alter or delay the transactions contemplated by this Agreement or any Additional Agreement. There are no outstanding judgments against the Company. The Company is not, and has not been in the past five (5) years, subject to any Action by any Authority.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6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xml:space="preserve"> lists all of the following Contracts (collectively, such Contracts that are listed or should be listed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5.15(a)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to which, as of the date of this Agreement, the Company is a party or by which any of its assets is bound and which are currently in effect:</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2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require annual payments or expenses incurred by, or annual payments or income to, the Company of $500,000 or more (other than standard purchase and sale orders entered into in the ordinary course of business consistent with past practice);</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33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advertising, agency, lobbying, broker, sales promotion, market research, marketing or similar contracts and agreements, in each case requiring the payment of any commissions by the Company in excess of $500,000 annually;</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32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employment Contract, employee leasing Contract and consultant and sales representatives Contract with any current officer, director, employee or consultant of the Company, under which the Company (A) has continuing obligations for payment of annual compensation of at least $250,000, and which is not terminable for any reason or no reason upon reasonable notice without payment of any penalty, severance or other obligation; (B) has severance or post-termination obligations to such Person (other than COBRA obligations); or (C) has an obligation to make a payment upon consummation of the transactions contemplated hereby or as a result of a change of control of the Company;</w:t>
      </w:r>
    </w:p>
    <w:p>
      <w:pPr>
        <w:spacing w:after="0" w:line="187" w:lineRule="exact"/>
        <w:rPr>
          <w:rFonts w:ascii="Times New Roman" w:cs="Times New Roman" w:eastAsia="Times New Roman" w:hAnsi="Times New Roman"/>
          <w:sz w:val="18"/>
          <w:szCs w:val="18"/>
          <w:color w:val="auto"/>
        </w:rPr>
      </w:pPr>
    </w:p>
    <w:p>
      <w:pPr>
        <w:ind w:left="2320" w:hanging="368"/>
        <w:spacing w:after="0"/>
        <w:tabs>
          <w:tab w:leader="none" w:pos="23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a joint venture, strategic alliance, limited liability company or partnership arrangement to which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is a party;</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3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any acquisitions or dispositions of material assets by the Company (other than acquisitions or dispositions of inventory in the ordinary course of business consistent with past practice);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33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the Company is obligated to pay royalties under a license for the use of Intellectual Property Rights, and all other material licensing Contracts, including those pursuant to which any Intellectual Property Rights are licensed by or to the Company and including material transfer agreements, services agreements and scientific advisory board agreements, other than (A) “shrink wrap” or other licenses for generally commercially available software (including open source software) or hosted services, (B) customer or channel partner Contracts substantially on Company’s standard forms, (C) Contracts with the Company’s employees or contractors substantially on Company’s standard forms, and (D) non-disclosure agreements (the “</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(vii) all Contracts limiting the freedom of the Company to compete in any line of business or industry, with any Person or in any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geographic area;</w:t>
      </w:r>
    </w:p>
    <w:p>
      <w:pPr>
        <w:spacing w:after="0" w:line="207" w:lineRule="exact"/>
        <w:rPr>
          <w:sz w:val="20"/>
          <w:szCs w:val="20"/>
          <w:color w:val="auto"/>
        </w:rPr>
      </w:pPr>
    </w:p>
    <w:p>
      <w:pPr>
        <w:jc w:val="both"/>
        <w:ind w:left="660" w:firstLine="1292"/>
        <w:spacing w:after="0" w:line="266" w:lineRule="auto"/>
        <w:tabs>
          <w:tab w:leader="none" w:pos="2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patents, trademarks, service marks, trade names, brands, copyrights, trade secrets and other Intellectual Property Rights of the Company, other than Standard Contracts, material transfer agreements, services agreements and scientific advisory board agreements;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7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providing for guarantees, indemnification arrangements and other hold harmless arrangements made or provided by the Company, including all ongoing agreements for repair, warranty, maintenance, service, indemnification or similar obligations, other than Standard Contracts;</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26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or pertaining to the Company to which any Affiliate of the Company is a party, other than any Contracts relating to such Affiliate’s status as a Company Securityholder;</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31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property or assets (whether real or personal, tangible or intangible) in which the Company holds a leasehold interest (including the Lease) and which involve payments to the lessor thereunder in excess of $500,000 per year;</w:t>
      </w:r>
    </w:p>
    <w:p>
      <w:pPr>
        <w:spacing w:after="0" w:line="161"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or otherwise relating to outstanding Indebtedness (other than intercompany Indebtedness);</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43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voting or control of the equity interests of the Company or the election of directors of the Company (other than the organizational documents of the Company);</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40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not cancellable by the Company with no more than sixty (60) days’ notice if the effect of such cancellation would result in monetary penalty to the Company in excess of $500,000 per the terms of such contract;</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37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may be terminated, or the provisions of which may be altered, as a result of the consummation of the transactions contemplated by this Agreement or any Additional Agreement to which the Company is a party;</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4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any of the benefits, compensation or payments (or the vesting thereof) will be increased or accelerated by the consummation of the transactions contemplated hereby, or the amount or value thereof will be calculated on the basis of, the transactions contemplated by this Agreement;</w:t>
      </w:r>
    </w:p>
    <w:p>
      <w:pPr>
        <w:spacing w:after="0" w:line="17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or other agreements with a labor union or labor organization; and</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address the provisions for business associate contracts required by HIPAA.</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(i) a valid and binding agreement, (ii) in full force and effect and (iii) enforceable by and against the Company and each counterparty that is party thereto, subject, in the case of this clause (iii), to the Enforceability Exceptions. Neither the Company nor, to the Company’s Knowledge, any other party to a Material Contract is in material breach or default (whether with or without the passage of time or the giving of notice or both) under the terms of any such Material Contract. The Company has not assigned, delegated or otherwise transferred any of its rights or obligations under any Material Contract or granted any power of attorney with respect thereto.</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firstLine="1304"/>
        <w:spacing w:after="0" w:line="282" w:lineRule="auto"/>
        <w:tabs>
          <w:tab w:leader="none" w:pos="163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covenants, including all financial covenants, in all notes, indentures, bonds and other instruments or Contracts establishing or evidencing any Indebtedness.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correctly lists each license, franchise, permit, order or approval or other similar authorization required under applicable law to carry out or otherwise affecting, or relating in any way to, the Business, together with the name of the Authority issuing the same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Such Permits are valid and in full force and effect, and none of the Permits will, assuming the related Company Consent has been obtained or waived prior to the Closing Date, be terminated or impaired or become terminable as a result of the transactions contemplated hereby. The Company has all material Permits necessary to operate the Business, including those administered by the FDA or by any foreign, federal, state or local governmental or regulatory authority performing functions similar to those performed by the FDA necessary to conduct the Business. The Company is not in material breach or violation of, or material default under, any such Permit, and, to the Company’s Knowledge, no basis exists which, with notice or lapse of time or both, would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7" w:lineRule="auto"/>
        <w:tabs>
          <w:tab w:leader="none" w:pos="16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in any material respect of, and, since January 1, 2018, has been in compliance in all material respects with all applicable Laws. Since January 1, 2018, the Company has not been threatened in writing or given written notice of any violation of any Law or any judgment, order or decree entered by any Authority. Without limiting the generality of the foregoing, the Company is, and during the last three</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has been, in material compliance with: (i) every Law applicable to the Company due to the specific nature of the Business, including Data Protection Laws and Laws applicable to lending activities; (ii) the Foreign Corrupt Practices Act of 1977 (the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and any comparable or similar Law of any jurisdiction applicable to the Company; and (iii) every Law regulating or covering conduct in the workplace, including regarding sexual harassment or, on any legally impermissible basis, a hostile work environment. During the last three (3) years, the Company has not been threatened or charged in writing (or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is not under any investigations with respect to any such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2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6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sets forth a true, correct and complete list of all unexpired or pending registered Intellectual Property Rights and applications for registration of Intellectual Property Rights owned (whether exclusively, jointly with another Person or otherwise) or filed by the Company or in which the Company has or purports to have an exclusive interest of any nature, specifying as to each, as applicable: (i) the nature of such Intellectual Property Right; (ii) the owner of such Intellectual Property Right and the nature of such ownership; (iii) the jurisdictions by or in which such Intellectual Property Right has been issued or registered or in which an application for such issuance or registration has been filed; and (iv) other than Standard Contracts, all licenses, sublicenses and other agreements pursuant to which any Person is authorized to use such Intellectual Property Right. In the past two</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the Company has not abandoned any patents or non-provisional patent applications. The Company owns, has valid and enforceable licenses for or otherwise has adequate rights to use Intellectual Property Rights as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Intellectual Property Rights of the Company have not been adjudged by a court of competent jurisdiction invalid or unenforceable in whole or in part. As of the date of this Agreement, no Intellectual Property Right that is listed or required to be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is challenged in any interference, opposition, reissue, reexamination, revocation or equivalent proceeding, and to the Knowledge of the Company, no such proceeding has been threatened in writing with respect to any such Intellectual Property Rights. As of the date hereof, all registration, maintenance and renewal fees currently due in connection with such registered Intellectual Property Rights have been paid and all documents, recordations and certificates in connection with such registered Intellectual Property Rights currently required to be filed have been filed with the relevant patent, copyright, trademark or other authorities in the United States or foreign jurisdictions, as the case may be, for the purposes of prosecuting, maintaining and perfecting such registered Intellectual Property Rights and recording the Company’s ownership interests therein.</w:t>
      </w:r>
    </w:p>
    <w:p>
      <w:pPr>
        <w:spacing w:after="0" w:line="192"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0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the sole and exclusive owner of each item of Intellectual Property Rights owned or purported to be owned by the Company, including the items of Intellectual Property Rights identified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as being owned by the Company (other than any co-owners disclosed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Company has a valid right to use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that are used (but not owned) by it in the operation of the Business as presently conducted. The product candidates under material development by the Company, the methods of manufacturing, and using the product candidates fall within the scope of the claims of one or more patent or pending patent applications owned by, or exclusively licensed to,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1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all registered Intellectual Property Rights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are subsisting and all the granted patents are valid and enforceable. To the Knowledge of the Company, there is no granted patent owned by any third party containing a valid claim that (i) is required by the Company to conduct its material business as currently conducted and (ii) the Company is not currently authorized to use. To the Knowledge of the Company, the use of any Intellectual Property Rights in connection with the operation of the material business of the Company do not conflict with, infringe, misappropriate or otherwise violate the Intellectual Property Rights, including rights of privacy, publicity and endorsement, of any third party. The Company is not challenging the patentability of a third party patent.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include all of the material patent rights owned by or licensed to the Company used in the ordinary day-to-day conduct of the business of the Company. To the Knowledge of the Company, there is no prior art that may render any patent within the Intellectual Property Rights invalid. To the Knowledge of the Company, there are no material defects in any of the patents or patent applications within the Intellectual Property Rights.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304"/>
        <w:spacing w:after="0" w:line="255" w:lineRule="auto"/>
        <w:tabs>
          <w:tab w:leader="none" w:pos="163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5.18(d)</w:t>
      </w:r>
      <w:r>
        <w:rPr>
          <w:rFonts w:ascii="Times New Roman" w:cs="Times New Roman" w:eastAsia="Times New Roman" w:hAnsi="Times New Roman"/>
          <w:sz w:val="18"/>
          <w:szCs w:val="18"/>
          <w:color w:val="auto"/>
        </w:rPr>
        <w:t>, to the Knowledge of the Company (i) there are no rights of third parties to any of the Intellectual Property Rights, including liens, security interests or other encumbrances; (ii) there is no infringement by third parties of any Intellectual Property Right owned by, or licensed to, the Company; (iii) as of the date of this Agreement, there is no pending or, to the Knowledge of the Company, threatened Action by any Person challenging the rights of the Company in or to any Intellectual Property Rights owned by, or licensed to, the Company;</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there is no pending or, to the Knowledge of the Company, threatened Action by any Person challenging the validity, enforceability or scope of any Intellectual Property Rights owned by, or licensed to, the Company; (v) as of the date of this Agreement, there is no pending or, to the Knowledge of the Company, threatened Action by any Person (nor has the Company received any claim from a third party) alleging that the Company use of any Intellectual Property Right infringes or otherwise violates, or would, upon the commercialization of any product or service described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infringe or otherwise violate, any patent, trademark, tradename, service name, copyright, trade secret or other proprietary right of any other Person. Within the past five (5) years (or prior thereto if the same is still pending or subject to appeal or reinstatement), the Company has not been sued or charged in writing with or been a defendant in any Action that involves a claim of infringement or misappropriation of any Intellectual Property Rights.</w:t>
      </w:r>
    </w:p>
    <w:p>
      <w:pPr>
        <w:spacing w:after="0" w:line="19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3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 unauthorized use, unauthorized disclosure, infringement or misappropriation of any Intellectual Property Right owned or exclusively in-licensed by the Company, by any third party. As of the date hereof, the Company has not instituted any Action for infringement or misappropriation of any Intellectual Property Right owned by or exclusively in-licensed to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disputes or Actions with respect to any Intellectual Property Rights and the Company is not a party to any dispute or Action relating to any Intellectual Property Rights, including any disputes or Actions relating to the ownership, validity, registrability, enforceability, violation or use of any Intellectual Property Rights owned by or exclusively in-licensed to the Company. To the Knowledge of the Company, the Company has complied with the terms of each Contract pursuant to which Intellectual Property Rights have been licensed to the Company, and all such Contracts are in full force and effect. Each Intellectual Property Right used by the Company in the performance of any services under any Contract is, and upon the performance of such Contract remains, owned by or in-licensed to the Company, and no client, customer or other Person has any claim of ownership to the Intellectual Property Rights used by the Company in the performance of any such Contract.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5.18(g</w:t>
      </w:r>
      <w:r>
        <w:rPr>
          <w:rFonts w:ascii="Times New Roman" w:cs="Times New Roman" w:eastAsia="Times New Roman" w:hAnsi="Times New Roman"/>
          <w:sz w:val="18"/>
          <w:szCs w:val="18"/>
          <w:color w:val="auto"/>
        </w:rPr>
        <w:t xml:space="preserve">), each employee, agent, consultant and contractor who has made material contributions to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(ii) has executed an assignment in favor of the Company (or such predecessor in interest, as applicable) all right, title and interest in such material; or (iii) only with respect to rights that cannot be assigned pursuant to an agreement described in clause (i) or (ii) of this </w:t>
      </w:r>
      <w:r>
        <w:rPr>
          <w:rFonts w:ascii="Times New Roman" w:cs="Times New Roman" w:eastAsia="Times New Roman" w:hAnsi="Times New Roman"/>
          <w:sz w:val="18"/>
          <w:szCs w:val="18"/>
          <w:u w:val="single" w:color="auto"/>
          <w:color w:val="auto"/>
        </w:rPr>
        <w:t>Section 5.18(g)</w:t>
      </w:r>
      <w:r>
        <w:rPr>
          <w:rFonts w:ascii="Times New Roman" w:cs="Times New Roman" w:eastAsia="Times New Roman" w:hAnsi="Times New Roman"/>
          <w:sz w:val="18"/>
          <w:szCs w:val="18"/>
          <w:color w:val="auto"/>
        </w:rPr>
        <w:t>, has licensed to the Company rights to use such Intellectual Property Rights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on Schedule 5.18(h), no (i) government funding or (ii) facility of a university, college, other educational institution or research center was used in the development of any item of Intellectual Property Right owned or purported to be owned by, or exclusively licensed to,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Intellectual Property Rights owned or used or held for use by the Company is subject to any pending or outstanding Order or other disposition of dispute that adversely restricts the use, transfer, registration or licensing of any such Intellectual Property Rights by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by the Company of this Agreement or any of the Additional Agreements to which the Company is or will be a party or the consummation by the Company of the transactions contemplated hereby or thereby will (i) cause any item of Intellectual Property Rights owned or purported to be owned by, or any material item of Intellectual Property Rights licensed, used or held for use by the Company immediately prior to the Closing, to not be owned, licensed or available for use by the Company on substantially the same terms and conditions immediately following the Closing or (ii) require any additional payment obligations by the Company in order to use or exploit any other such Intellectual Property Rights to the same extent as the Company was permitted before the Closing.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firstLine="1304"/>
        <w:spacing w:after="0" w:line="282" w:lineRule="auto"/>
        <w:tabs>
          <w:tab w:leader="none" w:pos="16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agreements listed on </w:t>
      </w:r>
      <w:r>
        <w:rPr>
          <w:rFonts w:ascii="Times New Roman" w:cs="Times New Roman" w:eastAsia="Times New Roman" w:hAnsi="Times New Roman"/>
          <w:sz w:val="18"/>
          <w:szCs w:val="18"/>
          <w:u w:val="single" w:color="auto"/>
          <w:color w:val="auto"/>
        </w:rPr>
        <w:t>Schedule 5.15(a)(vi)</w:t>
      </w:r>
      <w:r>
        <w:rPr>
          <w:rFonts w:ascii="Times New Roman" w:cs="Times New Roman" w:eastAsia="Times New Roman" w:hAnsi="Times New Roman"/>
          <w:sz w:val="18"/>
          <w:szCs w:val="18"/>
          <w:color w:val="auto"/>
        </w:rPr>
        <w:t>, the Company is not obligated under any Contract to make any payments by way of royalties, fees, or otherwise to any owner or licensor of, or other claimant to, any Intellectual Property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Company’s information technology networks and software applications are free of all viruses, worms, Trojan horses and other material known contaminants and do not contain any bugs, errors, or problems of a material nature that would disrupt or have an adverse impact on the operation of the information technology networks and software applications. The Company has implemented adequate policies and commercially reasonable security (i) regarding the collection, use, disclosure, confidentiality, integrity, availability and value of Personal Information (including health information), and business proprietary or sensitive information (including all trade secrets, items of Intellectual Property Rights that are confidential, confidential information, data and materials licensed by the Company or otherwise used in the operation of the Business); and (ii) regarding the integrity and availability of the information technology networks and software applications the Company owns, operates, or outsources. The Company has not experienced any information security incident that has compromised the integrity or availability of the information technology networks and software applications the Company owns, operates, or outsources, and there has been no loss, damage, or unauthorized access, disclosure, use, or breach of security of any Company information in its possession, custody, or control, or otherwise held or processed on its behalf. The transactions contemplated by this Agreement will not result in the violation of any Data Protection Laws or the privacy policies of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since January 1, 2018, in compliance in all material respects with all applicable healthcare Laws, including (i) the Federal Food, Drug and Cosmetic Act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(ii) the Public Health Service Act (“</w:t>
      </w:r>
      <w:r>
        <w:rPr>
          <w:rFonts w:ascii="Times New Roman" w:cs="Times New Roman" w:eastAsia="Times New Roman" w:hAnsi="Times New Roman"/>
          <w:sz w:val="18"/>
          <w:szCs w:val="18"/>
          <w:u w:val="single" w:color="auto"/>
          <w:color w:val="auto"/>
        </w:rPr>
        <w:t>PHSA</w:t>
      </w:r>
      <w:r>
        <w:rPr>
          <w:rFonts w:ascii="Times New Roman" w:cs="Times New Roman" w:eastAsia="Times New Roman" w:hAnsi="Times New Roman"/>
          <w:sz w:val="18"/>
          <w:szCs w:val="18"/>
          <w:color w:val="auto"/>
        </w:rPr>
        <w:t>”); (iii) all federal or state criminal or civil fraud and abuse Laws (including the federal Anti-Kickback Statute (42 U.S.C. §1320a-7(b)), the Civil Monetary Penalties Law (42 U.S.C. §1320a-7(a)), the Sunshine Act (42 U.S.C. §1320a-7(h)), the Exclusion Law (42 U.S.C. §1320a-7), the Criminal False Statements Law (42 U.S.C. §1320a-7b(a), Stark Law (42 U.S.C. §1395nn), the False Claims Act (31 U.S.C. §§3729 et seq. 42 U.S.C. §1320a-7b(a)), HIPAA, (42 U.S.C. §§1320d et seq.), and any comparable state or local Laws) and; (iv) any applicable state licensing, disclosure and reporting requirements (all of the foregoing, collectively, “</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The Company has not received written notification of any pending Action from the FDA or any other similar regulatory authority alleging that any operation or activity of the Company is in material violation of any applicable Healthcare Law.</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preclinical and clinical investigations conducted or sponsored by the Company and intended to be submitted to a regulatory authority to support a regulatory approval are being conducted in compliance in all material respects with all applicable Healthcare Laws administered or issued by the applicable Authority, including, as applicable, (i) the FDA regulations for conducting non-clinical laboratory studies contained in Title 21 part 58 of the Code of Federal Regulations, (ii) applicable FDA standards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 HIPAA.</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304"/>
        <w:spacing w:after="0" w:line="252" w:lineRule="auto"/>
        <w:tabs>
          <w:tab w:leader="none" w:pos="15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reports, documents, claims, permits and notices required to be filed, maintained or furnished to the FDA or any other regulatory authority by the Company have been so filed, maintained or furnished. To the Knowledge of the Company, all such reports, documents, claims, permits and notices were complete and accurate on the date filed (or were corrected in or supplemented by a subsequent filing). Neither the Company nor, to the Knowledge of the Company, any officer, employee or agent of the Company has (i) made an untrue statement of a material fact or any fraudulent statement to the FDA or any other regulatory authority, (ii) failed to disclose a material fact required to be disclosed to the FDA or any other regulatory authority or (iii) 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 Neither the Company nor, to the Knowledge of the Company, any officer, employee or agent of the Company has been convicted of any crime or engaged in any conduct for which debarment is mandated by 21 U.S.C. §335a(a) or any similar Healthcare Law or authorized by 21 U.S.C. §335a(b) or any similar Healthcare Law. Neither the Company nor, to the Knowledge of the Company, any officer, employee or agent of Company has been convicted of any crime or engaged in any conduct for which such person could be excluded from participating in the federal health care programs under Section 1128 of the Social Security Act of 1935 or any Healthcare Law. As of the date of this Agreement, no Actions that would reasonably be expected to result in material debarment or exclusion are pending or, to the Company’s Knowledge, threatened in writing against the Company or, to Company’s Knowledge, any of its officers, employees, contractors, suppliers (in their capacities as such) or other entities or individuals performing research or work on behalf of the Company. The Company is not party to any corporate integrity agreements, monitoring agreements, consent decrees, settlement orders, or similar agreements with or imposed by any Authority.</w:t>
      </w:r>
    </w:p>
    <w:p>
      <w:pPr>
        <w:spacing w:after="0" w:line="19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written notice, correspondence or other communication from the FDA or any other regulatory authority or from any institutional review board requiring the termination, suspension or material modification of any ongoing or planned clinical trials conducted by, or on behalf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data generated by the Company with respect to its products is the subject of any written regulatory Action, either pending or, to the Company’s Knowledge, threatened, by any Authority relating to the truthfulness or scientific integrity of such data.</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product manufactured or distributed by the Company is (i) adulterated within the meaning of 21 U.S.C. §351 (or any similar Healthcare Law), or (ii) misbranded within the meaning of 21 U.S.C. § 352 (or any similar Healthcare Law). As of the date of this Agreement, neither the Company nor, to the Company’s Knowledge, any of its respective contract manufacturers has received any FDA Form 483, warning letter, untitled letter, or other similar correspondence or written notice from the FDA or any other regulatory authority alleging or asserting material noncompliance with any applicable Healthcare Laws or Permits issued to the Company by the FDA or any other regulatory authority. No manufacturing site owned by the Company or, to the Company’s Knowledge, any of their respective contract manufacturers, is or has been subject to a shutdown or import or export prohibition imposed by FDA or another regulatory authority.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Accounts Payable; Affiliate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6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304"/>
        <w:spacing w:after="0" w:line="266" w:lineRule="auto"/>
        <w:tabs>
          <w:tab w:leader="none" w:pos="15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xml:space="preserve"> separately identifies any and all accounts, receivables or notes of the Company which are owed by any Affiliate of the Company. Except as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the Company is not indebted to any of its Affiliates and no Affiliates are indebted to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Employees;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6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5.21(a)</w:t>
      </w:r>
      <w:r>
        <w:rPr>
          <w:rFonts w:ascii="Times New Roman" w:cs="Times New Roman" w:eastAsia="Times New Roman" w:hAnsi="Times New Roman"/>
          <w:sz w:val="18"/>
          <w:szCs w:val="18"/>
          <w:color w:val="auto"/>
        </w:rPr>
        <w:t xml:space="preserve"> sets forth a true, correct and complete list of each of the five highest compensated officers or employees of the Company as of the date hereof, setting forth the name, title, current salary or compensation rate for each such person and total compensation (including bonuses and commissions) paid to each such person for the fiscal years ended December 31, 2019 and 2018.</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5.21(b</w:t>
      </w:r>
      <w:r>
        <w:rPr>
          <w:rFonts w:ascii="Times New Roman" w:cs="Times New Roman" w:eastAsia="Times New Roman" w:hAnsi="Times New Roman"/>
          <w:sz w:val="18"/>
          <w:szCs w:val="18"/>
          <w:color w:val="auto"/>
        </w:rPr>
        <w:t>), the Company is not a party to or subject to any collective bargaining agreement, or any similar agreement, and there has been no activity or proceeding by a labor union or representative thereof to organize any employees of the Company. There is no labor strike, material slowdown or material work stoppage or lockout pending or, to the Knowledge of the Company, threatened against or affecting the Company, and none of the Company has experienced any strike, material slowdown or material work stoppage, lockout or other collective labor action by or with respect to its employees.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3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pending or, to the Knowledge of the Company, threatened Actions against the Company under any worker’s compensation policy or long-term disability policy. There is no unfair labor practice charge or complaint pending before any applicable governmental authority relating to the Company or any employee or other service provider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in compliance in all material respects with all applicable Laws relating to employment of labor, including all applicable Laws relating to wages, hours, overtime, collective bargaining, employment discrimination, civil rights, safety and health, workers’ compensation, pay equity, classification of employees and independent contractors, and the collection and payment of withholding or social security Taxes. The Company has met in all material respects all requirements required by Law relating to the employment of foreign citizens, and the Company does not currently employ, or has ever employed, any Person who was not permitted to work in the jurisdiction in which such Person was employed.</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in the ordinary course of his or her duties, has breached or will breach any obligation to a former employer in respect of any covenant against competition or soliciting clients or employees or servicing clients or any confidentiality or proprietary right of any former employer.</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in the last five (5) years, no substantiated allegations of sexual harassment have been made to the Company against any individual in his or her capacity as director or an employee of the Company at a level of Senior Vice President or above.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5.21(g)</w:t>
      </w:r>
      <w:r>
        <w:rPr>
          <w:rFonts w:ascii="Times New Roman" w:cs="Times New Roman" w:eastAsia="Times New Roman" w:hAnsi="Times New Roman"/>
          <w:sz w:val="18"/>
          <w:szCs w:val="18"/>
          <w:color w:val="auto"/>
        </w:rPr>
        <w:t>, the Company has not paid or promised to pay any bonus to any employee in connection with the consummation of the transactions contemplated hereby.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through the date hereof have been paid or adequate accruals therefor have been made on the Company Financial Statements.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61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5.23(a)</w:t>
      </w:r>
      <w:r>
        <w:rPr>
          <w:rFonts w:ascii="Times New Roman" w:cs="Times New Roman" w:eastAsia="Times New Roman" w:hAnsi="Times New Roman"/>
          <w:sz w:val="18"/>
          <w:szCs w:val="18"/>
          <w:color w:val="auto"/>
        </w:rPr>
        <w:t xml:space="preserve"> sets forth a correct and complete list of all material Plans. With respect to each material Plan, the Company has made available to Parent or its counsel a true and complete copy, to the extent applicable, of: (i) each writing constituting a part of such Plan and all amendments thereto, including all plan documents, material employee communications, benefit schedules, trust agreements, and insurance contracts and other funding vehicles; (ii) the most recent annual report and accompanying schedule; (iii) the current summary plan description and any material modifications thereto; (iv) the most recent annual financial and actuarial reports; (v) the most recent determination letter received by the Company from the Internal Revenue Service regarding the tax-qualified status of such Plan and (vi) the most recent written results of all required compliance testing.</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is (i) subject to Title IV or Section 302 of ERISA or Section 412 or 4971 of the Code, (ii) a “multiemployer plan” (as defined in Section 3(37) of ERISA) or (iii) a plan that has two or more contributing sponsors at least two of whom are not under common control, within the meaning of Section 4063 of ERISA, and none of the Company, or any ERISA Affiliate, has withdrawn at any time within the preceding six (6) years from any multiemployer plan or incurred any withdrawal liability which remains unsatisfied, and no events have occurred and no circumstances exist that could reasonably be expected to result in any such liability to the Company.</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2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Plan that is intended to qualify under Section 401(a) of the Code, such Plan, including its related trust, has received a determination letter (or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 or the imposition of any material liability, penalty or tax under ERISA or the Code. No stock or other securities issued by the Company forms or has formed any part of the assets of any Plan that is intended to qualify under Section 401(a) of the Code.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or relating to the Plans or the assets of any of the trusts under such Plans (other than routine benefits claims). No Plan is presently under audit or examination (nor has written notice been received by the Company of a potential audit or examination) by any Authority.</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has been established, administered and funded in all material respects accordance with its terms and in compliance in all material respects with the applicable provisions of ERISA, the Code and other applicable Laws. There is not now, nor, to the Knowledge of the Company, do any circumstances exist that could give rise to, any requirement for the posting of security with respect to any Plan or the imposition of any Lien on the assets of the Company under ERISA or the Code.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firstLine="1304"/>
        <w:spacing w:after="0" w:line="282" w:lineRule="auto"/>
        <w:tabs>
          <w:tab w:leader="none" w:pos="15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Plans provide retiree health or life insurance benefits, except as may be required by Section 4980B of the Code, Section 601 of ERISA or any other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with respect to any Plan; (ii) increase any benefits otherwise payable under any Plan; or (iii) result in the acceleration of the time of payment or vesting of any such compensation or benefits. No Person is entitled to receive any additional payment (including any tax gross-up or other payment) from the Company as a result of the imposition of the excise taxes required by Section 4999 of the Code or any taxes required by Section 409A of the Code.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a “nonqualified deferred compensation plan” (as defined in Section 409A(d)(1) of the Code) is in all material respects in documentary compliance with, and has been administered in all material respects in compliance with Section 409A of the Code.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xml:space="preserve">, the Company does not own, or otherwise have an interest in, any Real Property, including under any Real Property lease, sublease, space sharing, license or other occupancy agreement. The Lease is the only Contract pursuant to which the Company leases any real property or right in any Real Property. The Company has good, valid and subsisting title to its respective leasehold estates in the offices described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free and clear of all Liens. The Company has not breached or violated any local zoning ordinance, and no notice from any Person has been received by the Company or served upon the Company claiming any violation of any local zoning ordinance.</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Lease: (i) it is valid, binding and in full force and effect;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 holds the leasehold estate established under the Lease free and clear of all Liens, except for Liens of mortgagees of the Real Property on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such leased Real Property. The Company is in physical possession and actual and exclusive occupation of the whole of the leased premises, none of which is subleased or assigned to another Person. The Lease leases all useable square footage of the premises located at the leased Real Property. The Company does not owe any brokerage commission with respect to any Real Property.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6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 (iii) there is no Action, within the past five years (or pending or proposed in writing), with respect to Taxes of the Company; (iv) no statute of limitations in respect of the assessment or collection of any Taxes of the Company has been waived or extended, which waiver or extension is in effect and the Company is not presently contesting the Tax liability before any Taxing Authority or other Authority; (v) the Company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 no stock transfer Tax, sales Tax, use Tax, real estate transfer Tax or other similar Tax will be imposed on the transfer of the shares of Company Common Stock by the Company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(viii) there is no Lien (other than Permitted Liens) for Taxes upon the Company or any of the assets of the Company; (ix) no claim has ever been made by a Taxing Authority in a jurisdiction where the Company has not paid any Tax or filed Tax Returns, asserting that the Company is or may be subject to Tax in such jurisdiction, the Company is not nor has it ever been subject to Tax in any country other than the country of incorporation of the Company by virtue of having a permanent establishment or other place of business in that country, and the Company is and has always been tax resident solely in its country of incorporation; (x) the Company has provided to Parent true, complete and correct copies of all Tax Returns relating to, and all audit reports and correspondence relating to each proposed adjustment, if any, made by any Taxing Authority with respect to, any taxable period ending after December 31, 2015; (xi) the Company is not, and has never been, a party to any Tax sharing, allocation, indemnification or similar Contract; (xii) the Company is and has never been included in any consolidated, combined or unitary Tax Return and the Company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the Company), or has any liability for the Taxes of any Person (other than the Company)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(xiii)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and (xiv) the Company has not requested any extension of time within which to file any Tax Return, which Tax Return has since not been filed.</w:t>
      </w:r>
    </w:p>
    <w:p>
      <w:pPr>
        <w:spacing w:after="0" w:line="20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the Company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304"/>
        <w:spacing w:after="0" w:line="261" w:lineRule="auto"/>
        <w:tabs>
          <w:tab w:leader="none" w:pos="15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the Company in filing its Tax Return.</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in compliance in all respects with all applicable transfer pricing laws and legal requirements. The prices for any property or services (or for the use of any property), including interest and other prices for financial services, provided by or to the Company are arm’s-length prices for purposes of the relevant transfer pricing laws.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“United States real property holding corporation” within the meaning of Section 897(c)(2) of the Code at any time during the five-year period ending on the Closing Date.</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engaged in a “reportable transaction” within the meaning of United States Treasury regulations 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1.6011-4(b).</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 Activities of the Company. There are no Hazardous Materials in, on or under any properties owned, leased or used at any time by the Company that could give rise to any material liability or corrective or remedial obligation of the Company under any Environmental Laws.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Company or any of its Affiliates who might be entitled to any fee or commission from the Company, Merger Sub, Parent or any of their Affiliates upon consummation of the transactions contemplated by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5.28 </w:t>
      </w:r>
      <w:r>
        <w:rPr>
          <w:rFonts w:ascii="Times New Roman" w:cs="Times New Roman" w:eastAsia="Times New Roman" w:hAnsi="Times New Roman"/>
          <w:sz w:val="18"/>
          <w:szCs w:val="18"/>
          <w:u w:val="single" w:color="auto"/>
          <w:color w:val="auto"/>
        </w:rPr>
        <w:t>Powers of Attorney and Suretyships</w:t>
      </w:r>
      <w:r>
        <w:rPr>
          <w:rFonts w:ascii="Times New Roman" w:cs="Times New Roman" w:eastAsia="Times New Roman" w:hAnsi="Times New Roman"/>
          <w:sz w:val="18"/>
          <w:szCs w:val="18"/>
          <w:color w:val="auto"/>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5.29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5.29</w:t>
      </w:r>
      <w:r>
        <w:rPr>
          <w:rFonts w:ascii="Times New Roman" w:cs="Times New Roman" w:eastAsia="Times New Roman" w:hAnsi="Times New Roman"/>
          <w:sz w:val="18"/>
          <w:szCs w:val="18"/>
          <w:color w:val="auto"/>
        </w:rPr>
        <w:t xml:space="preserve"> sets forth a true, correct and complete list of all directors and officers of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5.30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are and have been conducted at all times in compliance with anti-money laundering Laws in all applicable jurisdictions and any related or similar rules, regulations or guidelines, issued, administered or enforced by any Authority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involving the Company with respect to the Money Laundering Laws is pending or, to the Knowledge of the Company, threatened.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All forms of insurance owned or held by and insuring the Company are set forth on </w:t>
      </w:r>
      <w:r>
        <w:rPr>
          <w:rFonts w:ascii="Times New Roman" w:cs="Times New Roman" w:eastAsia="Times New Roman" w:hAnsi="Times New Roman"/>
          <w:sz w:val="18"/>
          <w:szCs w:val="18"/>
          <w:u w:val="single" w:color="auto"/>
          <w:color w:val="auto"/>
        </w:rPr>
        <w:t>Schedule 5.31</w:t>
      </w:r>
      <w:r>
        <w:rPr>
          <w:rFonts w:ascii="Times New Roman" w:cs="Times New Roman" w:eastAsia="Times New Roman" w:hAnsi="Times New Roman"/>
          <w:sz w:val="18"/>
          <w:szCs w:val="18"/>
          <w:color w:val="auto"/>
        </w:rPr>
        <w:t>, and such policies are in full force and effect. All premiums with respect to such policies covering all periods up to and including the Closing Date have been or will be paid when due, and no notice of cancellation or termination has been received with respect to any such policy which was not replaced on substantially similar terms prior to the date of such cancellation or termination. There is no existing default or event which, with or without the passage of time or the giving of notice or both, would constitute noncompliance with, or a default under, any such policy or entitle any insurer to terminate or cancel any such policy. Such policies will not in any way be affected by or terminate or lapse by reason of the transactions contemplated by this Agreement or the Additional Agreements. The insurance policies to which the Company is a party are sufficient for compliance with all requirements of all Contracts to which the Company is a party or by which the Company is bound. The Company has not been refused any insurance with respect to its assets or operations or had its coverage limited by any insurance carrier to which it has applied for any such insurance or with which it has carried insurance. The Company does not have any self-insurance arrangements.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as contemplated by this Agreement or as provided in the Company Financial Statements, no Company Stockholder, Affiliate of the Company, current or former director, manager, officer or employee of the Company or any immediate family member or Affiliate of any of the foregoing (a) is a party to any Contract, or has otherwise entered into any transaction, understanding or arrangement, with the Company or (b) owns any property or right, tangible or intangible, which is used by the Company (each,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None of the Contracts listed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xml:space="preserve"> was entered into on a basis other than on arm’s length.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disclosed in the Parent SEC Documents filed with or furnished to the SEC prior to the date of this Agreement (other than any risk factor disclosures or other similar cautionary or predictive statements therein), Parent and Merger Sub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hereby represent and warrant to the Company that each of the following representations and warranties are true, correct and complete as of the date of this Agreement and as of the Closing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Parent and Merger Sub are each corporations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The execution, delivery and performance by the Parent Parties of this Agreement and the Additional Agreements to which they are or will be parties and the consummation by the Parent Parties of the transactions contemplated hereby and thereby are within the corporate powers of the Parent Parties and have been duly authorized by all necessary corporate action on the part of the Parent Parties. This Agreement has been duly executed and delivered by the Parent Parties and constitutes, and upon the execution and delivery thereof, each Additional Agreement to which a Parent Party is party, will constitute, a valid and legally binding agreement of the applicable Parent Party, enforceable against it in accordance with its terms, except as may be limited by the Enforceability Exceptions. This Agreement and the Additional Agreements to which a Parent Party is or will be party and the transactions contemplated hereby and thereby have been duly approved by Parent, on behalf of itself and in its capacity as the sole shareholder of Merger Sub. The affirmative vote of holders of a majority of the outstanding shares of Parent Common Stock present in person or by proxy and entitled to vote at the Parent Stockholder Meeting, assuming a quorum is present (the “</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is the only vote of the holders of any of Parent’s capital stock necessary to adopt this Agreement and approve the Merger and the consummation of the other transactions contemplated hereby.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xml:space="preserve">. Assuming the accuracy of the representations and warranties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neither the execution, delivery or performance of this Agreement requires any consent, approval, license or other action by or in respect of, or registration, declaration or filing with any Authority except for the filing of the Certificate of Merger with the Secretary of State of the State of Delaware pursuant to the DGCL.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by the Parent Parties of this Agreement do not and will not (a) contravene or conflict with the organizational or constitutive documents of the Parent Parties, or (b) contravene or conflict with or constitute a violation of any provision of any Law or any Order binding upon the Parent Parties.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for the Persons identified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Closing Payment Shares, when issued in accordance with this Agreement, will be duly authorized and validly issued, and will be fully paid and nonassessable.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6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100,000,000 Parent Class A Shares of which 12,516,500 are outstanding, 10,000,000 Parent Class B Shares of which 3,018,750 are issued and outstanding, and 1,000,000 shares of preferred stock, par value $0.0001 per share (“</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none of which are issued and outstanding. No other shares of capital stock or other voting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is authorized to issue 100 shares, par value $0.0001 per share (“</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of which 100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the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5" w:name="page46"/>
    <w:bookmarkEnd w:id="4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As of the date of this Agreement, Parent has at least $120,750,000 in the trust fund established by Parent for the benefit of its public stockholders (the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in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maintained by Continental Stock Transfer &amp; Trust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at J.P. Morgan Chase Bank, N.A., and such monies are invested in “government securities” (as such term is defined in the Investment Company Act of 1940) and held in trust by the Trustee pursuant to the Investment Management Trust Agreement dated as of August 11, 2020, between Parent and the Trustee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Parent Class A Shares sold in Parent’s IPO who shall have elected to redeem their Parent Class A Shares pursuant to Parent’s amended and restated certificate of incorporation) to any portion of the proceeds in the Trust Account. Prior to the Closing, none of the funds held in the Trust Account may be released except in accordance with the Trust Agreement and Parent’s amended and restated certificate of incorporation. The Parent has performed all material 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constitute such a material default thereunder. There are no claims or proceedings pending with respect to the Trust Account.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Parent Class A Shares are listed on Nasdaq, with trading ticker “FSDC.”</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Parent Board of Directors (including any required committee or subgroup of such board) has, as of the date of this Agreement, unanimously (a) declared the advisability of the transactions contemplated by this Agreement, (b) determined that the transactions contemplated hereby are in the best interests of the stockholders of Parent (c) determined that the transactions contemplated hereby constitutes a “Business Combination” as such term is defined in Parent’s amended and restated certificate of incorporation and bylaws; and (d) recommended to the stockholders of Parent to adopt and approve each of the Parent Proposals (the “</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Parent SEC Documents and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The Parent has made available to the Company copies in the form filed with the SEC of all of the following, except to the extent available in full without redaction on the SEC’s website through EDGAR for at least two (2)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filed by Parent with the SEC since Parent’s formation (the forms, reports, registration statements and other documents referred to in clauses (i) through (iv) above, whether or not available through EDGAR, collectively,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does not apply to statements in or omissions in any information supplied or to be supplied by the Company expressly for inclusion or incorporation by reference in the SEC Statement or Other Filing.</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 Neither Parent, nor any director, officer, agent or employee of Parent (in their capacities as such)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 (i) adversely affect the business or prospects of Parent and (ii) subject Parent to suit or penalty in any private or governmental Action.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described in Parent SEC Documents,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 Action pending, or, to the Knowledge of Parent, threatened in writing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Expenses, Indebtedness and Other Liabilities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Parent does not have any Indebtedness or other liabilities.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9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Parent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 (iii) there is no Action, within the past five years (or pending or proposed in writing), with respect to Taxes of Parent; (iv) no statute of limitations in respect of the assessment or collection of any Taxes of Parent has been waived or extended, which waiver or extension is in effect, and Parent is not presently contesting the Tax liability before any Taxing Authority or other Authority; (v) Parent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Parent; (vi) there is no Lien (other than Permitted Liens) for Taxes upon Parent or any of the assets of Parent; (vii) no claim has ever been made by a Taxing Authority in a jurisdiction where Parent has not paid any Tax or filed Tax Returns, asserting that Parent is or may be subject to Tax in such jurisdiction, Parent is not nor has it ever been subject to Tax in any country other than the country of incorporation of Parent by virtue of having a permanent establishment or other place of business in that country, and Parent is and has always been tax resident solely in its country of incorporation; (viii) Parent has provided to the Company true, complete and correct copies of all Tax Returns (if any) relating to, and all audit reports and correspondence relating to each proposed adjustment (if any) made by any Taxing Authority with respect to, any taxable period ending after December 31, 2020; (ix) there is no outstanding power of attorney from Parent authorizing anyone to act on behalf of Parent in connection with any Tax, Tax Return or Action relating to any Tax or Tax Return of Parent; (x) Parent is not, and has never been, a party to any Tax sharing, allocation, indemnification or similar Contract; (xi) Parent is and has never been included in any consolidated, combined or unitary Tax Return and Parent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Parent), or has any liability for the Taxes of any Person (other than Parent)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 to the knowledge of Parent, no issue has been raised by a Taxing Authority in any prior Action relating to Parent with respect to any Tax for any period which, by application of the same or similar principles, could reasonably be expected to result in a proposed Tax deficiency of Parent for any other period; and (xiii) Parent has not requested any extension of time within which to file any Tax Return, which Tax Return has since not been filed.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304"/>
        <w:spacing w:after="0" w:line="253" w:lineRule="auto"/>
        <w:tabs>
          <w:tab w:leader="none" w:pos="16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Parent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Parent in filing its Tax Return.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been in compliance in all respects with all applicable transfer pricing laws and legal requirements. The prices for any property or services (or for the use of any property), including interest and other prices for financial services, provided by or to Parent are arm’s-length prices for purposes of the relevant transfer pricing laws.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9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 “United States real property holding corporation” within the meaning of Section 897(c)(2) of the Code at any time during the five-year period ending on the Closing Date.</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engaged in a “reportable transaction” within the meaning of United States Treasury regulations Section 1.6011-4(b).</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PARTIES PENDING CLOSING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Conduct of the Business</w:t>
      </w:r>
      <w:r>
        <w:rPr>
          <w:rFonts w:ascii="Times New Roman" w:cs="Times New Roman" w:eastAsia="Times New Roman" w:hAnsi="Times New Roman"/>
          <w:sz w:val="18"/>
          <w:szCs w:val="18"/>
          <w:color w:val="auto"/>
        </w:rPr>
        <w:t>. Each of the Company and Parent covenants and agrees that:</w:t>
      </w:r>
    </w:p>
    <w:p>
      <w:pPr>
        <w:spacing w:after="0" w:line="225" w:lineRule="exact"/>
        <w:rPr>
          <w:sz w:val="20"/>
          <w:szCs w:val="20"/>
          <w:color w:val="auto"/>
        </w:rPr>
      </w:pPr>
    </w:p>
    <w:p>
      <w:pPr>
        <w:jc w:val="both"/>
        <w:ind w:firstLine="1304"/>
        <w:spacing w:after="0" w:line="255" w:lineRule="auto"/>
        <w:tabs>
          <w:tab w:leader="none" w:pos="15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each party shall conduct business only in the ordinary course (including the payment of accounts payable and the collection of accounts receivable), consistent with past practices, and shall not enter into any material transactions outside the ordinary course of business without the prior written consent of the other party, and shall use its commercially reasonable efforts to preserve intact its business relationships with employees, clients, suppliers, contract manufacturing organizations, contract research organizations and other third parties. Without limiting the generality of the foregoing, from the date hereof through and including the Closing Date, without the other party’s prior written consent (which shall not be unreasonably conditioned, withheld or delayed), neither the Company nor Parent shall, and the Company shall cause its Subsidiaries not to:</w:t>
      </w:r>
    </w:p>
    <w:p>
      <w:pPr>
        <w:spacing w:after="0" w:line="188" w:lineRule="exact"/>
        <w:rPr>
          <w:rFonts w:ascii="Times New Roman" w:cs="Times New Roman" w:eastAsia="Times New Roman" w:hAnsi="Times New Roman"/>
          <w:sz w:val="18"/>
          <w:szCs w:val="18"/>
          <w:color w:val="auto"/>
        </w:rPr>
      </w:pPr>
    </w:p>
    <w:p>
      <w:pPr>
        <w:ind w:left="660" w:firstLine="1292"/>
        <w:spacing w:after="0" w:line="282" w:lineRule="auto"/>
        <w:tabs>
          <w:tab w:leader="none" w:pos="222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its certificate of incorporation or bylaws or other organizational or governing documents, or engage in any reorganization, reclassification, liquidation, dissolution or similar transaction;</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9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any provision of, terminate prior to its scheduled expiration date, or otherwise compromise in any way or relinquish any material right under, any Material Contract or other right or asset of the Company or Parent, as applicable;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5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modify, amend or enter into any contract, agreement, lease, license or commitment, including for capital expenditures, that would be considered a Material Contract if in effect on of the date hereof, except in the ordinary course of the Company’s business;</w:t>
      </w:r>
    </w:p>
    <w:p>
      <w:pPr>
        <w:spacing w:after="0" w:line="17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$200,000 (individually or in the aggregate);</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26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of the Company's or Parent's, as applicable, material assets, except pursuant to existing contracts or commitments disclosed herein or in the ordinary course of the Company’s business or Parent’s business (as applicable);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34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 declare or promise to pay any dividends or other distributions with respect to its capital stock or other equity securities; (B) pay, declare or promise to pay any other amount to any stockholder, shareholder or other equityholder in its capacity as such (which for the avoidance of doubt does not include payment of salary, benefits, commissions and other regular and necessary customary payments made in the ordinary course of business consistent with past practices); or (C) except as contemplated by any Additional Agreement, amend any term, right or obligation with respect to any outstanding shares of its capital stock or other equity securities;</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36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loan, advance or capital contribution to any Person; (B) incur any Indebtedness, including drawings under the lines of credit, if any, other than (1) loans evidenced by promissory notes made to Parent as working capital advances as described in the Prospectus and (2) intercompany Indebtedness; or (C) repay or satisfy any Indebtedness, other than the repayment of Indebtedness in accordance with the terms thereof (provided, however, that the Company shall not be permitted to repay or satisfy all or any portion of the SVB Loan);</w:t>
      </w:r>
    </w:p>
    <w:p>
      <w:pPr>
        <w:spacing w:after="0" w:line="179"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or incur any Lien, except for Permitted Liens, on the Company’s or Parent’s, as applicable, assets;</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3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accelerate or cancel, or waive any material right with respect to, any receivables or Indebtedness owed to the Company or Parent, as applicable, or write off or make reserves against the same;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ind w:left="-460" w:right="20" w:firstLine="1292"/>
        <w:spacing w:after="0" w:line="282" w:lineRule="auto"/>
        <w:tabs>
          <w:tab w:leader="none" w:pos="11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enter a similar transaction with, or acquire all or substantially all of the assets or business of, any other Person; make any material investment in any Person; or be acquired by any other Person;</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1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allow to lapse any insurance policy protecting any of the Company’s or Parent’s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79" w:lineRule="exact"/>
        <w:rPr>
          <w:rFonts w:ascii="Times New Roman" w:cs="Times New Roman" w:eastAsia="Times New Roman" w:hAnsi="Times New Roman"/>
          <w:sz w:val="18"/>
          <w:szCs w:val="18"/>
          <w:color w:val="auto"/>
        </w:rPr>
      </w:pPr>
    </w:p>
    <w:p>
      <w:pPr>
        <w:ind w:left="-460" w:firstLine="1292"/>
        <w:spacing w:after="0" w:line="282"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severance, retention or other employee plan or fail to continue to make timely contributions to each benefit plan in accordance with the terms thereof;</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31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settle or agree to settle any Action before any Authority, in each case in excess of $100,000 (exclusive of any amounts covered by insurance) or that imposes injunctive or other non-monetary relief on such party;</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30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U.S. GAAP, make any material change in its accounting principles, methods or practices or write down the value of its assets;</w:t>
      </w:r>
    </w:p>
    <w:p>
      <w:pPr>
        <w:spacing w:after="0" w:line="161" w:lineRule="exact"/>
        <w:rPr>
          <w:rFonts w:ascii="Times New Roman" w:cs="Times New Roman" w:eastAsia="Times New Roman" w:hAnsi="Times New Roman"/>
          <w:sz w:val="18"/>
          <w:szCs w:val="18"/>
          <w:color w:val="auto"/>
        </w:rPr>
      </w:pPr>
    </w:p>
    <w:p>
      <w:pPr>
        <w:ind w:left="1220" w:hanging="388"/>
        <w:spacing w:after="0"/>
        <w:tabs>
          <w:tab w:leader="none" w:pos="1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principal place of business or jurisdiction of organization;</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3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redeem or repurchase any Equity Interests (other than (A) with respect to the Company, the exercise of any Company Option outstanding on the date hereof or the exercise of the Company Warrant, (B) with respect to Parent, any redemption by Parent of Parent Class A Shares held by its public stockholder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or (C) with respect to Parent, as otherwise contemplated by this Agreement or any Additional Agreement);</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3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change any annual Tax accounting periods; (C) settle or compromise any material claim, notice, audit report or assessment in respect of Taxes of the Company; (D) enter into any Tax allocation, Tax sharing, Tax indemnity or other closing agreement relating to any Taxes of the Company; or (E) surrender or forfeit any right to claim a material Tax refund;</w:t>
      </w:r>
    </w:p>
    <w:p>
      <w:pPr>
        <w:spacing w:after="0" w:line="179" w:lineRule="exact"/>
        <w:rPr>
          <w:rFonts w:ascii="Times New Roman" w:cs="Times New Roman" w:eastAsia="Times New Roman" w:hAnsi="Times New Roman"/>
          <w:sz w:val="18"/>
          <w:szCs w:val="18"/>
          <w:color w:val="auto"/>
        </w:rPr>
      </w:pPr>
    </w:p>
    <w:p>
      <w:pPr>
        <w:ind w:left="-460" w:firstLine="1292"/>
        <w:spacing w:after="0" w:line="282" w:lineRule="auto"/>
        <w:tabs>
          <w:tab w:leader="none" w:pos="141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or distribute or advance any assets or property to any of its Affiliates, other than the payment of salary and benefits in the ordinary course;</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2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in the case of the Company, other than as required by a Plan, as set forth on </w:t>
      </w:r>
      <w:r>
        <w:rPr>
          <w:rFonts w:ascii="Times New Roman" w:cs="Times New Roman" w:eastAsia="Times New Roman" w:hAnsi="Times New Roman"/>
          <w:sz w:val="18"/>
          <w:szCs w:val="18"/>
          <w:u w:val="single" w:color="auto"/>
          <w:color w:val="auto"/>
        </w:rPr>
        <w:t>Schedule 7.1(a)(xix)</w:t>
      </w:r>
      <w:r>
        <w:rPr>
          <w:rFonts w:ascii="Times New Roman" w:cs="Times New Roman" w:eastAsia="Times New Roman" w:hAnsi="Times New Roman"/>
          <w:sz w:val="18"/>
          <w:szCs w:val="18"/>
          <w:color w:val="auto"/>
        </w:rPr>
        <w:t xml:space="preserve"> or as explicitly contemplated hereunder, (A) increase or make any material change in the compensation or benefits of any employee or other individual service provider of the Company other than in the ordinary course of the Company’s business consistent with past practice, (B) accelerate the vesting or payment of any compensation or benefits of any employee or other individual service provider of the Company, (C) terminate without “cause” any employee or other individual service provider of the Company, (D) hire or engage any new employee or other individual service provider of the Company if such new employee or individual service provider will receive annual base compensation in excess of $100,000, (E) make any loan to any present or former employee or other individual service provider of the Company, other than advancement of expenses in the ordinary course of business consistent with past practices, or (F) enter into, amend or terminate any collective bargaining agreement or other agreement with a labor union or labor organization;</w:t>
      </w:r>
    </w:p>
    <w:p>
      <w:pPr>
        <w:spacing w:after="0" w:line="3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1" w:name="page52"/>
    <w:bookmarkEnd w:id="51"/>
    <w:p>
      <w:pPr>
        <w:ind w:left="2340" w:hanging="388"/>
        <w:spacing w:after="0"/>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enter into any Affiliate Transactions;</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duly observe and conform in all material respects to all applicable Law, including the Exchange Act, and Orders; or</w:t>
      </w:r>
    </w:p>
    <w:p>
      <w:pPr>
        <w:spacing w:after="0" w:line="22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do any of the foregoing.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7" w:lineRule="auto"/>
        <w:tabs>
          <w:tab w:leader="none" w:pos="158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neither the Company, on the one hand, nor Parent, on the other hand, shall, and such Persons shall cause each of their respective officers, directors, Affiliates, managers, consultant, employees, representatives and agents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not to, directly or indirectly, (i) encourage, solicit, initiate, engage or participate in negotiations with any Person concerning any Alternative Transaction,</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intended or designed to facilitate the efforts of any Person relating to a possible Alternative Transaction or (iii) approve, recommend or enter into any Alternative Transaction or any Contract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any of the following transactions involving the Company or Parent (other than the transactions contemplated by this Agreement): (A) any merger, consolidation, share exchange, business combination or other similar transaction or (B) any sale, lease, exchange, transfer or other disposition of all or a material portion of (x) the assets of such Person (other than sales of inventory in the ordinary course of business) or (y) any class or series of the capital stock or other equity interests of the Company or Parent, as the case may be, in a single transaction or series of transactions.</w:t>
      </w:r>
    </w:p>
    <w:p>
      <w:pPr>
        <w:spacing w:after="0" w:line="192"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6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unsolicited proposal for, or an indication of interest in entering into, an Alternative Transaction, communicated in writing to the Company or Parent or any of their respective representatives or agents (each, an “</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such party shall as promptly as practicable (and in any event within one (1) Business Day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inquiring as to Parent’s interest in a potential target for a business combination; provided, however, that Parent shall inform the person initiating such communication of the existence of this Agreement.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From the date hereof through and including the Closing Date, the Company and Parent shall each, to the best of its ability, (a) continue to give the other party, its legal counsel and its other representatives full access to the offices, properties and Books and Records, (b) furnish to the other party, its legal counsel and its other representatives such information relating to the business of the Company and Parent as such Persons may request and (c) cause its employees, legal counsel, accountants and other representatives to cooperate with the other party in its investigation of the Business (in the case of the Company) or the business of Parent (in the case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any investigation made prior to the date hereof) shall affect any representation or warranty given by the Company or Parent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Company.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 Each of Parent and the Company shall promptly notify the other party of:</w:t>
      </w:r>
    </w:p>
    <w:p>
      <w:pPr>
        <w:spacing w:after="0" w:line="225" w:lineRule="exact"/>
        <w:rPr>
          <w:sz w:val="20"/>
          <w:szCs w:val="20"/>
          <w:color w:val="auto"/>
        </w:rPr>
      </w:pPr>
    </w:p>
    <w:p>
      <w:pPr>
        <w:jc w:val="both"/>
        <w:ind w:firstLine="1304"/>
        <w:spacing w:after="0" w:line="261" w:lineRule="auto"/>
        <w:tabs>
          <w:tab w:leader="none" w:pos="159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Company’s or Parent’s assets;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2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Authority in connection with the transactions contemplated by this Agreement or the Additional Agreements;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commenced or threatened against, relating to or involving or otherwise affecting either party or any of their stockholders or their equity, assets or business or that relate to the consummation of the transactions contemplated by this Agreement or the Additional Agreements;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 or circumstance which constitutes or results, or would reasonably be expected to constitute or result in a Material Adverse Change;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that would reasonably be expected to cause any of the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 not to be satisfied.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Cooperation with Form S-4/Proxy Statement; Other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6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provide to Parent such information concerning the Company and the Company Securityholders as is either required by the federal securities laws or reasonably requested by Parent for inclusion in the proxy statement/prospectus and Offer Documents. As promptly as practicable after the receipt by Parent from the Company of all such information, Parent and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Such proxy materials shall be in the form of a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which shall be included in a Registration Statement on Form S-4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filed by Parent with the SEC, pursuant to which the Parent Class A Shares issuable in the Merger shall be registered. Parent shall promptly respond to any SEC comments on the Form S-4. The Proxy Statement, the Form S-4 and the documents included or referred to therein, together with any supplements, amendments or exhibits thereto, are referred to herein as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304"/>
        <w:spacing w:after="0" w:line="252" w:lineRule="auto"/>
        <w:tabs>
          <w:tab w:leader="none" w:pos="16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(i) permit the Company and its counsel to review and comment on the Proxy Statement and Form S-4 and any exhibits, amendments or supplements thereto (or other related documents); (ii) shall consider any such comments in good faith; and (iii) consult with the Company and its counsel prior to filing the Proxy Statement and Form S-4 or any exhibit, amendment or supplement thereto.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 and, in each case, shall consult with the Company and its counsel concerning any such correspondence. Parent shall, with respect to, any response letters to any comments from the SEC consider any comments from the Company and its counsel in good faith. Parent will advise the Company, promptly after it receives notice thereof, of the time when the Proxy Statement or the S-4 or any amendment or supplement thereto has been filed with the SEC and the time when the Form S-4 declared effective or any stop order relating to the Form S-4 is issued. Except as otherwise required by applicable Law, Parent covenants that none of Parent, the Parent Board of Directors nor any committee of the Parent Board of Directors shall withdraw or modify, or propose publicly or by formal action of Parent, the Parent Board of Directors or any committee of the Parent Board of Directors to withdraw or modify, in a manner adverse to the Company, the Parent Board Recommendation or any other recommendation by Parent, the Parent Board of Directors or any committee of the Parent Board of Directors of in connection with any of the Parent Proposals.</w:t>
      </w:r>
    </w:p>
    <w:p>
      <w:pPr>
        <w:spacing w:after="0" w:line="19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on which the Form S-4 is declared effective by the SEC (such effective date,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Parent shall distribute the Proxy Statement to the holders of Parent Common Stock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Parent’s stockholders for approval or adoption at the Parent Stockholder Meeting, including the matters described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comply with all applicable provisions of and rules under the Securities Act and Exchange Act and all applicable Laws of the State of Delaware and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Effective Date, and the Proxy Statement, as of the date on which it is first distributed to Parent’s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responsible for the accuracy or completeness of any information relating to the Company or any other information furnished by the Company for inclusion in the Proxy Statement). The Company represents and warrants that the information relating to the Company supplied by the Company for inclusion in the Form S-4 or the Proxy Statement, as applicable, as of the Effective Date and the date on which the Proxy Statement (or any amendment or supplement thereto) is first distributed to Parent Stockholders or at the time of the Parent Stockholder Meeting, does not contain any untrue statement of a material fact or omit to state a material fact necessary in order to make the statements made, in light of the circumstances under which they were made, not misleading.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304"/>
        <w:spacing w:after="0" w:line="254" w:lineRule="auto"/>
        <w:tabs>
          <w:tab w:leader="none" w:pos="16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Parent’s amended and restated certificate of incorporation and applicable securities laws, rules and regulations, including the DGCL and rules and regulations of Nasdaq in the Proxy Statement, Parent shall seek from the holders of Parent Common Stock the approval of the following proposals: (i) the Parent Stockholder Approval; (ii) adoption and approval of 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including the change of the name of Parent to “Gemini Therapeutics, Inc.”; (iii) adoption and approval of the Amended and Restated Bylaws of Parent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(iv) approval of the Parent Equity Incentive Plan; (v) approval of the issuance of more than 20% of the issued and outstanding shares of Parent Common Stock to the Company Securityholders in connection with the Merger under applicable exchange listing rules; (vi) approval to adjourn the Parent Stockholder Meeting, if necessary; and (vii) approval to obtain any and all other approvals necessary or advisable to effect the consummation of the Merger as determined by Parent (the proposals set forth in the forgoing clauses (i) through (vii) collectively, the “</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with the assistance of the Company, shall use its reasonable best efforts to cause the S-4 and the Proxy Statement to “clear” comments from the SEC and the S-4 to become effective as promptly as reasonably practicable. The Offer Documents shall provide the public stockholders of Parent with the opportunity to redeem all or a portion of their public Parent Class A Shares, up to that number of Parent Class A Shares that would permit Parent to maintain net tangible assets of at least $5,000,001 (the “</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at a price per share determined in accordance with the Parent Certificate of Incorporation, all in accordance with applicable Law and any applicable rules and regulations of the SEC. In accordance with the Parent Certificate of Incorporation, the proceeds held in the Trust Account will be used for the redemption of the Parent Class A Shares held by Parent’s public stockholders who have elected to redeem such shares, if any.</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6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in this Agreement or any Additional Agreements, Parent may make any public filing with respect to the Merger to the extent required by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call and hold the Parent Stockholder Meeting as promptly as practicable after the Effective Date for the purpose of seeking the approval of each of the Parent Proposals, and Parent shall consult in good faith with the Company with respect to the date on which such meeting is to be held. Parent shall use reasonable best efforts to solicit from its stockholders proxies in favor of the approval and adoption of the Merger and this Agreement. The Company acknowledges that a substantial portion of the Proxy Statement shall include disclosure regarding the Company and its management, operations and financial condition. Accordingly, the Company agrees to as promptly as reasonably practical provide Parent with such information as shall be reasonably requested by Parent for inclusion in or attachment to the Proxy Statement, and that such information is accurate in all material respects and complies as to form in all material respects with the requirements of the Exchange Act and the rules and regulations promulgated thereunder. The Company understands that such information shall be included in the Proxy Statement/Form S-4 or responses to comments from the SEC or its staff in connection therewith. The Company shall make, and cause each Subsidiary to make, their managers, directors, officers and employees available to Parent and its counsel in connection with the drafting of such filings and mailings and responding in a timely manner to comments from the SEC.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Parent covenants that it shall cause the funds in the Trust Account to be disbursed in accordance with the Trust Agreement, including for the payment of (a) all amounts payable to public stockholders of Parent holding Parent Class A Shares who shall have validly redeemed their Parent Class A Shares upon acceptance by Parent of such Parent Class A Shares (the “</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(b) deferred underwriting commissions and the expenses to third parties to which they are owed, and (c) the remaining monies in the Trust Account to Parent after the Closing.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shall take all action necessary to cause Merger Sub to perform its obligations under this Agreement and to consummate the transactions contemplated under this Agreement, upon the terms and subject to the conditions set forth in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Private Placement, Parent Support Agreements</w:t>
      </w:r>
      <w:r>
        <w:rPr>
          <w:rFonts w:ascii="Times New Roman" w:cs="Times New Roman" w:eastAsia="Times New Roman" w:hAnsi="Times New Roman"/>
          <w:sz w:val="18"/>
          <w:szCs w:val="18"/>
          <w:color w:val="auto"/>
        </w:rPr>
        <w:t>. Neither Parent, Merger Sub or any of their respective Affiliates or representatives shall make or agree to any amendments, changes, modifications or waivers (except, in each case, with respect to ministerial changes that do not have an economic impact) to any of the Subscription Agreements, without the prior written consent of the Company, which consent shall not be unreasonably withheld, conditioned or delayed.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Reporting; Compliance with Laws</w:t>
      </w:r>
      <w:r>
        <w:rPr>
          <w:rFonts w:ascii="Times New Roman" w:cs="Times New Roman" w:eastAsia="Times New Roman" w:hAnsi="Times New Roman"/>
          <w:sz w:val="18"/>
          <w:szCs w:val="18"/>
          <w:color w:val="auto"/>
        </w:rPr>
        <w:t>. From the date hereof through and including the Closing Date:</w:t>
      </w:r>
    </w:p>
    <w:p>
      <w:pPr>
        <w:spacing w:after="0" w:line="225" w:lineRule="exact"/>
        <w:rPr>
          <w:sz w:val="20"/>
          <w:szCs w:val="20"/>
          <w:color w:val="auto"/>
        </w:rPr>
      </w:pPr>
    </w:p>
    <w:p>
      <w:pPr>
        <w:jc w:val="both"/>
        <w:ind w:firstLine="1304"/>
        <w:spacing w:after="0" w:line="258" w:lineRule="auto"/>
        <w:tabs>
          <w:tab w:leader="none" w:pos="159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duly and timely file all material Tax Returns required to be filed with the applicable Taxing Authorities and pay any and all Taxes due and payable during such time period. The Company shall prepare, or cause to be prepared, each such material Tax Return in a manner consistent with the Company’s past practice. The Company shall provide each such Tax Return to Parent for review and comment as soon as reasonably practicable before the due date of each such Tax Return and not file such Tax Returns without the prior written consent of Parent (such consent not to be unreasonably withheld, conditioned or delayed).</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Commercially Reasonable Efforts to Obtain Consents</w:t>
      </w:r>
      <w:r>
        <w:rPr>
          <w:rFonts w:ascii="Times New Roman" w:cs="Times New Roman" w:eastAsia="Times New Roman" w:hAnsi="Times New Roman"/>
          <w:sz w:val="18"/>
          <w:szCs w:val="18"/>
          <w:color w:val="auto"/>
        </w:rPr>
        <w:t xml:space="preserve">. The Company shall use its commercially reasonable efforts to obtain each Company Consent set forth on </w:t>
      </w:r>
      <w:r>
        <w:rPr>
          <w:rFonts w:ascii="Times New Roman" w:cs="Times New Roman" w:eastAsia="Times New Roman" w:hAnsi="Times New Roman"/>
          <w:sz w:val="18"/>
          <w:szCs w:val="18"/>
          <w:u w:val="single" w:color="auto"/>
          <w:color w:val="auto"/>
        </w:rPr>
        <w:t>Schedule 8.2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Company’s Stockholders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and in any event within two (2) Business Days following the Effective Date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 Written Consent Deadline</w:t>
      </w:r>
      <w:r>
        <w:rPr>
          <w:rFonts w:ascii="Times New Roman" w:cs="Times New Roman" w:eastAsia="Times New Roman" w:hAnsi="Times New Roman"/>
          <w:sz w:val="18"/>
          <w:szCs w:val="18"/>
          <w:color w:val="auto"/>
        </w:rPr>
        <w:t>”), the Company shall obtain and deliver to Parent a true, complete and correct copy of a written consent (in form and substance reasonably satisfactory to Parent and certified by an executive officer of the Company) evidencing the Company Stockholder Approval that is duly executed by the Company Stockholders that hold at least the requisite number and class of issued and outstanding shares of Company Capital Stock required to obtain the Company Stockholder Approval (the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60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Company’s Board of Directors, nor any committee thereof, shall withhold, withdraw, amend, modify, change or propose or resolve to withhold, withdraw, amend, modify or change, in each case in a manner adverse to Parent, the Company Board Recommendation.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6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obtained prior to the initiation of the requisite Company Stockholder approval procedure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8.4(b)</w:t>
      </w:r>
      <w:r>
        <w:rPr>
          <w:rFonts w:ascii="Times New Roman" w:cs="Times New Roman" w:eastAsia="Times New Roman" w:hAnsi="Times New Roman"/>
          <w:sz w:val="18"/>
          <w:szCs w:val="18"/>
          <w:color w:val="auto"/>
        </w:rPr>
        <w:t xml:space="preserve"> below, a waiver of the right to receive payments that could constitute “parachute payments” under Section 280G of the Code and regulations promulgated thereunder (a “</w:t>
      </w:r>
      <w:r>
        <w:rPr>
          <w:rFonts w:ascii="Times New Roman" w:cs="Times New Roman" w:eastAsia="Times New Roman" w:hAnsi="Times New Roman"/>
          <w:sz w:val="18"/>
          <w:szCs w:val="18"/>
          <w:u w:val="single" w:color="auto"/>
          <w:color w:val="auto"/>
        </w:rPr>
        <w:t>Parachute Payment Waiver</w:t>
      </w:r>
      <w:r>
        <w:rPr>
          <w:rFonts w:ascii="Times New Roman" w:cs="Times New Roman" w:eastAsia="Times New Roman" w:hAnsi="Times New Roman"/>
          <w:sz w:val="18"/>
          <w:szCs w:val="18"/>
          <w:color w:val="auto"/>
        </w:rPr>
        <w:t xml:space="preserve">”), in a form reasonably acceptable to Parent, from each Person whom the Company and/or Parent reasonably believes is, with respect to the Company, a “disqualified individual” (within the meaning of Section 280G of the Code and the regulations promulgated thereunder), as determined immediately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and whom the Company and/or Parent believes might otherwise receive, have received, or have the right or entitlement to receive any parachute payment under Section 280G of the Code, and the Company shall have delivered each such Parachute Payment Waiver to Parent on or before the Closing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reasonable best efforts to obtain the approval by such number of Company Stockholders as is required by the terms of Section 280G(b)(5)(B) of the Code so as to render the parachute payment provisions of Section 280G of the Code inapplicable to any and all payments and/or benefits provided pursuant to contracts or arrangements that, in the absence of the executed Parachute Payment Waivers by the affected Persons under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above, might otherwise result, separately or in the aggregate, in the payment of any amount and/or the provision of any benefit that would not be deductible by reason of Section 280G of the Code, with such Company Stockholder approval to be obtained in a manner which satisfies all applicable requirements of such Section 280G(b)(5)(B) of the Code and the Treasury Regulations thereunder, including Q-7 of Section 1.280G-I of such Treasury Regulations. The Company shall forward to Parent, and allow Parent to review and comment upon, prior to submission to the Company Stockholders, copies of all material documents prepared for purposes of complying with this provision and shall consider any such reasonable comments in good faith.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ALL PARTIES HERETO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Commercially Reasonable Efforts; Further Assurances; Governmental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6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otherwise subject to the terms and conditions of this Agreement, each party (other than the Stockholders’ Representative)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(other than the Stockholders’ Representative)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304"/>
        <w:spacing w:after="0" w:line="252" w:lineRule="auto"/>
        <w:tabs>
          <w:tab w:leader="none" w:pos="162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otherwise subject to applicable Law, each of the Company and Parent agrees to (i)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apprised of the status of matters relating to the completion of the transactions contemplated by this Agreement, including promptly furnishing the other with copies of notices or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 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of clauses (ii), (iii) and (iv) above, that materials may be redacted (A) to remove references concerning the valuation of such party and its Affiliates, (B) as necessary to comply with contractual arrangements or applicable Laws, and (C) as necessary to address reasonable attorney-client or other privilege or confidentiality concerns.</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necessary to complete the Offer Documents or any Other Filings, the Company, on the one hand, and Parent and Merger Sub, on the other hand, shall hold and shall cause their respective representatives to hold in strict confidence, unless compelled to disclose by judicial or administrative process or by other requirements of Law, all documents and information concerning the other party furnished to it by such other party or its representatives in connection with the transactions contemplated by this Agreement (except to the extent that such information can be shown to have been (a) previously known by the party to which it was furnished, (b) in the public domain through no fault of such party or (c) later lawfully acquired from another source, which source is not the agent of the other party and is not under any obligation of confidentiality with respect to such information); and no party shall release or disclose such information to any other Person, except its representatives in connection with this Agreement. In the event that any party believes that it is required to disclose any such confidential information pursuant to applicable Law, to the extent legally permissible, such party shall give timely written notice to the other party so that such party may have an opportunity to obtain a protective order or other appropriate relief. Each party shall be deemed to have satisfied its obligations to hold confidential information concerning or supplied by the other party if it exercises the same care as it takes to preserve confidentiality for its own similar information. The parties acknowledge that some previously confidential information will be required to be disclosed in the Offer Documents and Other Filings. Notwithstanding anything in this Agreement to the contrary, following the Closing, the Stockholders’ Representative shall be permitted to disclose information as required by Law or to employees, advisors, agents or consultants of the Stockholders’ Representative and to the Company Securityholders, in each case who have a need to know such information, provided that such persons are subject to confidentiality obligations with respect thereto.</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Directors’ and Officers’ Indemnification and Liability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for acts or omissions occurring through the Closing Date now existing in favor of the current directors and officers of the Company and Parent as provided in their respective organizational documents or in any indemnification agreements shall survive the applicable Merger and shall continue in full force and effect in accordance with their terms.</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and the Company shall reasonably cooperate in order to obtain directors’ and officers’ liability insurance for Parent and the Company that shall be effective as of Closing and will cover (i) those Persons who were directors and officers of the Company prior to the Closing and (ii) those Persons who will be the directors and officers of Parent and its subsidiaries (including the Company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the Company.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304"/>
        <w:spacing w:after="0" w:line="266" w:lineRule="auto"/>
        <w:tabs>
          <w:tab w:leader="none" w:pos="15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be permitted to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substantially equivalent to the current policies of directors’ and officers’ liability insurance maintained by the Company with respect to matters arising on or before the Effective Time, covering without limitation the transactions contemplated hereby (the “</w:t>
      </w:r>
      <w:r>
        <w:rPr>
          <w:rFonts w:ascii="Times New Roman" w:cs="Times New Roman" w:eastAsia="Times New Roman" w:hAnsi="Times New Roman"/>
          <w:sz w:val="18"/>
          <w:szCs w:val="18"/>
          <w:u w:val="single" w:color="auto"/>
          <w:color w:val="auto"/>
        </w:rPr>
        <w:t>Tail Policy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Parent shall use its reasonable best efforts to cause (a) Parent’s initial listing application with the Nasdaq in connection with the transactions contemplated by this Agreement to have been approved; (b) all applicable initial and continuing listing requirements of the Nasdaq to be satisfied; and (c) the Closing Payment Shares, to be approved for listing on the Nasdaq, subject to official notice of issuance, in each case, as promptly as reasonably practicable after the date of this Agreement and in any event prior to the Effective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6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Affiliates to) provide any information reasonably requested to allow Parent to comply with any information reporting or withholding requirements contained in the Code or other applicable Laws with respect to the transactions contemplated by, or any payment made in connection with,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9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value added, goods and services, stamp, registration, notarial fees and other similar Taxes and fees (collectively,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the Company Securityholders and Parent will, and will cause their respective Affiliates to, cooperate and join in the execution of any such Tax Returns and other documentation, as applicable. Each party (other than the Stockholders’ Representative) shall (and shall cause its Affiliates to) provide certificates or forms, and timely execute any Tax Return, that are necessary or appropriate to establish an exemption for (or reduction in) any Transfer Tax.</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Prior to the Effective Date, Parent shall adopt a new equity incentive plan in substantially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with such changes or modifications thereto as the Company and Parent may mutually agree (such agreement not to be unreasonably withheld, conditioned or delayed by either the Company or Parent, as applicable) (the “</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effective as of one day prior to the Closing Date. The Parent Equity Incentive Plan shall have such number of shares available for issuance as mutually determined by the Company and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shares of Company Common Stock that remain reserved for issuance under the Equity Incentive Plans shall be converted into shares of Parent Class A Common Stock reserved or available for issuance under the Parent Equity Incentive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Condition to the Obligations of the Parties</w:t>
      </w:r>
      <w:r>
        <w:rPr>
          <w:rFonts w:ascii="Times New Roman" w:cs="Times New Roman" w:eastAsia="Times New Roman" w:hAnsi="Times New Roman"/>
          <w:sz w:val="18"/>
          <w:szCs w:val="18"/>
          <w:color w:val="auto"/>
        </w:rPr>
        <w:t>. The obligations of all of the parties to consummate the Merger are subject to the satisfaction of all the following conditions: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No provisions of any applicable Law and no Order shall restrain or prohibit or impose any condition on the consummation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ind w:left="1600" w:hanging="296"/>
        <w:spacing w:after="0"/>
        <w:tabs>
          <w:tab w:leader="none" w:pos="1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consent or approval required to be obtained from any Authority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shall have been obtained.</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Action brought by any governmental Authority to enjoin or otherwise restrict the consummation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ind w:right="20" w:firstLine="1304"/>
        <w:spacing w:after="0" w:line="282" w:lineRule="auto"/>
        <w:tabs>
          <w:tab w:leader="none" w:pos="160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have redeemed the Parent Class A Shares in an amount that would cause Parent to have net tangible assets of less than $5,000,001 upon consummation of the Merger.</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Proposals shall have been duly approved at the Parent Stockholder Meeting;</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 of Parent and Merger Sub to consummate the Merger is subject to the satisfaction, or the waiver in Parent’s sole and absolute discretion, of all the following further conditions:</w:t>
      </w:r>
    </w:p>
    <w:p>
      <w:pPr>
        <w:spacing w:after="0" w:line="162" w:lineRule="exact"/>
        <w:rPr>
          <w:sz w:val="20"/>
          <w:szCs w:val="20"/>
          <w:color w:val="auto"/>
        </w:rPr>
      </w:pPr>
    </w:p>
    <w:p>
      <w:pPr>
        <w:jc w:val="both"/>
        <w:ind w:firstLine="1304"/>
        <w:spacing w:after="0" w:line="266" w:lineRule="auto"/>
        <w:tabs>
          <w:tab w:leader="none" w:pos="161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(disregarding all qualifications and exceptions contained therein relating to materiality or Material Adverse Effect), other than the Company Fundamental Representations,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1304"/>
        <w:spacing w:after="0" w:line="261" w:lineRule="auto"/>
        <w:tabs>
          <w:tab w:leader="none" w:pos="159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received a certificate signed by the Chief Executive Officer or the Chief Financial Officer certifying the accuracy of the provisions of the foregoing clauses (a), (b) and (c)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signed by the Secretary of the Company attaching true and correct copies of (i) the Company Certificate of Incorporation and by-laws, certified as of a recent date by the. Secretary of State of the State of Delaware; (ii) copies of resolutions duly adopted by the Board of Directors of the Company authorizing this Agreement, the Additional Agreements to which the Company is a party and the transactions contemplated hereby and thereby and the Company Stockholder Written Consent; and (iii) a certificate of good standing of the Company, certified as of a recent date by the Secretary of State of the State of Delaware.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6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Registration Rights Agreement.</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and Sponsor a copy of the Escrow Agreement, duly executed by the Company.</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Voting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 Material Adverse Effect since the date hereof that is continuing.</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three percent (3%) of the issued and outstanding shares of Company Common Stock (including shares of Company Common Stock issuable upon conversion of Company Preferred Stock) shall continue Dissenting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substantially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evidence, in form and substance reasonably acceptable to Parent, that (x) each of the Contracts set forth on Schedule 10.2(l) has been terminated without any further obligations of the Company and (y) the Convertible Notes have been converted into Company Series B Preferred Stock prior to Closing.</w:t>
      </w:r>
    </w:p>
    <w:p>
      <w:pPr>
        <w:spacing w:after="0" w:line="17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each Company Consent set forth on Schedule 10.2(m).</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evidence of termination of the Equity Incentive Plans in accordance with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304"/>
        <w:spacing w:after="0" w:line="266" w:lineRule="auto"/>
        <w:tabs>
          <w:tab w:leader="none" w:pos="160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the consent of the holders of outstanding awards under the Equity Incentive Plans, to ensure that no more than five percent (5%) of the outstanding equity and equity-based awards under the Equity Incentive Plans accelerate in connection with the Closing or otherwise as a result of the transactions contemplated by this Agreement.</w:t>
      </w:r>
    </w:p>
    <w:p>
      <w:pPr>
        <w:spacing w:after="0" w:line="17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to Parent a copy of each Additional Agreement to which it or any of its stockholders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party.</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69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copies of the Lockup Agreements, duly executed by each of the Company Securityholders set forth on </w:t>
      </w:r>
      <w:r>
        <w:rPr>
          <w:rFonts w:ascii="Times New Roman" w:cs="Times New Roman" w:eastAsia="Times New Roman" w:hAnsi="Times New Roman"/>
          <w:sz w:val="18"/>
          <w:szCs w:val="18"/>
          <w:u w:val="single" w:color="auto"/>
          <w:color w:val="auto"/>
        </w:rPr>
        <w:t>Schedule 10.2(q)</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Merger is subject to the satisfaction, or the waiver in the Company’s sole and absolute discretion, of all of the following further conditions:</w:t>
      </w:r>
    </w:p>
    <w:p>
      <w:pPr>
        <w:spacing w:after="0" w:line="162" w:lineRule="exact"/>
        <w:rPr>
          <w:sz w:val="20"/>
          <w:szCs w:val="20"/>
          <w:color w:val="auto"/>
        </w:rPr>
      </w:pPr>
    </w:p>
    <w:p>
      <w:pPr>
        <w:jc w:val="both"/>
        <w:ind w:firstLine="1304"/>
        <w:spacing w:after="0" w:line="266" w:lineRule="auto"/>
        <w:tabs>
          <w:tab w:leader="none" w:pos="16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contained in this Agreement (disregarding all qualifications contained therein relating to materiality or Material Adverse Effect), other than the Parent Fundamental Representations, shall be true and correct as of the date of this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Parent or on Parent’s ability to consummate the transactions contemplated by this Agreement and the Additional Agreements.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2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shall have been filed with, and declared effective by, the Delaware Secretary of State.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9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certificate signed by an authorized officer of Parent accuracy of the provisions of the foregoing clauses (a), (b) and (c)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Registration Rights Agreement.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Escrow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1600" w:hanging="296"/>
        <w:spacing w:after="0"/>
        <w:tabs>
          <w:tab w:leader="none" w:pos="16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Sponsor shall have executed and delivered to Parent a copy of the Voting Agreement.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executed and delivered to the Company a copy of each Additional Agreement to which it or any of its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party.</w:t>
      </w:r>
    </w:p>
    <w:p>
      <w:pPr>
        <w:spacing w:after="0" w:line="207" w:lineRule="exact"/>
        <w:rPr>
          <w:sz w:val="20"/>
          <w:szCs w:val="20"/>
          <w:color w:val="auto"/>
        </w:rPr>
      </w:pPr>
    </w:p>
    <w:p>
      <w:pPr>
        <w:ind w:left="1560" w:hanging="256"/>
        <w:spacing w:after="0"/>
        <w:tabs>
          <w:tab w:leader="none" w:pos="15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size and composition of the post-Closing Parent Board of Directors shall have been appointed as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Transaction Proceeds shall be equal to or greater than $170,000,000.</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Closing Payment Shares shall have been approved for listing on Nasdaq.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Indemnification of Parent</w:t>
      </w:r>
      <w:r>
        <w:rPr>
          <w:rFonts w:ascii="Times New Roman" w:cs="Times New Roman" w:eastAsia="Times New Roman" w:hAnsi="Times New Roman"/>
          <w:sz w:val="18"/>
          <w:szCs w:val="18"/>
          <w:color w:val="auto"/>
        </w:rPr>
        <w:t>. From and after the Closing, the Escrow Participants shall, severally and not jointly, indemnify and hold harmless Parent, its officers, directors and Affiliates and their respective successors and permitted assigns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and in respect of any and all out-of-pocket loss, cost, payment, demand, penalty, forfeiture, expense, liability, judgment, deficiency or damage (including actual costs of investigation and attorneys’ fees and other costs and expenses) (all of the foregoing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incurred or sustained by Parent as a result of (a) any breach or inaccuracy of any of the representations or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Schedules) or in the Company Certificate, in each case, for the avoidance of doubt, as of the date of this Agreement or the Closing Date or such other date as expressly set forth in such representation or warranty; or (b) any breach or nonfulfillment of any covenants of the Company contained in this Agreement to be performed at or prior to the Closing Date. Notwithstanding anything in this Agreement to the contrary, the maximum liability of the Escrow Participants under this Agreement, including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otherwise in connection with the transactions contemplated by this Agreement, shall in no event exceed an amount equal to (i) the Escrow Share Value, </w:t>
      </w:r>
      <w:r>
        <w:rPr>
          <w:rFonts w:ascii="Times New Roman" w:cs="Times New Roman" w:eastAsia="Times New Roman" w:hAnsi="Times New Roman"/>
          <w:sz w:val="18"/>
          <w:szCs w:val="18"/>
          <w:i w:val="1"/>
          <w:iCs w:val="1"/>
          <w:u w:val="single" w:color="auto"/>
          <w:color w:val="auto"/>
        </w:rPr>
        <w:t>multiplied</w:t>
      </w:r>
      <w:r>
        <w:rPr>
          <w:rFonts w:ascii="Times New Roman" w:cs="Times New Roman" w:eastAsia="Times New Roman" w:hAnsi="Times New Roman"/>
          <w:sz w:val="18"/>
          <w:szCs w:val="18"/>
          <w:color w:val="auto"/>
        </w:rPr>
        <w:t xml:space="preserve"> by (ii) the Escrow Shares (the “</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Parent shall not be entitled to indemnification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unless and until the aggregate amount of Losses incurred by Parent equals at least $1,612,500 (the “</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at which time, subject to the Indemnifiable Loss Limit, Parent shall be entitled to indemnification for any and all Losses above the Basket. The Escrow Participants shall have no liability or obligation to indemnify Parent or any other Indemnified Party under this Agreement with respect to the breach or inaccuracy of any representation or warranty, based on any matter, fact or circumstance Known by Parent on the date of this Agreement.</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The following shall apply with respect to all claims by an Indemnified Party for indemnification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6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Party shall give the Stockholders’ Representative prompt notice (an “</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of (i) any event, circumstance, development, state of facts or occurrence of which such Indemnified Party is aware that resulted or may result in any Losses by any Indemnified Party with respect to which such Indemnified Party seeks indemnification pursuant to this Agreement and/or (ii) any third-party action with respect to which such Indemnified Party seeks indemnification pursuant to this Agreement (a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which shall describe in reasonable detail the Loss that has been or may be suffered by the Indemnified Party. The failure to promptly give the Indemnification Notice shall not impair any of the rights or benefits of such Indemnified Party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except to the extent such failure materially prejudices the ability of the Stockholders’ Representative, on behalf of the Escrow Participants (the “</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to defend such claim or increases the amount of such liability.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304"/>
        <w:spacing w:after="0" w:line="258" w:lineRule="auto"/>
        <w:tabs>
          <w:tab w:leader="none" w:pos="160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Third-Party Claims as to which indemnification is sought by any Indemnified Party, such Indemnified Party shall be entitled, at the sole expense and liability of the Escrow Participants, to exercise full control of the defense, compromise or settlement of any Third-Party Claim unless the Stockholders’ Representative, within a reasonable time after the giving of an Indemnification Notice by the Indemnified Party (but in any event within twenty (20) Business Days thereafter), shall (x) notify such Indemnified Party in writing of the intention of the Indemnifying Parties to assume the defense thereof and (y) retain legal counsel reasonably satisfactory to the Indemnified Party to conduct the defense of such Third-Party Claim.</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3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on behalf of the Indemnifying Parties, assumes the defense of any such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then the Indemnified Party shall cooperate with the Stockholders’ Representative in any manner reasonably requested in connection with the defense, and the Indemnified Party shall have the right to be kept fully informed by the Stockholders’ Representative and its legal counsel with respect to the status of any legal proceedings, to the extent not inconsistent with the preservation of attorney-client or work product privilege. If the Stockholders’ Representative so assumes the defense of any such Third-Party Claim the Indemnified Party shall have the right to employ separate counsel and to participate in (but not control) the defense, compromise or settlement thereof, but the fees and expenses of such counsel employed by the Indemnified Party shall be at the expense of such Indemnified Party unless (i) the Stockholders’ Representative has agreed, on behalf of the Indemnifying Parties, to pay such fees and expenses or (ii) the named parties to any such Third-Party Claim (including any impleaded parties) include an Indemnified Party and an Indemnifying Party and such Indemnified Party shall have been advised by its counsel that there may be a conflict of interest between such Indemnified Party and the Indemnifying Parties in the conduct of the defense thereof, in which event the reasonable documented out-of-pocket fees and expenses of such separate counsel of the Indemnified Party shall be borne by the Indemnifying Parties, subject to the limitations set forth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7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elects to assume the defense of any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the Indemnified Party shall not pay, or permit to be paid, any part of any claim or demand arising from such asserted liability unless the Stockholders’ Representative withdraws from or fails to adequately prosecute the defense of such asserted liability or Third-Party Claim, or unless a judgment is entered against the Indemnified Party for such liability by an Authority of competent jurisdiction. If the Stockholders’ Representative does not elect to defend, or if, after commencing or undertaking any such defense, the Stockholders’ Representative withdraws from or fails to adequately prosecute such defense, the Indemnified Party shall have the right to undertake the defense or settlement thereof, at the Indemnifying Parties’ expense,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Notwithstanding anything to the contrary, the Stockholders’ Representative shall not be entitled to control, but may participate in, and the Indemnified Parties (at the expense of the Indemnifying Parties) shall be entitled to have sole control over, the defense or settlement of (x) that part of any Third-Party Claim (i) that seeks a temporary restraining order, a preliminary or permanent injunction or specific performance against such Indemnified Parties, or (ii) to the extent such Third-Party Claim involves criminal allegations against such Indemnified Parties or (y) the entire Third-Party Claim if such Third-Party Claim would impose liability on the part of such Indemnified Party in an amount which is greater than the amount as to which such Indemnified Party is entitled to indemnification under this Agreement. In the event the Indemnified Parties retain control of the Third-Party Claim, the Indemnified Parties will not settle the subject claim without the prior written consent of the Stockholders’ Representative, which consent will not be unreasonably withheld or delayed.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304"/>
        <w:spacing w:after="0" w:line="253" w:lineRule="auto"/>
        <w:tabs>
          <w:tab w:leader="none" w:pos="16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Indemnified Party undertakes the defense of any such Third-Party Claim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proposes to settle the same prior to a final judgment thereon or to forgo appeal with respect thereto, then the Indemnified Party shall give the Stockholders’ Representative prompt written notice thereof and the Stockholders’ Representative (on behalf of the Indemnifying Parties) shall have the right to participate in the settlement, assume or reassume the defense thereof or prosecute such appeal, in each case at the Indemnifying Parties’ expense. The Stockholders’ Representative shall not, without the prior written consent of such Indemnified Party settle or compromise or consent to entry of any judgment with respect to any such Third-Party Claim (i) in which any relief other than the payment of money damages is or may be sought against such Indemnified Party, (ii) in which such Third-Party Claim could be reasonably expected to impose or create a monetary liability on the part of the Indemnified Party (such as an increase in the Indemnified Party’s income Tax liability), other than the monetary claim of the third party in such Third-Party Claim being paid pursuant to such settlement or judgment, or (iii) which does not include as an unconditional term thereof the giving by the claimant, person conducting such investigation or initiating such hearing, plaintiff or petitioner to such Indemnified Party of a release from all liability with respect to such Third-Party Claim and all other actions (known or unknown) arising or which might arise out of the same facts.</w:t>
      </w:r>
    </w:p>
    <w:p>
      <w:pPr>
        <w:spacing w:after="0" w:line="191" w:lineRule="exact"/>
        <w:rPr>
          <w:rFonts w:ascii="Times New Roman" w:cs="Times New Roman" w:eastAsia="Times New Roman" w:hAnsi="Times New Roman"/>
          <w:sz w:val="18"/>
          <w:szCs w:val="18"/>
          <w:color w:val="auto"/>
        </w:rPr>
      </w:pPr>
    </w:p>
    <w:p>
      <w:pPr>
        <w:jc w:val="both"/>
        <w:ind w:firstLine="1304"/>
        <w:spacing w:after="0" w:line="282"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disinterested members of the Board of Directors of Parent shall have the authority to institute and prosecute any claims for indemnification hereunder in good faith on behalf of Parent or any other Indemnified Party to enforce the terms of this Agreement.</w:t>
      </w:r>
    </w:p>
    <w:p>
      <w:pPr>
        <w:spacing w:after="0" w:line="16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Escrow of Escrow Shares by Escrow Participants</w:t>
      </w:r>
      <w:r>
        <w:rPr>
          <w:rFonts w:ascii="Times New Roman" w:cs="Times New Roman" w:eastAsia="Times New Roman" w:hAnsi="Times New Roman"/>
          <w:sz w:val="18"/>
          <w:szCs w:val="18"/>
          <w:color w:val="auto"/>
        </w:rPr>
        <w:t>. The Company and the Company Securityholders hereby authorize Parent to deliver the Escrow Shares to the Escrow Agent to be held in escrow (such Escrow Shares, together with any dividends or other distributions of any kind made in respect thereof and any earnings thereon, the “</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pursuant to the Escrow Agreement. For purposes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Escrow Shares are valued at the greater of: (a) $10.00 per share and (b) the VWAP (the “</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1304"/>
        <w:spacing w:after="0" w:line="258" w:lineRule="auto"/>
        <w:tabs>
          <w:tab w:leader="none" w:pos="16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of any kind made in respect of the Escrow Shares will be delivered promptly to the Escrow Agent to be held in escrow pursuant to the terms of the Escrow Agreement. Each Escrow Participant shall be entitled to vote such Escrow Participant’s Pro Rata Portion of the Escrow Shares on any matters to come before the stockholders of Parent. It is intended that for U.S. federal (and applicable state, local and foreign) income tax purposes that while the Escrow Shares are held by the Escrow Agent, the Escrow Participants shall be treated as owners of the Escrow Shares, and to the extent required by applicable Law, the Escrow Agent shall report in a manner consistent with such treatment.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times provided for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the Escrow Shares shall be distributed to each Escrow Participant in accordance with such Escrow Participant’s Pro Rata Portion. Parent will take such action as may be necessary to cause such securities to be issued in the names of the appropriate Persons. Certificates representing Escrow Shares so issued that are subject to resale restrictions under applicable securities laws will bear a legend to that effect. No fractional shares shall be released and delivered from the Escrow Fund and all fractional shares shall be rounded to the nearest whole share.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Escrow Shares or any beneficial interest therein may be pledged, sold, assigned or transferred, including by operation of law, by the Escrow Participants or be taken or reached by any legal or equitable process in satisfaction of any debt or other liability of the Escrow Participants, prior to the delivery to such Escrow Participants of the Escrow Fund by the Escrow Agent as provided herein.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304"/>
        <w:spacing w:after="0" w:line="253" w:lineRule="auto"/>
        <w:tabs>
          <w:tab w:leader="none" w:pos="160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five (5) Business Days, following expiration of the Survival Period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the Escrow Shares,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number of Escrow Shares (at an assumed value equal to the Escrow Share Value per Escrow Share) reasonably necessary to serve as security for Losses set forth in any Indemnification Notice delivered by Parent prior to the expiration of the Survival Period with respect to any claims for indemnification that remain pending and unresolved as of the Release Date, will be released from escrow to the Escrow Participants (in accordance with each Escrow Participant’s Pro Rata Portion). The Stockholders’ Representative and Parent shall jointly issue to the Escrow Agent a certificate executed by each of them instructing the Escrow Agent to release such number of Escrow Shares (in accordance with each Escrow Participant’s Pro Rata Portion) determined in accordance with this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xml:space="preserve">. Promptly, but in no event later than five (5) Business Days, following the resolution, in accordance with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of any claim(s) for indemnification that remain unresolved as of the Release Date, the Stockholders’ Representative and Parent shall jointly issue to the Escrow Agent a certificate executed by each of them instructing the Escrow Agent to release to each Escrow Participant (in accordance with such Escrow Participant’s Pro Rata Portion) the number of Escrow Shares retained in escrow as a result of such claim(s) following the resolution of such claim(s) and not released to Parent. Any Escrow Shares received by Parent as an indemnification payment shall be promptly cancelled by Parent after its receipt thereof.</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Payment of Indemnification</w:t>
      </w:r>
      <w:r>
        <w:rPr>
          <w:rFonts w:ascii="Times New Roman" w:cs="Times New Roman" w:eastAsia="Times New Roman" w:hAnsi="Times New Roman"/>
          <w:sz w:val="18"/>
          <w:szCs w:val="18"/>
          <w:color w:val="auto"/>
        </w:rPr>
        <w:t xml:space="preserve">. In the event that Parent is entitled to indemnification for any Losses pursuant to this Agreement or otherwise in connection with the transactions contemplated by this Agreement, Parent’s sole and exclusive remedy for such Losses shall be the recovery of a number of Parent Class A Shares from the then-remaining Escrow Shares having a value equal to the Losses that have been finally determined to be owing to Parent in accordance with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(at an assumed value equal to the Escrow Share Value per Escrow Share), in each case,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payments to Parent from the Escrow Shares (a) is intended to comply with, and shall be effected in accordance with, Rev. Proc. 84-42, 1984-1 C.B. 521 and (b) shall be treated as a reduction in the number of Parent Class A Shares issued to the Escrow Participants for U.S. federal (and applicable state, local, and foreign) income Tax purposes except to the extent otherwise required pursuant to a “determination” (as defined in Section 1313(a) of the Code or any similar provision of state, local or foreign Law) or with respect to any amounts treated as imputed interest under Section 483 of the Code.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In calculating amounts of Losses payable to an Indemnified Party hereunder, the amount of any indemnified Losses shall be determined net of amounts actually recovered by the applicable Indemnified Party under any insurance policy or other third party reimbursement actually received.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Survival of Indemnification Rights</w:t>
      </w:r>
      <w:r>
        <w:rPr>
          <w:rFonts w:ascii="Times New Roman" w:cs="Times New Roman" w:eastAsia="Times New Roman" w:hAnsi="Times New Roman"/>
          <w:sz w:val="18"/>
          <w:szCs w:val="18"/>
          <w:color w:val="auto"/>
        </w:rPr>
        <w:t>. The representations and warranties of the Company shall survive until twelve (12) months (the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following the Closing. The covenants of the Company contained in this Agreement to be performed prior to Closing shall expire and be of no further force or effect as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claim for breach or nonfulfillment may be asserted at any time prior to the expiration of the Survival Period as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The indemnification to which any Indemnified Party is entitled from the Indemnifying Parties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for Losses shall be effective so long as it is asserted prior to the expiration of the Survival Period (for the avoidance of doubt, any claim set forth in an Indemnification Notice shall be deemed asserted upon delivery of such Indemnification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Indemnification Notice shall have been given in accordance with the provisions of this Agreement prior to the expiration of the Survival Period and such claim has not been finally resolved by the expiration of the Survival Period, the representations, warranties, covenants, agreements or obligations that are the subject of such Indemnifications Notice shall survive solely for purposes of resolving such claim until such matters are finally resolved. The parties acknowledge that the time periods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for the assertion of claims under this Agreement are the result of arms’-length negotiation among the parties and that they intend for the time periods to be enforced as agreed by the parties without regard to the applicable statute of limitations with respect to such matters and that the twenty (20) year statute of limitations contemplated by Title 10 of Section 8106(c) of the Delaware Code shall not apply to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Sole and Exclusive Remedy</w:t>
      </w:r>
      <w:r>
        <w:rPr>
          <w:rFonts w:ascii="Times New Roman" w:cs="Times New Roman" w:eastAsia="Times New Roman" w:hAnsi="Times New Roman"/>
          <w:sz w:val="18"/>
          <w:szCs w:val="18"/>
          <w:color w:val="auto"/>
        </w:rPr>
        <w:t xml:space="preserve">. The remedies provided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rights to enforce the Additional Agreements in accordance with their terms shall be deemed the sole and exclusive remedies of the Indemnified Parties, from and after the Closing Date, with respect to any and all claims arising out of or related to this Agreement or in connection with the transactions contemplated hereby, except nothing in this Agreement (a) will limit the parties’ rights to seek injunctive relief or other equitable remedies, (b) shall prevent Parent from bringing an action for fraud (with scienter) against the Person who committed such Fraud (with scienter) or (c) limit the right of any Person to pursue remedies under any Additional Agreement against the parties thereto.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6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promptly submit any dispute, claim, or controversy arising out of or relating to this Agreement (including with respect to the meaning, effect, validity, termination, interpretation, performance, or enforcement of this Agreement) or any alleged breach thereof (including any action in tort, contract, equity, or otherwise), to binding arbitration before one arbitrator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Binding arbitration shall be the sole means of resolving any dispute, claim, or controversy arising out of or relating to this Agreement (including with respect to the meaning, effect, validity, termination, interpretation, performance or enforcement of this Agreement) or any alleged breach thereof (including any claim in tort, contract, equity, or otherwise).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cannot agree upon the Arbitrator, the Arbitrator shall be selected by the New York, New York chapter head of the American Arbitration Association upon the written request of any party. The Arbitrator shall be selected within thirty (30) days of the written request of any party.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of Delaware shall apply to any arbitration hereunder. In any arbitration hereunder, this Agreement shall be governed by the laws of the State of Delaware applicable to a contract negotiated, signed and to be performed wholly in the State of Delaware, which laws the Arbitrator shall apply in rendering his decision. The Arbitrator shall issue a written decision, setting forth findings of fact and conclusions of law, within sixty (60) days after he shall have been selected. The Arbitrator shall have no authority to award punitive or other exemplary damages.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2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held in New York, New York in accordance with and under the then-current provisions of the rules of the American Arbitration Association, except as otherwise provided herein.</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9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application to the Arbitrator, any party shall have rights to discovery to the same extent as would be provided under the Federal Rules of Civil Procedure, and the Federal Rules of Evidence shall apply to any arbitration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Arbitrator shall limit any discovery or evidence such that his decision shall be rendered within the period referred to in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may, at his discretion and at the expense of the party who will bear the cost of the arbitration, employ experts to assist him in his determinations.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7" w:name="page68"/>
    <w:bookmarkEnd w:id="67"/>
    <w:p>
      <w:pPr>
        <w:jc w:val="both"/>
        <w:ind w:firstLine="1304"/>
        <w:spacing w:after="0" w:line="261" w:lineRule="auto"/>
        <w:tabs>
          <w:tab w:leader="none" w:pos="15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of the arbitration proceeding and any proceeding in court to confirm any arbitration award or to obtain relief as provided in </w:t>
      </w:r>
      <w:r>
        <w:rPr>
          <w:rFonts w:ascii="Times New Roman" w:cs="Times New Roman" w:eastAsia="Times New Roman" w:hAnsi="Times New Roman"/>
          <w:sz w:val="18"/>
          <w:szCs w:val="18"/>
          <w:u w:val="single" w:color="auto"/>
          <w:color w:val="auto"/>
        </w:rPr>
        <w:t>Section 12.1(h)</w:t>
      </w:r>
      <w:r>
        <w:rPr>
          <w:rFonts w:ascii="Times New Roman" w:cs="Times New Roman" w:eastAsia="Times New Roman" w:hAnsi="Times New Roman"/>
          <w:sz w:val="18"/>
          <w:szCs w:val="18"/>
          <w:color w:val="auto"/>
        </w:rPr>
        <w:t>, as applicable (including actual attorneys’ fees and costs), shall be borne by the unsuccessful party (if the Stockholders’ Representative, then solely on behalf of the Company Securityholders) and shall be awarded as part of the Arbitrator’s decision, unless the Arbitrator shall otherwise allocate such costs in such decision. The determination of the Arbitrator shall be final and binding upon the parties and not subject to appeal.</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upon any award rendered by the Arbitrator may be entered in and enforced by any court of competent jurisdiction. The parties expressly consent to the non-exclusive jurisdiction of the courts (Federal and state) in Delaware, to enforce any award of the Arbitrator or to render any provisional, temporary, or injunctive relief in connection with or in aid of the arbitration. The parties expressly consent to the personal and subject matter jurisdiction of the Arbitrator to arbitrate any and all matters to be submitted to arbitration hereunder. None of the parties hereto shall challenge any arbitration hereunder on the grounds that any party necessary to such arbitration (including the parties hereto) shall have been absent from such arbitration for any reason, including that such party shall have been the subject of any bankruptcy, reorganization, or insolvency proceeding.</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 the case of the Stockholders’ Representative, solely on behalf of the Company Securityholders) shall indemnify the Arbitrator and any experts employed by the Arbitrator and hold them harmless from and against any claim or demand arising out of any arbitration under this Agreement or any agreement contemplated hereby, unless resulting from the gross negligence or willful misconduct of the person indemnified.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parties agree that irreparable damage would occur if any of the provisions of this Agreement were not performed in accordance with their specific terms or were otherwise breached. It is accordingly agreed that the parties shall be entitled to seek an injunction or injunctions, specific performance and other equitable relief to prevent breaches of this Agreement and to enforce specifically the terms and provisions of this Agreement. The parties expressly consent to the non-exclusive jurisdiction of the courts (Federal and state) in Delaware to render such relief and to enforce specifically the terms and provisions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Waiver of Jury Trial; Exemplary Damages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THIS AGREEMENT HEREBY KNOWINGLY, VOLUNTARILY AND IRREVOCABLY WAIVE ANY RIGHT EACH SUCH PARTY MAY HAVE TO TRIAL BY JURY IN ANY ACTION OF ANY KIND OR NATURE, IN ANY COURT IN WHICH AN ACTION MAY BE COMMENCED, ARISING OUT OF OR IN CONNECTION WITH THIS AGREEMENT. NO PARTY SHALL BE AWARDED PUNITIVE OR OTHER EXEMPLARY DAMAGES RESPECTING ANY DISPUTE ARISING UNDER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acknowledges that it has been represented in connection with the signing of the foregoing waiver by independent legal counsel selected by it and that such party has discussed the legal consequences and import of such waiver with legal counsel. Each of the parties to this Agreement further acknowledges that it has read and understands the meaning of such waiver and grants such waiver knowingly, voluntarily, without duress and only after consideration of the consequences of this waiver with legal counsel.</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502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Termination Without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Closing of the transactions contemplated hereunder has not occurred by April 15, 2021 (the “Outside Closing Date”) (provided that, if the SEC has not declared the Proxy Statement/Form S-4 effective on or prior to January 15, 2021, the Outside Closing Date shall be automatically extended to May 15, 2021); and (ii) the party (i.e., Parent or the Merger Sub, on one hand, or the Company, on the other hand) seeking to terminate this Agreement is not in material breach of this Agreement,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(i) an Authority shall have issued an Order, having the effect of permanently restraining, enjoining or otherwise prohibiting the Merger, which Order is final and non-appealable or (ii) any applicable Law is in effect making the consummation of the Merger illegal, Parent or the Company shall have the right, at its sole option, to terminate this Agreement without liability to the other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 Upon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61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may terminate this Agreement by giving notice to the Company at any time prior to the Closing, without prejudice to any rights or obligations Parent or Merger Sub may have, if: (i) (x) the Company shall have breached any representation, warranty, agreement or covenant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impossible and (y) such breach cannot be cured or is not be cured by the earlier of the Outside Closing Date and thirty (30) days following receipt by the Company of a written notice from Parent describing in reasonable detail the nature of such breach; or (ii) evidence that the Company Stockholder Written Consent was obtained is not delivered to Parent by the Company Stockholder Written Consent Deadline (provided that Parent shall not be permitted to terminate this Agreement under this </w:t>
      </w:r>
      <w:r>
        <w:rPr>
          <w:rFonts w:ascii="Times New Roman" w:cs="Times New Roman" w:eastAsia="Times New Roman" w:hAnsi="Times New Roman"/>
          <w:sz w:val="18"/>
          <w:szCs w:val="18"/>
          <w:u w:val="single" w:color="auto"/>
          <w:color w:val="auto"/>
        </w:rPr>
        <w:t>Section 13.2(a)(ii)</w:t>
      </w:r>
      <w:r>
        <w:rPr>
          <w:rFonts w:ascii="Times New Roman" w:cs="Times New Roman" w:eastAsia="Times New Roman" w:hAnsi="Times New Roman"/>
          <w:sz w:val="18"/>
          <w:szCs w:val="18"/>
          <w:color w:val="auto"/>
        </w:rPr>
        <w:t xml:space="preserve"> at any time (A) prior to the Company Stockholder Written Consent Deadline or (B) after such evidence has been delivered to Parent).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2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this Agreement by giving notice to Parent at any time prior to the Closing, without prejudice to any rights or obligations the Company may have, if: (i) Parent shall have breached any of its covenants, agreements, representations, and warranties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impossible; and (ii) such breach cannot be cured or is not be cured by the earlier of the Outside Closing Date and thirty (30) days following receipt by Parent of a written notice from the Company describing in reasonable detail the nature of such breach.</w:t>
      </w:r>
    </w:p>
    <w:p>
      <w:pPr>
        <w:spacing w:after="0" w:line="21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this Agreement shall become void and be of no further force or effect, without any liability on the part of any party (or any shareholder, director, officer, employee, Affiliate, agent, consultant or representative of such party) to the other party hereto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relieve any party from liability incurred as a result of the willful breach by such party of this Agreement or such party’s fraud, in which case such party shall be fully liable for any and all liabilities and damages incurred or suffered by the other party as a result of such breach or fraud. The provisions of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XII,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shall survive any termination hereof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electronic mail or recognized courier service, by 5:00 PM on a Business Day, addressee’s day and time, on the date of delivery, and otherwise on the first Business Day after such delivery; (b) if by fax, on the date that transmission is confirmed electronically, if by 5:00 PM on a Business Day, addressee’s day and time, and otherwise on the first Business Day after the date of such confirmation; (c) if by email, on the date of transmission; or (d) five (5)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(or, following the Closing, the Surviving Corporation or Parent),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 One Kendall Square, 3rd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18"/>
          <w:szCs w:val="18"/>
          <w:color w:val="auto"/>
        </w:rPr>
        <w:t>Attn:</w:t>
        <w:tab/>
        <w:t>Jason Meyenburg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mbloom@goodwinlaw.com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Stockholders’ Representative, or to the Company Securityholders after Closing,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950 17th Street, Suite 1400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Denver, CO 80202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Managing Director</w:t>
      </w: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sz w:val="1"/>
          <w:szCs w:val="1"/>
          <w:color w:val="auto"/>
        </w:rPr>
        <w:drawing>
          <wp:inline distT="0" distB="0" distL="0" distR="0">
            <wp:extent cx="1765935" cy="1143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65935" cy="114300"/>
                    </a:xfrm>
                    <a:prstGeom prst="rect">
                      <a:avLst/>
                    </a:prstGeom>
                    <a:noFill/>
                    <a:ln>
                      <a:noFill/>
                    </a:ln>
                  </pic:spPr>
                </pic:pic>
              </a:graphicData>
            </a:graphic>
          </wp:inline>
        </w:drawing>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6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Arm’s Length Bargaining; No Presumption Against Drafter</w:t>
      </w:r>
      <w:r>
        <w:rPr>
          <w:rFonts w:ascii="Times New Roman" w:cs="Times New Roman" w:eastAsia="Times New Roman" w:hAnsi="Times New Roman"/>
          <w:sz w:val="18"/>
          <w:szCs w:val="18"/>
          <w:color w:val="auto"/>
        </w:rPr>
        <w:t>. This Agreement has been negotiated at arm’s-length by parties of equal bargaining strength, each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required by law or applicable stock exchange rules and except with respect to the Additional Parent SEC Documents, the parties agree that neither they nor their agents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 Notwithstanding the foregoing, following Closing and the public announcement (if any) of the Merger, the Stockholders’ Representative shall be permitted to publicly announce that it has been engaged to serve as the Stockholders’ Representative in connection herewith as long as such announcement does not disclose any of the other terms hereof.</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anticipated costs and expenses of the Company in connection with any merger, consolidation or business combination, including this Agreement and the transactions contemplated hereby as of the Closing Date as set forth on </w:t>
      </w:r>
      <w:r>
        <w:rPr>
          <w:rFonts w:ascii="Times New Roman" w:cs="Times New Roman" w:eastAsia="Times New Roman" w:hAnsi="Times New Roman"/>
          <w:sz w:val="18"/>
          <w:szCs w:val="18"/>
          <w:u w:val="single" w:color="auto"/>
          <w:color w:val="auto"/>
        </w:rPr>
        <w:t>Schedule 14.5</w:t>
      </w:r>
      <w:r>
        <w:rPr>
          <w:rFonts w:ascii="Times New Roman" w:cs="Times New Roman" w:eastAsia="Times New Roman" w:hAnsi="Times New Roman"/>
          <w:sz w:val="18"/>
          <w:szCs w:val="18"/>
          <w:color w:val="auto"/>
        </w:rPr>
        <w:t xml:space="preserve"> shall be paid by Parent after the Closing. If the Closing does not take place, each party (in the case of the Stockholders’ Representative, solely on behalf of the Company Securityholders) shall be responsible for its own expenses.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Delaware, without giving effect to the conflict of laws principles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(including scanned .pdf image) signature pages that together (but need not individually) bear the signatures of all other parties.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neither this Agreement nor any provision hereof confers any benefit or right upon or may be enforced by any Person not a signatory hereto.</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August 13,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each of the Company and the Stockholders’ Representative, for itself and on behalf of the Company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xml:space="preserve">. By virtue of the adoption of this Agreement and the transactions contemplated hereby, the approval of the principal terms of the Merger and the consummation of the Merger or participating in the Merger and receiving the benefits thereof, including the right to receive the consideration payable in connection with the Merger, each Company Securityholder shall be deemed to have appointed the designation of, and hereby designates, Shareholder Representative Services LLC as the Stockholders’ Representative for all purposes in connection with this Agreement and any agreement ancillary hereto, including (a) to give and receive notices and communications to Parent for any purpose under this Agreement and the Additional Agreements; (b) to agree to, negotiate, enter into settlements and compromises of and demand arbitration and comply with orders of courts and awards of arbitrators with respect to any indemnification claims (including Third-Party Claims)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following the Closing, other disputes arising under or related to this Agreement; (c) to enter into and deliver the Escrow Agreement on behalf of each of the Company Securityholders; (d) to authorize or object to delivery to Parent of the Escrow Fund, or any portion thereof, in satisfaction of indemnification claims by Parent in accordance with the provisions of the Escrow Agreement; (e) to act on behalf of Company Securityholders in accordance with the provisions of the Agreement, the securities described herein and any other document or instrument executed in connection with the Agreement and the Merger; and (f) to take all actions necessary or appropriate in the judgment of the Stockholders’ Representative for the accomplishment of the foregoing. The Stockholders’ Representative may resign at any time. Such agency may be changed by the Company Securityholders from time to time upon no less than twenty (20) days’ prior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Stockholders’ Representative may not be removed unless holders of a majority of the Company Securities (on an as converted or exercised basis) outstanding immediately prior to the Effective Time agree to such removal. Any vacancy in the position of Stockholders’ Representative may be filled by approval of the holders of a majority of the Company Securities (on an as converted or exercised basis) outstanding immediately prior to the Effective Time. No bond shall be required of the Stockholders’ Representative. The Stockholders’ Representative will incur no liability of any kind with respect to any action or omission by the Stockholders’ Representative in connection with the Stockholders’ Representative’s services pursuant to this Agreement and any agreement ancillary hereto, except in the event of liability directly resulting from the Stockholders’ Representative’s gross negligence or willful misconduct. The Stockholders’ Representative shall not be liable for any action or omission pursuant to the advice of counsel. The Company Securityholders will indemnify, defend and hold harmless the Stockholders’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arising out of or in connection with the Stockholders’ Representative’s execution and performance of this Agreement and any agreement ancillary hereto, in each case as such Representative Loss is suffered or incurred; provided, that in the event that any such Representative Loss is finally adjudicated to have been directly caused by the gross negligence or willful misconduct of the Stockholders’ Representative, the Stockholders’ Representative will reimburse the Company Securityholders the amount of such indemnified Representative Loss to the extent attributable to such gross negligence or willful misconduct. If not paid directly to the Stockholders’ Representative by the Company Securityholders, any such Representative Losses may be recovered by the Stockholders’ Representative from (i) the funds in the Expense Fund, and (ii) the amounts in the Escrow Fund at such time as remaining amounts would otherwise be distributable to the Company Securityholders;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while this provision allows the Stockholders’ Representative to be paid from the aforementioned sources of funds, this does not relieve the Company Securityholders from their obligation to promptly pay such Representative Losses as they are suffered or incurred, nor does it prevent the Stockholders’ Representative from seeking any remedies available to it at law or otherwise. In no event will the Stockholders’ Representative be required to advance its own funds on behalf of the Company Securityholders or otherwise. Notwithstanding anything in this Agreement to the contrary, any restrictions or limitations on liability or indemnification obligations of, or provisions limiting the recourse against non-parties otherwise applicable to, the Company Securityholders set forth elsewhere in this Agreement are not intended to be applicable to the indemnities provided to the Stockholders’ Representative under this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The foregoing indemnities will survive the Closing, the resignation or removal of the Stockholders’ Representative or the termination of this Agreement. Upon the Closing, the Company will wire $150,000 (the “</w:t>
      </w:r>
      <w:r>
        <w:rPr>
          <w:rFonts w:ascii="Times New Roman" w:cs="Times New Roman" w:eastAsia="Times New Roman" w:hAnsi="Times New Roman"/>
          <w:sz w:val="18"/>
          <w:szCs w:val="18"/>
          <w:u w:val="single" w:color="auto"/>
          <w:color w:val="auto"/>
        </w:rPr>
        <w:t>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to the Stockholders’ Representative, which will be used for the purposes of paying directly, or reimbursing the Stockholders’ Representative for, any third party expenses pursuant to this Agreement and the agreements ancillary hereto. The Company Securityholders will not receive any interest or earnings on the Expense Fund and irrevocably transfer and assign to the Stockholders’ Representative any ownership right that they may otherwise have had in any such interest or earnings. The Stockholders’ Representative will not be liable for any loss of principal of the Expense Fund other than as a result of its gross negligence or willful misconduct. The Stockholders’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Stockholders’ Representative’s responsibilities, the Stockholders’ Representative will deliver any remaining balance of the Expense Fund to the Company. For Tax purposes, the Expense Fund will be treated as having been received and voluntarily set aside by the Company at the time of Closing.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xml:space="preserve">.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 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 provided, that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not apply to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which shall be enforceable by the Stockholders’ Representative in its entirety against the Company Securityholders.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u w:val="single" w:color="auto"/>
          <w:color w:val="auto"/>
        </w:rPr>
        <w:t>No Other Representations; No Reliance</w:t>
      </w:r>
      <w:r>
        <w:rPr>
          <w:rFonts w:ascii="Times New Roman" w:cs="Times New Roman" w:eastAsia="Times New Roman" w:hAnsi="Times New Roman"/>
          <w:sz w:val="18"/>
          <w:szCs w:val="18"/>
          <w:color w:val="auto"/>
        </w:rPr>
        <w:t xml:space="preserve">. 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Schedules to this Agreement. Except for the specific representations and warranties expressly made by the Company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subject to the limited remedies herein provided; (b) Parent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 signature pages to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day and year first above written.</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Stockholders’ Representative:</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SHAREHOLDER REPRESENTATIVE SERVICES LLC,</w:t>
      </w:r>
    </w:p>
    <w:p>
      <w:pPr>
        <w:spacing w:after="0" w:line="3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solely in its capacity as the Stockholders’ Representative</w:t>
      </w:r>
    </w:p>
    <w:p>
      <w:pPr>
        <w:spacing w:after="0" w:line="207"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Sam Riffe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904" w:right="639" w:bottom="1440" w:gutter="0" w:footer="0" w:header="0"/>
        </w:sectPr>
      </w:pPr>
    </w:p>
    <w:bookmarkStart w:id="76" w:name="page77"/>
    <w:bookmarkEnd w:id="76"/>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SUPPORT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COMPANY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October 15, 2020,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persons set forth on Schedule I attached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Each of Parent and each Stockholder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them in the Merger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herewith, Parent,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FS Development Holdings,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liability company, Shareholder Representative Services LLC, as the Stockholders’ Representative, and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 and each share of Company Capital Stock (including the Subject Company Shares (as defined below)) will be converted into the right to receive Parent Class A Shares, in each case, on the terms and subject to the conditions set forth in the Merger Agreement;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Stockholder is the record and beneficial owner of the number and type of Company Securities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any other Company Securities or other eqiuty interest (including anything convertible into such equity interests) of the Company that each Stockholder acquires record or beneficial ownership after the date hereof, collectively, the “</w:t>
      </w:r>
      <w:r>
        <w:rPr>
          <w:rFonts w:ascii="Times New Roman" w:cs="Times New Roman" w:eastAsia="Times New Roman" w:hAnsi="Times New Roman"/>
          <w:sz w:val="18"/>
          <w:szCs w:val="18"/>
          <w:u w:val="single" w:color="auto"/>
          <w:color w:val="auto"/>
        </w:rPr>
        <w:t>Subject Company Shares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under the terms of the Merger Agreement and as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inducement to Parent and the other Parent Parties agreeing to enter into and consummate the transactions contemplated by the Merger Agreement, each Stockholder agrees to enter into this Agreement and to be bound by the agreements, covenants and obligations contained in this Agreement; and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Parent and the other Parent Parties would not have entered into and agreed to consummate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contemplated by the Merger Agreement without each Stockholder entering into this Agreement and agreeing to be bound by the agreements, covenants and obligations contained in this Agreement.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each intending to be legally bound, hereby agree as follows: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880" w:hanging="224"/>
        <w:spacing w:after="0"/>
        <w:tabs>
          <w:tab w:leader="none" w:pos="8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Consent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3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As promptly as reasonably practicable (and in any event within two (2) Business Days) following the Effective Date, each Stockholder shall duly execute and deliver to the Company and Parent the Company Stockholder Written Consent under which it shall irrevocably and unconditionally consent to the matters, actions and proposals contemplated by Section 8.3(a) (Company Stockholder Approval) of the Merger Agreement. Without limiting the generality of the first sentence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prior to the Closing, each Stockholder shall vote (or cause to be voted) the Subject Company Shares against and withhold consent with respect to any Alternative Proposal. (2) In addition to the foregoing, each Stockholder hereby unconditionally and irrevocably agrees that, at any meeting of the holders of Company Capital Stock (or any adjournment or postponement thereof), such Stockholder shall, if a meeting is held, appear at the meeting, in person or by proxy, or otherwise cause its Subject Company Shares to be counted as present thereat for purposes of establishing a quorum, and such Stockholder shall vote or provide consent (or cause to be voted or consented), in person or by proxy, all of its Subject Company Shares:</w:t>
      </w:r>
    </w:p>
    <w:p>
      <w:pPr>
        <w:spacing w:after="0" w:line="188"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the Merger Agreement and the transactions contemplated thereby, including the Merger;</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906"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upon which a consent or other approval is required under the organizational documents of the Company or otherwise sought with respect to the Merger Agreement or the transactions contemplated thereby, to vote, consent or approve (or cause to be voted, consented or approved) all of such Stockholder’s Subject Company Shares held at such time in favor thereof;</w:t>
      </w:r>
    </w:p>
    <w:p>
      <w:pPr>
        <w:spacing w:after="0" w:line="179"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983"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Alternative Transaction, or any other merger agreement, merger, consolidation, combination, sale of substantial assets, reorganization, recapitalization, dissolution, liquidation or winding up of or by the Company (other than the Merger Agreement and the transactions contemplated thereby); and</w:t>
      </w:r>
    </w:p>
    <w:p>
      <w:pPr>
        <w:spacing w:after="0" w:line="175"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946"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action or agreement that would (A) impede, frustrate, prevent or nullify any provision of this Agreement, the Merger Agreement or the Merger, (B) result in a breach in any respect of any covenant, representation, warranty or any other obligation or agreement of the Company under the Merger Agreement or (C) result in any of the conditions set forth in Article X of the Merger Agreement not being fulfilled.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3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rights or remedies of Parent, each Stockholder hereby irrevocably appoints Parent or any individual designated by Parent as the Stockholder’s agent, attorney-in-fact and proxy (with full power of substitution and resubstituting), for and in the name, place and stead of the Stockholder, to attend on behalf of the Stockholder any meeting of the holders of Company Capital Stock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to include the Subject Company Shares in any computation for purposes of establishing a quorum at any such meeting of the holders of Company Capital Stock, to vote (or cause to be voted) the Subject Company Shares or consent (or withhold consent) with respect to any of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in connection with any meeting of the holders of Company Capital Stock or any action by written consent by the holders of Company Capital Stock (including the Company Stockholder Written Consent), in each case, in the event that the Stockholder fails to timely perform or otherwise comply with the covenants, agreements or obligations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coupled with an interest sufficient in law to support an irrevocable proxy and is granted in consideration for Parent entering into the Merger Agreement and agreeing to consummate the transactions contemplated thereby. 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also a durable proxy and shall survive the bankruptcy, dissolution, death, incapacity or other inability to act by each Stockholder and shall revoke any and all prior proxies granted by each Stockholder with respect to the Subject Company Shares. The vote or consent of the proxyholder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and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Company Shares and a vote or consent by each Stockholder of the Subject Company Shares (or any other Person with the power to vote the Subject Company Shares)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on any matter except those provided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For the avoidance of doubt, each Stockholder may vote the Subject Company Shares on all other matters, subject to, for the avoidance of doubt, the other applicable covenants, agreements and obligations set forth in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ind w:firstLine="1304"/>
        <w:spacing w:after="0" w:line="254" w:lineRule="auto"/>
        <w:tabs>
          <w:tab w:leader="none" w:pos="1609"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 irrevocably and unconditionally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(x) the conversion of all outstanding shares of Company Preferred Stock into shares of Company Common Stock, with such conversion to be in accordance with the terms of the Company Certificate of Incorporation and effective as of immediately prior to the Effective Time of the Merger and (y) prior to the Closing, the conversion of each Convertible Note into Company Series B Preferred Stock, in accordance with the terms of each Convertible Note, in each case, as set forth on the Capitalization Table.</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85"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irrevocably waives, on behalf of themselves and each other holder of Company Preferred Stock, its right to certain payments upon liquidation of the Company pursuant to Article IV, Section 2 of the Company Certificate of Incorporation,</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85"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hereby agrees that, notwithstanding anything to the contrary in any such agreement, (i) each of the agreements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Parent and its Affiliates) shall have any further obligations or liabilities under each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indemnification provisions that are contemplated to survive the agreement marked with an asterisk</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shall survive such termination in accordance with their terms. Without limiting the generality of the foregoing, each Stockholder hereby agrees to promptly execute and deliver all additional agreements, documents and instruments and take, or cause to be taken, all actions necessary or reasonably advisable in order to achieve the purpose of the preceding sentence.</w:t>
      </w:r>
    </w:p>
    <w:p>
      <w:pPr>
        <w:spacing w:after="0" w:line="18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5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acknowledges and agrees that Parent and the other Parent Parties are entering into the Merger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Parent and the other Parent Parties would not have entered into or agreed to consummate the transactions contemplated by the Merger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5"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each Stockholder shall deliver to Parent a duly executed copy of that (i) certain Registration Rights Agreement, by and among Parent, the Company and the Specified Company Securityholders party thereto, in substantially the form attached as Exhibit F to the Merger Agreement and (ii) certain Voting Agreement, by and among Parent, the Company and the Specified Company Securityholders party thereto, in substantially the form attached as Exhibit D to the Merger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840" w:hanging="184"/>
        <w:spacing w:after="0"/>
        <w:tabs>
          <w:tab w:leader="none" w:pos="8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Representations and Warranties</w:t>
      </w:r>
      <w:r>
        <w:rPr>
          <w:rFonts w:ascii="Times New Roman" w:cs="Times New Roman" w:eastAsia="Times New Roman" w:hAnsi="Times New Roman"/>
          <w:sz w:val="18"/>
          <w:szCs w:val="18"/>
          <w:color w:val="auto"/>
        </w:rPr>
        <w:t>. Each Stockholder represents and warrants to Parent as follows: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0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This Agreement has been duly and validly executed and delivered by such Stockholder and constitutes a valid, legal and binding agreement of each Stockholder (assuming that this Agreement is duly authorized, executed and delivered by Parent), enforceable against each such Stockholder in accordance with its terms (subject to applicable bankruptcy, insolvency, reorganization, moratorium or other Laws affecting generally the enforcement of creditors’ rights and subject to general principles of equity).</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authority is required on the part of any Stockholder with respect to such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such Stockholder to perform, or otherwise comply with, any of its covenants, agreements or obligations hereunder in any material respect.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5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or delivery of this Agreement by each Stockholder, the performance by such Stockholder of any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will, directly or indirectly (with or without due notice or lapse of time or both) (i) result in any breach of any provision of such Stockholder’s organizational documents, (ii) result in a violation or breach of, or constitute a default or give rise to any right of termination, consent, cancellation, amendment, modification, suspension, revocation or acceleration under, any of the terms, conditions or provisions of any Contract to which such Stockholder is a party, (iii) violate, or constitute a breach under, any Order or applicable Law to which such Stockholder or any of its properties or assets are bound or (iv) result in the creation of any Lien upon the Subject Company Shares,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directly above, as would not adversely affect the ability of such Stockholder to perform, or otherwise comply with, any of its covenants, agreements or obligations hereunder in any material respect.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is the record and beneficial owner of the Subject Company Shares and has valid, good and marketable title to the Subject Company Shares, free and clear of all Liens (other than transfer restrictions under applicable Securities Law). Except for the shares of Company Capital Stock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other shares of Company Capital Stock or other equity interest (including anything convertible into such equity interests) of the Company that the Stockholder acquires record or beneficial ownership after the date hereof, such Stockholder has the sole right to vote (and provide consent in respect of, as applicable) the Subject Company Shares and, except for this Agreement, the Merger Agreement and that certain Second Amended and Restated Voting Agreement, dated September 26, 2019, such Stockholder is not party to or bound by (i) any option, warrant, purchase right, or other Contract that would (either alone or in connection with one or more events, developments (including the satisfaction or waiver of any conditions precedent)) require such Stockholder to Transfer (as defined below) any of the Subject Company Shares or (ii) any voting trust, proxy or other Contract with respect to the voting or Transfer of any of the Subject Company Shares.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304"/>
        <w:spacing w:after="0" w:line="261" w:lineRule="auto"/>
        <w:tabs>
          <w:tab w:leader="none" w:pos="1566"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Stockholder’s knowledge, threatened against such Stockholder that questions the beneficial or record ownership of such Stockholder’s Subject Company Shares, the validity of this Agreement or the performance by such Stockholder of its obligations under this Agreement, or which would reasonably be expected to adversely affect the ability of such Stockholder to perform, or otherwise comply with, any of its covenants, agreements or obligations under this Agreement in any material respect.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96"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Parent Parties and (ii) he, she or it has been furnished with or given access to such documents and information about the Parent Parties and their respective businesses and operations as he, she or it and his, her or its Representatives have deemed necessary to enable him, her or it to make an informed decision with respect to the execution, delivery and performance of this Agreement, the other Additional Agreements to which he, she or it is or will be a party and the transactions contemplated hereby and thereby.</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6"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Additional Agreements to which he, she or it is or will be a party, the Stockholder has relied solely on his, her or its own investigation and analysis and the representations and warranties expressly set forth in the Additional Agreements to which he, she or it is or will be a party and no other representations or warranties of any Parent Party (including, for the avoidance of doubt, none of the representations or warranties of any Parent Party set forth in the Merger Agreement or any other Additional Agreements), any Affiliate of Parent or any other Person, either express or implied, and such Stockholder, on his, her or its own behalf and on behalf of his, her or its Representatives, acknowledges, represents, warrants and agrees that, except for the representations and warranties expressly set forth in the Additional Agreements to which he, she or it is or will be a party, none of the Parent Parties, any Affiliate of Parent or any other Person makes or has made any representation or warranty, either express or implied, in connection with or related to this Agreement, the Additional Agreements to which he, she or it is or will be a party or the transactions contemplated hereby or thereby.</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88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Subject Securities</w:t>
      </w:r>
      <w:r>
        <w:rPr>
          <w:rFonts w:ascii="Times New Roman" w:cs="Times New Roman" w:eastAsia="Times New Roman" w:hAnsi="Times New Roman"/>
          <w:sz w:val="18"/>
          <w:szCs w:val="18"/>
          <w:color w:val="auto"/>
        </w:rPr>
        <w:t>. Except as expressly contemplated by the Merger Agreement or with the prior written consent of Parent (such consent to be given or withheld in its sole discretion), from and after the date hereof, each Stockholder agrees not to (a) Transfer any of the Subject Company Shares, (b) enter into (i) any option, warrant, purchase right, or other Contract that would (either alone or in connection with one or more events or developments (including the satisfaction or waiver of any conditions precedent)) require such Stockholder to Transfer the Subject Company Shares or</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7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voting trust, proxy or other Contract with respect to the voting or Transfer of the Subject Company Shares, or (c) take any actions (i) having the effect of preventing or disabling such Stockholder from performing its obligations under this Agreement or (ii) in furtherance of any of the matters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56"/>
        <w:spacing w:after="0" w:line="261"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the earlier of (a) the Effective Time; (b) the termination of the Merger Agreement in accordance with its terms and (c) upon the mutual written agreement of Parent and each Stockholder. Upon termination of this Agreement as provided in the immediately preceding sentence, none of the Parties shall have any further obligations or Liabilities under, or with respect to, this Agreement.</w:t>
      </w:r>
    </w:p>
    <w:p>
      <w:pPr>
        <w:spacing w:after="0" w:line="18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each Stockholder makes no agreement or understanding herein in any capacity other than in such Stockholder’s capacity as a record holder and beneficial owner of the Subject Company Shares, and not in such Stockholder’s capacity as a director, officer or employee of the Company or any other capacity and (b) nothing herein will be construed to limit or affect any action or inaction by any Stockholder serving as a member of the board of directors of the Company or as an officer, employee or fiduciary of the Company, in each case, acting in such person’s capacity as a director, officer, employee or fiduciary of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Parent,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 FS Development Corp.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Jim Tananbaum</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York, New York 10020-1095</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a Stockholder, to the address specified by such Stockholder in writing.</w:t>
      </w:r>
    </w:p>
    <w:p>
      <w:pPr>
        <w:spacing w:after="0" w:line="225"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620"/>
        <w:spacing w:after="0"/>
        <w:tabs>
          <w:tab w:leader="none" w:pos="29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Mitchell S. Bloom</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620"/>
        <w:spacing w:after="0"/>
        <w:tabs>
          <w:tab w:leader="none" w:pos="2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mbloom@goodwinlaw.com</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2" w:name="page83"/>
    <w:bookmarkEnd w:id="82"/>
    <w:p>
      <w:pPr>
        <w:jc w:val="both"/>
        <w:ind w:firstLine="656"/>
        <w:spacing w:after="0" w:line="266" w:lineRule="auto"/>
        <w:tabs>
          <w:tab w:leader="none" w:pos="87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Merger Agreement and documents referred to herein and therein constitutes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Any provision of this Agreement may be amended or waived if, and only if, such amendment or waiver is in writing and signed by each of Stockholder and Parent.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Stockholder without Parent’s prior written consent (to be withheld or given in its sole discretion).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set forth in the Merger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96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of this Agreement. Nothing in this Agreement, expressed or implied, is intended to or shall constitute the Parties, partners or participants in a joint venture.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1.2 (Construction), 14.7 (Governing Law), 14.8 (Counterparts; Facsimile Signatures) and 14.10 (Severability) of the Merger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Company Support Agreement as of the date first 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17145</wp:posOffset>
            </wp:positionV>
            <wp:extent cx="24174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60"/>
          </w:cols>
          <w:pgMar w:left="980" w:top="904" w:right="1159" w:bottom="1440" w:gutter="0" w:footer="0" w:header="0"/>
        </w:sectPr>
      </w:pPr>
    </w:p>
    <w:bookmarkStart w:id="84" w:name="page85"/>
    <w:bookmarkEnd w:id="84"/>
    <w:p>
      <w:pPr>
        <w:ind w:left="564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5" w:name="page86"/>
    <w:bookmarkEnd w:id="85"/>
    <w:p>
      <w:pPr>
        <w:ind w:left="564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0"/>
          </w:cols>
          <w:pgMar w:left="1440" w:top="900" w:right="1139" w:bottom="1440" w:gutter="0" w:footer="0" w:header="0"/>
        </w:sectPr>
      </w:pPr>
    </w:p>
    <w:bookmarkStart w:id="86" w:name="page87"/>
    <w:bookmarkEnd w:id="86"/>
    <w:p>
      <w:pPr>
        <w:ind w:left="564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Atlas Venture Associates X, LLC</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7" w:name="page88"/>
    <w:bookmarkEnd w:id="87"/>
    <w:p>
      <w:pPr>
        <w:ind w:left="5640"/>
        <w:spacing w:after="0"/>
        <w:rPr>
          <w:sz w:val="20"/>
          <w:szCs w:val="20"/>
          <w:color w:val="auto"/>
        </w:rPr>
      </w:pPr>
      <w:r>
        <w:rPr>
          <w:rFonts w:ascii="Times New Roman" w:cs="Times New Roman" w:eastAsia="Times New Roman" w:hAnsi="Times New Roman"/>
          <w:sz w:val="17"/>
          <w:szCs w:val="17"/>
          <w:b w:val="1"/>
          <w:bCs w:val="1"/>
          <w:color w:val="auto"/>
        </w:rPr>
        <w:t>WU CAPITAL INVESTMENT LLC</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50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16"/>
        </w:trPr>
        <w:tc>
          <w:tcPr>
            <w:tcW w:w="5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amount under</w:t>
            </w:r>
          </w:p>
        </w:tc>
      </w:tr>
      <w:tr>
        <w:trPr>
          <w:trHeight w:val="216"/>
        </w:trPr>
        <w:tc>
          <w:tcPr>
            <w:tcW w:w="5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45"/>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Stockholder</w:t>
            </w: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Note</w:t>
            </w: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11,653,137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976,931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36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1,587,559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133,112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3,700,139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36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13,240,696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7,400,280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4,887,000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36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13,240,696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5,180,196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4,361,000</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7,400,280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1,752,000</w:t>
            </w:r>
          </w:p>
        </w:tc>
      </w:tr>
      <w:tr>
        <w:trPr>
          <w:trHeight w:val="664"/>
        </w:trPr>
        <w:tc>
          <w:tcPr>
            <w:tcW w:w="5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89" w:name="page90"/>
    <w:bookmarkEnd w:id="8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9" w:lineRule="exact"/>
        <w:rPr>
          <w:sz w:val="20"/>
          <w:szCs w:val="20"/>
          <w:color w:val="auto"/>
        </w:rPr>
      </w:pPr>
    </w:p>
    <w:p>
      <w:pPr>
        <w:ind w:left="652" w:hanging="652"/>
        <w:spacing w:after="0" w:line="282" w:lineRule="auto"/>
        <w:tabs>
          <w:tab w:leader="none" w:pos="65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Voting Agreement, dated as of September 26, 2019, by and among the Company, each holder of Series A Preferred Stock, each holder of Series B Preferred Stock and the stockholders listed on Schedule B thereto.</w:t>
      </w:r>
    </w:p>
    <w:p>
      <w:pPr>
        <w:spacing w:after="0" w:line="161"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Right of First Refusal and Co-Sale Agreement, dated as of September 26, 2019, by and among the Company, the Investors (as defined below) and the persons named on Schedule B thereto.</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Investors’ Rights Agreement, dated as of September 26, 2019, by and among the Company and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462915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90" w:name="page91"/>
    <w:bookmarkEnd w:id="90"/>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62" w:lineRule="exact"/>
        <w:rPr>
          <w:sz w:val="20"/>
          <w:szCs w:val="20"/>
          <w:color w:val="auto"/>
        </w:rPr>
      </w:pPr>
    </w:p>
    <w:p>
      <w:pPr>
        <w:ind w:firstLine="656"/>
        <w:spacing w:after="0" w:line="282" w:lineRule="auto"/>
        <w:tabs>
          <w:tab w:leader="none" w:pos="87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6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ind w:left="880" w:hanging="224"/>
        <w:spacing w:after="0"/>
        <w:tabs>
          <w:tab w:leader="none" w:pos="8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9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883"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179"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2906"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956"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175" w:lineRule="exact"/>
        <w:rPr>
          <w:rFonts w:ascii="Times New Roman" w:cs="Times New Roman" w:eastAsia="Times New Roman" w:hAnsi="Times New Roman"/>
          <w:sz w:val="18"/>
          <w:szCs w:val="18"/>
          <w:color w:val="auto"/>
        </w:rPr>
      </w:pPr>
    </w:p>
    <w:p>
      <w:pPr>
        <w:ind w:left="2940" w:hanging="340"/>
        <w:spacing w:after="0"/>
        <w:tabs>
          <w:tab w:leader="none" w:pos="29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9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8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58" w:lineRule="auto"/>
        <w:tabs>
          <w:tab w:leader="none" w:pos="2869"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83" w:lineRule="exact"/>
        <w:rPr>
          <w:rFonts w:ascii="Times New Roman" w:cs="Times New Roman" w:eastAsia="Times New Roman" w:hAnsi="Times New Roman"/>
          <w:sz w:val="18"/>
          <w:szCs w:val="18"/>
          <w:color w:val="auto"/>
        </w:rPr>
      </w:pPr>
    </w:p>
    <w:p>
      <w:pPr>
        <w:ind w:left="1300" w:firstLine="1300"/>
        <w:spacing w:after="0" w:line="282" w:lineRule="auto"/>
        <w:tabs>
          <w:tab w:leader="none" w:pos="296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301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left="1300" w:right="20" w:firstLine="1300"/>
        <w:spacing w:after="0" w:line="282" w:lineRule="auto"/>
        <w:tabs>
          <w:tab w:leader="none" w:pos="2946"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0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1304"/>
        <w:spacing w:after="0" w:line="253" w:lineRule="auto"/>
        <w:tabs>
          <w:tab w:leader="none" w:pos="16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2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 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9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FSD consists of 100,000,000 Shares of which 12,516,500 are outstanding, 10,000,000 shares of Class B common stock, par value $0.0001 per share of which 3,018,750 are issued 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1304"/>
        <w:spacing w:after="0" w:line="261" w:lineRule="auto"/>
        <w:tabs>
          <w:tab w:leader="none" w:pos="158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2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 (ii) judgment, decree, injunction, ruling or order of any governmental entity or arbitrator outstanding against FSD.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67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under any obligation to pay any broker’s fee or commission in connection with the sale of the Shares hereunder other than to the Placement Agents (as defined herein).</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5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8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1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1304"/>
        <w:spacing w:after="0" w:line="253" w:lineRule="auto"/>
        <w:tabs>
          <w:tab w:leader="none" w:pos="160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1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1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1304"/>
        <w:spacing w:after="0" w:line="266" w:lineRule="auto"/>
        <w:tabs>
          <w:tab w:leader="none" w:pos="165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8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firstLine="1304"/>
        <w:spacing w:after="0" w:line="282" w:lineRule="auto"/>
        <w:tabs>
          <w:tab w:leader="none" w:pos="1636"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disclosure or offering document has been prepared by either of the Placement Agents or any of their respective affiliates in connection with the offer and sale of the Shares.</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96"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issue and purchase of the Shares, the Placement Agents have not acted as the Investor’s financial advisor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fiduciary.</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96"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FSD agrees that, within thirty</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37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90th calendar day after the</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consummation of the Transaction (or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left="-20" w:firstLine="1304"/>
        <w:spacing w:after="0" w:line="253" w:lineRule="auto"/>
        <w:tabs>
          <w:tab w:leader="none" w:pos="160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99" w:name="page100"/>
    <w:bookmarkEnd w:id="99"/>
    <w:p>
      <w:pPr>
        <w:jc w:val="both"/>
        <w:ind w:firstLine="1304"/>
        <w:spacing w:after="0" w:line="251" w:lineRule="auto"/>
        <w:tabs>
          <w:tab w:leader="none" w:pos="161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20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9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1304"/>
        <w:spacing w:after="0" w:line="253" w:lineRule="auto"/>
        <w:tabs>
          <w:tab w:leader="none" w:pos="159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0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97" w:lineRule="exact"/>
        <w:rPr>
          <w:rFonts w:ascii="Times New Roman" w:cs="Times New Roman" w:eastAsia="Times New Roman" w:hAnsi="Times New Roman"/>
          <w:sz w:val="18"/>
          <w:szCs w:val="18"/>
          <w:color w:val="auto"/>
        </w:rPr>
      </w:pPr>
    </w:p>
    <w:p>
      <w:pPr>
        <w:jc w:val="both"/>
        <w:ind w:firstLine="656"/>
        <w:spacing w:after="0" w:line="254" w:lineRule="auto"/>
        <w:tabs>
          <w:tab w:leader="none" w:pos="8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56"/>
        <w:spacing w:after="0" w:line="252" w:lineRule="auto"/>
        <w:tabs>
          <w:tab w:leader="none" w:pos="92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Waiver.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9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3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9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1300"/>
        <w:spacing w:after="0"/>
        <w:rPr>
          <w:sz w:val="20"/>
          <w:szCs w:val="20"/>
          <w:color w:val="auto"/>
        </w:rPr>
      </w:pPr>
      <w:r>
        <w:rPr>
          <w:rFonts w:ascii="Times New Roman" w:cs="Times New Roman" w:eastAsia="Times New Roman" w:hAnsi="Times New Roman"/>
          <w:sz w:val="18"/>
          <w:szCs w:val="18"/>
          <w:color w:val="auto"/>
        </w:rPr>
        <w:t>(e) All of the agreements, representations and warranties made by each party hereto in this Subscription Agreement shall survive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w:t>
      </w:r>
    </w:p>
    <w:p>
      <w:pPr>
        <w:spacing w:after="0" w:line="207" w:lineRule="exact"/>
        <w:rPr>
          <w:sz w:val="20"/>
          <w:szCs w:val="20"/>
          <w:color w:val="auto"/>
        </w:rPr>
      </w:pPr>
    </w:p>
    <w:p>
      <w:pPr>
        <w:jc w:val="both"/>
        <w:ind w:firstLine="1304"/>
        <w:spacing w:after="0" w:line="258" w:lineRule="auto"/>
        <w:tabs>
          <w:tab w:leader="none" w:pos="16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9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1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4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OF THIS SUBSCRIPTION AGREEMENT OR IN SUCH OTHER MANNER AS MAY BE PERMITTED BY LAW SHALL BE VALID AND SUFFICIENT SERVICE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7"/>
          <w:szCs w:val="17"/>
          <w:u w:val="single" w:color="auto"/>
          <w:color w:val="auto"/>
        </w:rPr>
        <w:t>SECTION 10(l)</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1304"/>
        <w:spacing w:after="0" w:line="254" w:lineRule="auto"/>
        <w:tabs>
          <w:tab w:leader="none" w:pos="15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All communications sent to FSD shall be sent to: FS Development Corp., 600 Montgomery Street, Suite 4500, San Francisco, California 94111, Attn: Jim Tananbaum, email: jim@foresitecapital.com, with a copy to: White &amp; Case LLP, 1221 Avenue of the Americas, New York, New York 10020, Attn: Joel L. Rubinstein, Esq., email: </w:t>
      </w:r>
      <w:r>
        <w:rPr>
          <w:rFonts w:ascii="Times New Roman" w:cs="Times New Roman" w:eastAsia="Times New Roman" w:hAnsi="Times New Roman"/>
          <w:sz w:val="18"/>
          <w:szCs w:val="18"/>
          <w:u w:val="single" w:color="auto"/>
          <w:color w:val="auto"/>
        </w:rPr>
        <w:t>joel.rubinstein@whitecase.com</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56"/>
        <w:spacing w:after="0" w:line="253" w:lineRule="auto"/>
        <w:tabs>
          <w:tab w:leader="none" w:pos="93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set forth below.</w:t>
      </w:r>
    </w:p>
    <w:p>
      <w:pPr>
        <w:spacing w:after="0" w:line="15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Name of Investor:</w:t>
      </w:r>
      <w:r>
        <w:rPr>
          <w:sz w:val="20"/>
          <w:szCs w:val="20"/>
          <w:color w:val="auto"/>
        </w:rPr>
        <w:tab/>
      </w:r>
      <w:r>
        <w:rPr>
          <w:rFonts w:ascii="Times New Roman" w:cs="Times New Roman" w:eastAsia="Times New Roman" w:hAnsi="Times New Roman"/>
          <w:sz w:val="18"/>
          <w:szCs w:val="18"/>
          <w:color w:val="auto"/>
        </w:rPr>
        <w:t>State/Country of Formation or Domicile: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_______________________________</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Name in which Shares are to be registered (if different):</w:t>
      </w:r>
      <w:r>
        <w:rPr>
          <w:sz w:val="20"/>
          <w:szCs w:val="20"/>
          <w:color w:val="auto"/>
        </w:rPr>
        <w:tab/>
      </w:r>
      <w:r>
        <w:rPr>
          <w:rFonts w:ascii="Times New Roman" w:cs="Times New Roman" w:eastAsia="Times New Roman" w:hAnsi="Times New Roman"/>
          <w:sz w:val="18"/>
          <w:szCs w:val="18"/>
          <w:color w:val="auto"/>
        </w:rPr>
        <w:t>Date: ________,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EIN:</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Business Address-Street:</w:t>
      </w:r>
      <w:r>
        <w:rPr>
          <w:sz w:val="20"/>
          <w:szCs w:val="20"/>
          <w:color w:val="auto"/>
        </w:rPr>
        <w:tab/>
      </w:r>
      <w:r>
        <w:rPr>
          <w:rFonts w:ascii="Times New Roman" w:cs="Times New Roman" w:eastAsia="Times New Roman" w:hAnsi="Times New Roman"/>
          <w:sz w:val="18"/>
          <w:szCs w:val="18"/>
          <w:color w:val="auto"/>
        </w:rPr>
        <w:t>Mailing Address-Street (if different):</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City, State, Zip:</w:t>
      </w:r>
      <w:r>
        <w:rPr>
          <w:sz w:val="20"/>
          <w:szCs w:val="20"/>
          <w:color w:val="auto"/>
        </w:rPr>
        <w:tab/>
      </w:r>
      <w:r>
        <w:rPr>
          <w:rFonts w:ascii="Times New Roman" w:cs="Times New Roman" w:eastAsia="Times New Roman" w:hAnsi="Times New Roman"/>
          <w:sz w:val="17"/>
          <w:szCs w:val="17"/>
          <w:color w:val="auto"/>
        </w:rPr>
        <w:t>City, State, Zip:</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Attn: _______________________________</w:t>
      </w:r>
      <w:r>
        <w:rPr>
          <w:sz w:val="20"/>
          <w:szCs w:val="20"/>
          <w:color w:val="auto"/>
        </w:rPr>
        <w:tab/>
      </w:r>
      <w:r>
        <w:rPr>
          <w:rFonts w:ascii="Times New Roman" w:cs="Times New Roman" w:eastAsia="Times New Roman" w:hAnsi="Times New Roman"/>
          <w:sz w:val="18"/>
          <w:szCs w:val="18"/>
          <w:color w:val="auto"/>
        </w:rPr>
        <w:t>Attn: _______________________________</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Telephone No.:</w:t>
      </w:r>
      <w:r>
        <w:rPr>
          <w:sz w:val="20"/>
          <w:szCs w:val="20"/>
          <w:color w:val="auto"/>
        </w:rPr>
        <w:tab/>
      </w:r>
      <w:r>
        <w:rPr>
          <w:rFonts w:ascii="Times New Roman" w:cs="Times New Roman" w:eastAsia="Times New Roman" w:hAnsi="Times New Roman"/>
          <w:sz w:val="17"/>
          <w:szCs w:val="17"/>
          <w:color w:val="auto"/>
        </w:rPr>
        <w:t>Telephone No.:</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Facsimile No.:</w:t>
      </w:r>
      <w:r>
        <w:rPr>
          <w:sz w:val="20"/>
          <w:szCs w:val="20"/>
          <w:color w:val="auto"/>
        </w:rPr>
        <w:tab/>
      </w:r>
      <w:r>
        <w:rPr>
          <w:rFonts w:ascii="Times New Roman" w:cs="Times New Roman" w:eastAsia="Times New Roman" w:hAnsi="Times New Roman"/>
          <w:sz w:val="17"/>
          <w:szCs w:val="17"/>
          <w:color w:val="auto"/>
        </w:rPr>
        <w:t>Facsimile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subscribed for:</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Aggregate Subscription Amount: $</w:t>
      </w:r>
      <w:r>
        <w:rPr>
          <w:sz w:val="20"/>
          <w:szCs w:val="20"/>
          <w:color w:val="auto"/>
        </w:rPr>
        <w:tab/>
      </w:r>
      <w:r>
        <w:rPr>
          <w:rFonts w:ascii="Times New Roman" w:cs="Times New Roman" w:eastAsia="Times New Roman" w:hAnsi="Times New Roman"/>
          <w:sz w:val="18"/>
          <w:szCs w:val="18"/>
          <w:color w:val="auto"/>
        </w:rPr>
        <w:t>Price Per Share: $10</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8890</wp:posOffset>
            </wp:positionV>
            <wp:extent cx="241744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29" w:lineRule="exact"/>
        <w:rPr>
          <w:sz w:val="20"/>
          <w:szCs w:val="20"/>
          <w:color w:val="auto"/>
        </w:rPr>
      </w:pPr>
    </w:p>
    <w:p>
      <w:pPr>
        <w:ind w:left="460" w:right="7060" w:hanging="452"/>
        <w:spacing w:after="0" w:line="312" w:lineRule="auto"/>
        <w:tabs>
          <w:tab w:leader="none" w:pos="4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111" w:lineRule="exact"/>
        <w:rPr>
          <w:rFonts w:ascii="Times New Roman" w:cs="Times New Roman" w:eastAsia="Times New Roman" w:hAnsi="Times New Roman"/>
          <w:sz w:val="17"/>
          <w:szCs w:val="17"/>
          <w:color w:val="auto"/>
        </w:rPr>
      </w:pPr>
    </w:p>
    <w:p>
      <w:pPr>
        <w:ind w:left="440"/>
        <w:spacing w:after="0" w:line="207" w:lineRule="exact"/>
        <w:rPr>
          <w:rFonts w:ascii="Times New Roman" w:cs="Times New Roman" w:eastAsia="Times New Roman" w:hAnsi="Times New Roman"/>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53" w:lineRule="exact"/>
        <w:rPr>
          <w:rFonts w:ascii="Times New Roman" w:cs="Times New Roman" w:eastAsia="Times New Roman" w:hAnsi="Times New Roman"/>
          <w:sz w:val="17"/>
          <w:szCs w:val="17"/>
          <w:color w:val="auto"/>
        </w:rPr>
      </w:pPr>
    </w:p>
    <w:p>
      <w:pPr>
        <w:ind w:left="460" w:right="6620" w:hanging="452"/>
        <w:spacing w:after="0" w:line="282" w:lineRule="auto"/>
        <w:tabs>
          <w:tab w:leader="none" w:pos="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 check the applicable subparagraphs):</w:t>
      </w:r>
    </w:p>
    <w:p>
      <w:pPr>
        <w:spacing w:after="0" w:line="133" w:lineRule="exact"/>
        <w:rPr>
          <w:sz w:val="20"/>
          <w:szCs w:val="20"/>
          <w:color w:val="auto"/>
        </w:rPr>
      </w:pPr>
    </w:p>
    <w:p>
      <w:pPr>
        <w:jc w:val="both"/>
        <w:ind w:left="900" w:hanging="447"/>
        <w:spacing w:after="0" w:line="232" w:lineRule="exact"/>
        <w:tabs>
          <w:tab w:leader="none" w:pos="900" w:val="left"/>
        </w:tabs>
        <w:numPr>
          <w:ilvl w:val="0"/>
          <w:numId w:val="1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386" w:lineRule="exact"/>
        <w:rPr>
          <w:rFonts w:ascii="Times New Roman" w:cs="Times New Roman" w:eastAsia="Times New Roman" w:hAnsi="Times New Roman"/>
          <w:sz w:val="18"/>
          <w:szCs w:val="18"/>
          <w:color w:val="auto"/>
        </w:rPr>
      </w:pPr>
    </w:p>
    <w:p>
      <w:pPr>
        <w:ind w:left="900" w:hanging="447"/>
        <w:spacing w:after="0" w:line="207" w:lineRule="exact"/>
        <w:tabs>
          <w:tab w:leader="none" w:pos="900" w:val="left"/>
        </w:tabs>
        <w:numPr>
          <w:ilvl w:val="0"/>
          <w:numId w:val="1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87" w:lineRule="exact"/>
        <w:rPr>
          <w:sz w:val="20"/>
          <w:szCs w:val="20"/>
          <w:color w:val="auto"/>
        </w:rPr>
      </w:pPr>
    </w:p>
    <w:p>
      <w:pPr>
        <w:ind w:left="440" w:firstLine="9"/>
        <w:spacing w:after="0" w:line="282" w:lineRule="auto"/>
        <w:tabs>
          <w:tab w:leader="none" w:pos="661" w:val="left"/>
        </w:tabs>
        <w:numPr>
          <w:ilvl w:val="0"/>
          <w:numId w:val="1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161" w:lineRule="exact"/>
        <w:rPr>
          <w:rFonts w:ascii="MS PGothic" w:cs="MS PGothic" w:eastAsia="MS PGothic" w:hAnsi="MS PGothic"/>
          <w:sz w:val="18"/>
          <w:szCs w:val="18"/>
          <w:color w:val="auto"/>
        </w:rPr>
      </w:pPr>
    </w:p>
    <w:p>
      <w:pPr>
        <w:ind w:left="440" w:firstLine="9"/>
        <w:spacing w:after="0" w:line="282" w:lineRule="auto"/>
        <w:tabs>
          <w:tab w:leader="none" w:pos="637" w:val="left"/>
        </w:tabs>
        <w:numPr>
          <w:ilvl w:val="0"/>
          <w:numId w:val="1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ind w:left="440" w:firstLine="9"/>
        <w:spacing w:after="0" w:line="282" w:lineRule="auto"/>
        <w:tabs>
          <w:tab w:leader="none" w:pos="660" w:val="left"/>
        </w:tabs>
        <w:numPr>
          <w:ilvl w:val="0"/>
          <w:numId w:val="1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61" w:lineRule="exact"/>
        <w:rPr>
          <w:rFonts w:ascii="MS PGothic" w:cs="MS PGothic" w:eastAsia="MS PGothic" w:hAnsi="MS PGothic"/>
          <w:sz w:val="18"/>
          <w:szCs w:val="18"/>
          <w:color w:val="auto"/>
        </w:rPr>
      </w:pPr>
    </w:p>
    <w:p>
      <w:pPr>
        <w:ind w:left="440" w:firstLine="9"/>
        <w:spacing w:after="0" w:line="282" w:lineRule="auto"/>
        <w:tabs>
          <w:tab w:leader="none" w:pos="647" w:val="left"/>
        </w:tabs>
        <w:numPr>
          <w:ilvl w:val="0"/>
          <w:numId w:val="1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640" w:hanging="191"/>
        <w:spacing w:after="0"/>
        <w:tabs>
          <w:tab w:leader="none" w:pos="640" w:val="left"/>
        </w:tabs>
        <w:numPr>
          <w:ilvl w:val="0"/>
          <w:numId w:val="1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ind w:left="640" w:hanging="191"/>
        <w:spacing w:after="0"/>
        <w:tabs>
          <w:tab w:leader="none" w:pos="640" w:val="left"/>
        </w:tabs>
        <w:numPr>
          <w:ilvl w:val="1"/>
          <w:numId w:val="1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22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2"/>
          <w:numId w:val="1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96" w:lineRule="exact"/>
        <w:rPr>
          <w:sz w:val="20"/>
          <w:szCs w:val="20"/>
          <w:color w:val="auto"/>
        </w:rPr>
      </w:pPr>
    </w:p>
    <w:p>
      <w:pPr>
        <w:jc w:val="both"/>
        <w:ind w:left="900" w:hanging="447"/>
        <w:spacing w:after="0" w:line="232" w:lineRule="exact"/>
        <w:tabs>
          <w:tab w:leader="none" w:pos="900" w:val="left"/>
        </w:tabs>
        <w:numPr>
          <w:ilvl w:val="0"/>
          <w:numId w:val="1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70" w:lineRule="exact"/>
        <w:rPr>
          <w:rFonts w:ascii="Times New Roman" w:cs="Times New Roman" w:eastAsia="Times New Roman" w:hAnsi="Times New Roman"/>
          <w:sz w:val="18"/>
          <w:szCs w:val="18"/>
          <w:color w:val="auto"/>
        </w:rPr>
      </w:pPr>
    </w:p>
    <w:p>
      <w:pPr>
        <w:ind w:left="900" w:hanging="447"/>
        <w:spacing w:after="0" w:line="207" w:lineRule="exact"/>
        <w:tabs>
          <w:tab w:leader="none" w:pos="900" w:val="left"/>
        </w:tabs>
        <w:numPr>
          <w:ilvl w:val="0"/>
          <w:numId w:val="1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 natural person.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80" w:lineRule="exact"/>
        <w:rPr>
          <w:sz w:val="20"/>
          <w:szCs w:val="20"/>
          <w:color w:val="auto"/>
        </w:rPr>
      </w:pPr>
    </w:p>
    <w:p>
      <w:pPr>
        <w:ind w:left="440" w:firstLine="9"/>
        <w:spacing w:after="0" w:line="282" w:lineRule="auto"/>
        <w:tabs>
          <w:tab w:leader="none" w:pos="642" w:val="left"/>
        </w:tabs>
        <w:numPr>
          <w:ilvl w:val="0"/>
          <w:numId w:val="1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61" w:lineRule="exact"/>
        <w:rPr>
          <w:rFonts w:ascii="MS PGothic" w:cs="MS PGothic" w:eastAsia="MS PGothic" w:hAnsi="MS PGothic"/>
          <w:sz w:val="18"/>
          <w:szCs w:val="18"/>
          <w:color w:val="auto"/>
        </w:rPr>
      </w:pPr>
    </w:p>
    <w:p>
      <w:pPr>
        <w:jc w:val="both"/>
        <w:ind w:left="440" w:firstLine="9"/>
        <w:spacing w:after="0" w:line="256" w:lineRule="auto"/>
        <w:tabs>
          <w:tab w:leader="none" w:pos="646" w:val="left"/>
        </w:tabs>
        <w:numPr>
          <w:ilvl w:val="0"/>
          <w:numId w:val="1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w:t>
      </w:r>
    </w:p>
    <w:p>
      <w:pPr>
        <w:spacing w:after="0" w:line="187" w:lineRule="exact"/>
        <w:rPr>
          <w:rFonts w:ascii="MS PGothic" w:cs="MS PGothic" w:eastAsia="MS PGothic" w:hAnsi="MS PGothic"/>
          <w:sz w:val="18"/>
          <w:szCs w:val="18"/>
          <w:color w:val="auto"/>
        </w:rPr>
      </w:pPr>
    </w:p>
    <w:p>
      <w:pPr>
        <w:ind w:left="440" w:firstLine="9"/>
        <w:spacing w:after="0" w:line="282" w:lineRule="auto"/>
        <w:tabs>
          <w:tab w:leader="none" w:pos="647" w:val="left"/>
        </w:tabs>
        <w:numPr>
          <w:ilvl w:val="0"/>
          <w:numId w:val="1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10300"/>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SUPPORT AGREEMENT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PARENT SUPPORT AGREEMENT, dated as of October __,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each of the stockholders of Parent whose names appear on the signature pages of this Agreement (each, a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Capitalized terms used herein and not otherwise defined will have the meaning given such terms in the Merger Agreement (as defined below).</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WHEREAS, concurrently herewith, Parent,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Shareholder Representative Services LLC, a Colorado limited liability company, as the Stockholders’ Representative, and the Company,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WHEREAS, as of the date hereof, each Founder owns of record the number of Parent Class A Shares and Parent Class B Shares as set forth opposite such Founder’s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(all such Parent Class A Shares and Parent Class B Shares and the Parent Class A Shares and Parent Class B Shares of which ownership of record or the power to vote is hereafter acquired by the Founders prior to the termination of this Agreement being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in order to induce Parent and the Company to enter into the Merger Agreement, the Founders are executing and delivering this Agreement to Parent and the Company.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mutual covenants and agreements contained herein, and intending to be legally bound hereby, each of the Founders (severally and not jointly), the Company and Parent hereby agrees as follows:</w:t>
      </w:r>
    </w:p>
    <w:p>
      <w:pPr>
        <w:spacing w:after="0" w:line="162" w:lineRule="exact"/>
        <w:rPr>
          <w:sz w:val="20"/>
          <w:szCs w:val="20"/>
          <w:color w:val="auto"/>
        </w:rPr>
      </w:pPr>
    </w:p>
    <w:p>
      <w:pPr>
        <w:jc w:val="both"/>
        <w:ind w:firstLine="656"/>
        <w:spacing w:after="0" w:line="256" w:lineRule="auto"/>
        <w:tabs>
          <w:tab w:leader="none" w:pos="82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Each Founder, by this Agreement, with respect to its Shares, hereby agrees to vote, at any meeting of the stockholders of Parent, and in any action by written consent of the stockholders of Parent, all of such Founder’s Shares (a) in favor of the approval and adoption of the Merger Agreement, each of the Parent Proposals, the transactions contemplated by the Merger Agreement and this Agreement, and (b) in favor of any other matter reasonably necessary to the consummation of the transactions contemplated by the Merger Agreement, the approval of the Parent Proposals and considered and voted upon by the stockholders of Parent in connection therewith. Each Founder acknowledges receipt and review of a copy of the Merger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Each of the Founders agrees that it shall not, directly or indirectly, (a) sell, assign, transfer (including by operation of law), lien, pledge, dispose of or otherwise encumber any of the Shares or otherwise agree to do any of the foregoing (unless the transferee agrees to be bound by this Agreement), (b) 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or indirect acquisition or sale, assignment, transfer (including by operation of law) or other disposition of any Shares (unless the transferee agrees to be bound by this Agreement) or (d) take any action that would have the effect of preventing or disabling the Founder from performing its obligations hereunder.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jc w:val="both"/>
        <w:ind w:firstLine="656"/>
        <w:spacing w:after="0" w:line="255" w:lineRule="auto"/>
        <w:tabs>
          <w:tab w:leader="none" w:pos="8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Anti-Dilution Provision</w:t>
      </w:r>
      <w:r>
        <w:rPr>
          <w:rFonts w:ascii="Times New Roman" w:cs="Times New Roman" w:eastAsia="Times New Roman" w:hAnsi="Times New Roman"/>
          <w:sz w:val="18"/>
          <w:szCs w:val="18"/>
          <w:color w:val="auto"/>
        </w:rPr>
        <w:t>. Each Founder hereby (but subject to the consummation of the Merger) waives (for itself, for its successors, heirs and assigns), to the fullest extent permitted by law and the amended and restated certificate of incorporation of Parent (as may be amended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xml:space="preserve">”), the provisions of Section 4.3(b)(i) of the Certificate of Incorporation to have the Parent Class B Shares convert to Parent Class A Shares at a ratio of greater than one-for-one. The waiver specified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applicable only in connection with the transactions contemplated by the Merger Agreement and this Agreement (and any shares of Class A Common Stock or equity-linked securities issued in connection with the transactions contemplated by the Merger Agreement and this Agreement) and shall be void and of no force and effect if the Merger Agreement shall be terminated for any reason.</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Sponsor agrees that in the event the Unpaid Parent Liabilities as of immediately prior to the Closing are greater than the $11,500,000 (the “</w:t>
      </w:r>
      <w:r>
        <w:rPr>
          <w:rFonts w:ascii="Times New Roman" w:cs="Times New Roman" w:eastAsia="Times New Roman" w:hAnsi="Times New Roman"/>
          <w:sz w:val="18"/>
          <w:szCs w:val="18"/>
          <w:u w:val="single" w:color="auto"/>
          <w:color w:val="auto"/>
        </w:rPr>
        <w:t>Maximum Liability Amount</w:t>
      </w:r>
      <w:r>
        <w:rPr>
          <w:rFonts w:ascii="Times New Roman" w:cs="Times New Roman" w:eastAsia="Times New Roman" w:hAnsi="Times New Roman"/>
          <w:sz w:val="18"/>
          <w:szCs w:val="18"/>
          <w:color w:val="auto"/>
        </w:rPr>
        <w:t>”), Sponsor will either (a) forfeit for cancellation such number of whole Parent Class B Shares equal in value to the excess of the Maximum Liability Amount divided by $10.00 or (b) pay to Parent at the Closing an amount equal to the difference between the Unpaid Parent Liabilities as of immediately prior to the Closing minus the Maximum Liability Amount.</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Founder, severally and not jointly, represents and warrants to the Company as follows:</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Founder of this Agreement and the consummation by such Founder of the transactions contemplated hereby do not and will not (i) conflict with or violate any Law or Order applicable to such Founder, (ii) require any consent, approval or authorization of, declaration, filing or registration with, or notice to, any person or entity, (iii) result in the creation of any Lien on any Shares (other than pursuant to this Agreement or transfer restrictions under applicable securities laws or certificate of incorporation or operating agreement, if any (the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of such Founder) or (iv) conflict with or result in a breach of or constitute a default under any provision of such Founder’s Organizational Documents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Founder owns of record and has good, valid and marketable title to the Shares set forth opposite the Founder’s name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free and clear of any Lien (other than pursuant to this Agreement or transfer restrictions under applicable securities laws or the Organizational Documents of such Founder) and has the sole power (as currently in effect) to vote and full right, power and authority to sell, transfer and deliver such Shares, and such Founder does not own, directly or indirectly, any other Shares.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4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Founder has the power, authority and capacity to execute, deliver and perform this Agreement and that this Agreement has been duly authorized, executed and delivered by such Founder.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obligations of Sponsor and each of the Founders under this Agreement shall automatically terminate upon the earliest of: (a) the Effective Time; (b) the termination of the Merger Agreement in accordance with its terms; and (c) the mutual agreement of the Company and Sponsor.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or in the Merger Agreement, all costs and expenses incurred in connection with this Agreement and the transactions contemplated hereby shall be paid by the party incurring such costs and expenses, whether or not the transactions contemplated hereby are consummated.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1304"/>
        <w:spacing w:after="0" w:line="261" w:lineRule="auto"/>
        <w:tabs>
          <w:tab w:leader="none" w:pos="157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claims, demands and other communications hereunder shall be in writing and shall be given (and shall be deemed to have been duly given upon receipt) by delivery in person, by telecopy or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300 One Kendall Square, 3rd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960"/>
        <w:spacing w:after="0"/>
        <w:tabs>
          <w:tab w:leader="none" w:pos="28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mbloom@goodwinlaw.com</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if to a Founder, to the address or facsimile number set forth for Founder on the signature page hereof.</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1304"/>
        <w:spacing w:after="0" w:line="256" w:lineRule="auto"/>
        <w:tabs>
          <w:tab w:leader="none" w:pos="15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Merger Agreement and the Additional Agreements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Founder shall be liable for the breach by any other Founder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may occur in the event any provision of this Agreement was not performed in accordance with the terms hereof and that the parties shall be entitled to seek specific performance of the terms hereof, in addition to any other remedy at law or in equity.</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and delivered (including by facsimile or portable document format (pdf)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3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further consideration, each party shall use commercially reasonable efforts to execute and deliver or cause to be executed and delivered such additional documents and instruments and take all such further action as may be reasonably necessary or desirable to consummate the transactions contemplated by this Agreement.</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effective or binding upon the Company, Sponsor or any Founder until such time as the Merger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is executed.</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Paragraph (k).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294005</wp:posOffset>
            </wp:positionV>
            <wp:extent cx="284607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294005</wp:posOffset>
            </wp:positionV>
            <wp:extent cx="28460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294005</wp:posOffset>
            </wp:positionV>
            <wp:extent cx="28460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FOUNDERS:</w:t>
      </w:r>
    </w:p>
    <w:p>
      <w:pPr>
        <w:spacing w:after="0" w:line="2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b w:val="1"/>
          <w:bCs w:val="1"/>
          <w:color w:val="auto"/>
        </w:rPr>
        <w:t>FS DEVELOPMENT HOLDINGS, LLC</w:t>
      </w:r>
    </w:p>
    <w:p>
      <w:pPr>
        <w:spacing w:after="0" w:line="24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17145</wp:posOffset>
            </wp:positionV>
            <wp:extent cx="241744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Address:</w:t>
      </w:r>
    </w:p>
    <w:p>
      <w:pPr>
        <w:spacing w:after="0" w:line="20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Robert Carey</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17145</wp:posOffset>
            </wp:positionV>
            <wp:extent cx="241744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Address:</w:t>
      </w:r>
    </w:p>
    <w:p>
      <w:pPr>
        <w:spacing w:after="0" w:line="2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Daniel Dubin</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17145</wp:posOffset>
            </wp:positionV>
            <wp:extent cx="241744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Address:</w:t>
      </w:r>
    </w:p>
    <w:p>
      <w:pPr>
        <w:spacing w:after="0" w:line="2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Deepa Pakianathan</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17145</wp:posOffset>
            </wp:positionV>
            <wp:extent cx="241744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15" w:name="page116"/>
    <w:bookmarkEnd w:id="115"/>
    <w:p>
      <w:pPr>
        <w:jc w:val="center"/>
        <w:ind w:left="328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u w:val="single" w:color="auto"/>
          <w:color w:val="auto"/>
        </w:rPr>
        <w:t>THE FOUNDERS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Carey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Deepa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Parent Class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Parent Class</w:t>
            </w:r>
          </w:p>
        </w:tc>
      </w:tr>
      <w:tr>
        <w:trPr>
          <w:trHeight w:val="21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 Common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 Common</w:t>
            </w:r>
          </w:p>
        </w:tc>
      </w:tr>
      <w:tr>
        <w:trPr>
          <w:trHeight w:val="24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43"/>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441,500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2,928,750</w:t>
            </w: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bl>
    <w:p>
      <w:pPr>
        <w:sectPr>
          <w:pgSz w:w="11900" w:h="16838" w:orient="portrait"/>
          <w:cols w:equalWidth="0" w:num="2">
            <w:col w:w="7960" w:space="720"/>
            <w:col w:w="2460"/>
          </w:cols>
          <w:pgMar w:left="320" w:top="900" w:right="439" w:bottom="1440" w:gutter="0" w:footer="0" w:header="0"/>
        </w:sectPr>
      </w:pPr>
    </w:p>
    <w:bookmarkStart w:id="116" w:name="page117"/>
    <w:bookmarkEnd w:id="116"/>
    <w:p>
      <w:pPr>
        <w:ind w:left="10300"/>
        <w:spacing w:after="0"/>
        <w:rPr>
          <w:sz w:val="20"/>
          <w:szCs w:val="20"/>
          <w:color w:val="auto"/>
        </w:rPr>
      </w:pPr>
      <w:r>
        <w:rPr>
          <w:rFonts w:ascii="Times New Roman" w:cs="Times New Roman" w:eastAsia="Times New Roman" w:hAnsi="Times New Roman"/>
          <w:sz w:val="17"/>
          <w:szCs w:val="17"/>
          <w:b w:val="1"/>
          <w:bCs w:val="1"/>
          <w:color w:val="auto"/>
        </w:rPr>
        <w:t>EXHIBIT D</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VOTING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VOTING AGREEMENT dated as of [●],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FS Development Holdings, LLC, a Delaware limited liability company (“</w:t>
      </w:r>
      <w:r>
        <w:rPr>
          <w:rFonts w:ascii="Times New Roman" w:cs="Times New Roman" w:eastAsia="Times New Roman" w:hAnsi="Times New Roman"/>
          <w:sz w:val="18"/>
          <w:szCs w:val="18"/>
          <w:u w:val="single" w:color="auto"/>
          <w:color w:val="auto"/>
        </w:rPr>
        <w:t>FS Sponsor</w:t>
      </w:r>
      <w:r>
        <w:rPr>
          <w:rFonts w:ascii="Times New Roman" w:cs="Times New Roman" w:eastAsia="Times New Roman" w:hAnsi="Times New Roman"/>
          <w:sz w:val="18"/>
          <w:szCs w:val="18"/>
          <w:color w:val="auto"/>
        </w:rPr>
        <w:t>”), Gemini Therapeutics, Inc., a Delaware corporation formerly known as FS Development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individuals and entities executing a counterpart signature page to this Agreement (each, a “</w:t>
      </w:r>
      <w:r>
        <w:rPr>
          <w:rFonts w:ascii="Times New Roman" w:cs="Times New Roman" w:eastAsia="Times New Roman" w:hAnsi="Times New Roman"/>
          <w:sz w:val="18"/>
          <w:szCs w:val="18"/>
          <w:u w:val="single" w:color="auto"/>
          <w:color w:val="auto"/>
        </w:rPr>
        <w:t>Voting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Voting 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reference is made to that certain Agreement and Plan of Merger, dated as of October [●], 2020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FS Development Holdings, LLC, a Delaware limited liability company, Shareholder Representative Services LLC, a Colorado limited liability company, as the Stockholders’ Representative, and Gemini Therapeutics, Inc., a Delaware corporation (the “</w:t>
      </w:r>
      <w:r>
        <w:rPr>
          <w:rFonts w:ascii="Times New Roman" w:cs="Times New Roman" w:eastAsia="Times New Roman" w:hAnsi="Times New Roman"/>
          <w:sz w:val="18"/>
          <w:szCs w:val="18"/>
          <w:u w:val="single" w:color="auto"/>
          <w:color w:val="auto"/>
        </w:rPr>
        <w:t>Gemini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WHEREAS, all capitalized terms used, but not otherwise defined herein, shall have the meanings ascribed to such terms in the Merger Agreement;</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the Merger Agreement and simultaneously with the execution and delivery of this Agreement, Merger Sub is being merged with and into Gemini, with Gemini being the Surviving Corporation, as a result of which Gemini will be the wholly-owned subsidiary of the Company;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execution and delivery of this Agreement is a condition to the closing of the Merger and the other transactions contemplated by the Merger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mutual covenants and agreements set forth herein, and other good and valuable consideration, the receipt and sufficiency of which are hereby acknowledged, FS Sponsor, the Company and each Voting Party intending to be legally bound,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jc w:val="both"/>
        <w:ind w:firstLine="656"/>
        <w:spacing w:after="0" w:line="268" w:lineRule="auto"/>
        <w:tabs>
          <w:tab w:leader="none" w:pos="84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to Vote</w:t>
      </w:r>
      <w:r>
        <w:rPr>
          <w:rFonts w:ascii="Times New Roman" w:cs="Times New Roman" w:eastAsia="Times New Roman" w:hAnsi="Times New Roman"/>
          <w:sz w:val="18"/>
          <w:szCs w:val="18"/>
          <w:color w:val="auto"/>
        </w:rPr>
        <w:t>. During the Term (as defined below), each Voting Party agrees to vote all voting securities of the Company that it owns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and may vote in the election of the Company’s directors (collectively, “</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in accordance with the provisions of this Agreement, whether at a regular or special meeting of stockholders or by written consent.</w:t>
      </w:r>
    </w:p>
    <w:p>
      <w:pPr>
        <w:spacing w:after="0" w:line="170"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2.1 Immediately following the consummation of the Merger, or as soon as practicable thereafter, the Company board of directors (the “Board”) will be comprised of seven (7) directors, which shall be divided into three (3) classes, designated Class I, II and III, with Class I consisting of [●] Directors, Class II consisting of [●] Directors and Class III consisting of [●] Directors. [●], [●], [●] and [●] shall constitute the initial members of Class I and shall be nominated in Class I, the members of which shall have an initial term that expires at the annual meeting of stockholders of the Company held in 2021; [●], [●] and [●] shall constitute the initial members of Class II and shall be nominated in Class II, the members of which shall have an initial term that expires at the annual meeting of stockholders of the Company held in 2022; and [●], [●] and [●] shall constitute the initial members of Class III and shall be nominated in Class III, the members of which shall have an initial term that expires at the annual meeting of stockholders held in 2023.</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spacing w:after="0" w:line="282" w:lineRule="auto"/>
        <w:rPr>
          <w:sz w:val="20"/>
          <w:szCs w:val="20"/>
          <w:color w:val="auto"/>
        </w:rPr>
      </w:pPr>
      <w:r>
        <w:rPr>
          <w:rFonts w:ascii="Times New Roman" w:cs="Times New Roman" w:eastAsia="Times New Roman" w:hAnsi="Times New Roman"/>
          <w:sz w:val="18"/>
          <w:szCs w:val="18"/>
          <w:color w:val="auto"/>
        </w:rPr>
        <w:t>The full seven (7) member Board will be comprised of Jason Meyenberg, Jim Tananbaum, Carl Gordon and four (4) other rmembers of the Gemini board of directors.</w:t>
      </w:r>
    </w:p>
    <w:p>
      <w:pPr>
        <w:spacing w:after="0" w:line="165"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18"/>
          <w:szCs w:val="18"/>
          <w:color w:val="auto"/>
        </w:rPr>
        <w:t>2.2 Until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date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at each annual or special meeting of stockholders of the Company, FS Sponsor shall have the right to designate for election as a member of the Board, and the Board (including any committee thereof) shall nominate (and recommend for election and include such recommendation in a timely manner in any proxy statement, consent solicitation or other applicable announcement to the Company’s stockholders), one (1) individual to serve as a Class III Director; provided, however, if at any time during such five-year period the FS Sponsor owns less than [●] shares of Class A Common Stock of the Company (as adjusted for any share split, share dividend or other share recapitalization, share exchange or other event), the rights of the FS Sponsor and obligations of the Board under this Section 2.2 shall automatically terminate.</w:t>
      </w:r>
    </w:p>
    <w:p>
      <w:pPr>
        <w:spacing w:after="0" w:line="20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2.3 Provisions relating to authority to appoint four (4) of the Gemini directors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be determined by Gemini’s current board of directors at its sole discretion.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2.4 If FS Sponsor or [●] cease to be entitled to nominate any Directors in accordance with Section 2.2 or Section 2.3, then such Directors shall be nominated by the Board and approved by the holders of the outstanding shares of Common Stock. All Directors shall hold office, subject to their earlier death, resignation or removal in accordance with this Agreement and applicable law, until their respective successors shall have been elected and qualified.</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2.5 All Directors elected in accordance with Section 2.2 or Section 2.3, as applicable, shall be removed from the Board only upon the vote or written consent of the Voting Party that is entitled to nominate, appoint or elect such Director under Section 2.2 or Section 2.3, as applicable. Upon any decrease in the rights of any such Voting Party to nominate, appoint or elect any Director pursuant to Section 2.2 or Section 2.3, as applicable, the applicable Voting Party shall promptly cause the removal or resignation of an applicable number of Directors if requested by the Board. Upon any individual elected as provided in Section 2.2 or Section 2.3, as applicable, ceasing to be a member of the Board, whether by death, resignation or removal or otherwise, only the Voting Party that was entitled to nominate, appoint or elect such individual under Section 2.2 or Section 2.3, as applicable, shall have the right to fill any resulting vacancy in the Board; provided that such Voting Party still has the right to nominate, appoint or elect the applicable Director pursuant to Section 2.2 or Section 2.3, as applicable. If the Company has reduced the size of the Board following such death, resignation or removal or other departure of such individual from the Board, then if requested by any Voting Party entitled to designate a Director pursuant to Section 2.2 or Section 2.3, as applicable, who is not currently serving on the Board, the Company and the Voting Party shall take all actions necessary to increase the size of the Board and nominate, appoint or elect to the resulting vacancy the applicable Director entitled to be designated by such Voting Party pursuant to Section 2.2 or Section 2.3, as applicable.</w:t>
      </w:r>
    </w:p>
    <w:p>
      <w:pPr>
        <w:spacing w:after="0" w:line="186" w:lineRule="exact"/>
        <w:rPr>
          <w:sz w:val="20"/>
          <w:szCs w:val="20"/>
          <w:color w:val="auto"/>
        </w:rPr>
      </w:pPr>
    </w:p>
    <w:p>
      <w:pPr>
        <w:jc w:val="both"/>
        <w:ind w:firstLine="656"/>
        <w:spacing w:after="0" w:line="268" w:lineRule="auto"/>
        <w:tabs>
          <w:tab w:leader="none" w:pos="84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in Interest of the Voting Parties and the Company</w:t>
      </w:r>
      <w:r>
        <w:rPr>
          <w:rFonts w:ascii="Times New Roman" w:cs="Times New Roman" w:eastAsia="Times New Roman" w:hAnsi="Times New Roman"/>
          <w:sz w:val="18"/>
          <w:szCs w:val="18"/>
          <w:color w:val="auto"/>
        </w:rPr>
        <w:t>. The provisions of this Agreement shall be binding upon the successors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of any Voting Party with respect to any of such Voting Party’s Voting Shares or any voting rights therein, unless the Voting Shares are sold on a national securities exchange on which the Company common stock is listed for trading on the date in question (the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8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Proxy</w:t>
      </w:r>
      <w:r>
        <w:rPr>
          <w:rFonts w:ascii="Times New Roman" w:cs="Times New Roman" w:eastAsia="Times New Roman" w:hAnsi="Times New Roman"/>
          <w:sz w:val="18"/>
          <w:szCs w:val="18"/>
          <w:color w:val="auto"/>
        </w:rPr>
        <w:t>. The parties agree that this Agreement does not constitute the granting of a proxy to any party or any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should the provisions of this Agreement be construed to constitute the granting of proxies, such proxies shall be deemed coupled with an interest and are irrevocable for the term of this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56"/>
        <w:spacing w:after="0" w:line="259" w:lineRule="auto"/>
        <w:tabs>
          <w:tab w:leader="none" w:pos="82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Specific Enforcement</w:t>
      </w:r>
      <w:r>
        <w:rPr>
          <w:rFonts w:ascii="Times New Roman" w:cs="Times New Roman" w:eastAsia="Times New Roman" w:hAnsi="Times New Roman"/>
          <w:sz w:val="18"/>
          <w:szCs w:val="18"/>
          <w:color w:val="auto"/>
        </w:rPr>
        <w:t>. It is agreed and understood that (a) monetary damages would not adequately compensate an injured party for the breach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by any party hereto, (b) this Agreement shall be specifically enforceable and (c) any breach of this Agreement shall be the proper subject of a temporary or permanent injunction or restraining order. Further, each party hereto waives any claim or defence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Manner of Voting. The voting of the Voting Shares pursuant to this Agreement may be effected in person, by proxy, by written consent or in any other manner permitted by applicable law.</w:t>
      </w:r>
    </w:p>
    <w:p>
      <w:pPr>
        <w:spacing w:after="0" w:line="15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shall terminate on the last day of the Term.</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82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Waivers</w:t>
      </w:r>
      <w:r>
        <w:rPr>
          <w:rFonts w:ascii="Times New Roman" w:cs="Times New Roman" w:eastAsia="Times New Roman" w:hAnsi="Times New Roman"/>
          <w:sz w:val="18"/>
          <w:szCs w:val="18"/>
          <w:color w:val="auto"/>
        </w:rPr>
        <w:t>. Except as otherwise provided herein, any provision of this Agreement may be amended, or the observance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waived (either generally or in a particular instance and either retroactively or prospectively) only with the written consent of the Company, FS Sponsor and [●].</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84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Splits, Stock Dividends, etc</w:t>
      </w:r>
      <w:r>
        <w:rPr>
          <w:rFonts w:ascii="Times New Roman" w:cs="Times New Roman" w:eastAsia="Times New Roman" w:hAnsi="Times New Roman"/>
          <w:sz w:val="18"/>
          <w:szCs w:val="18"/>
          <w:color w:val="auto"/>
        </w:rPr>
        <w:t>. In the event of any stock split, stock dividend, recapitalization, reorganization or the like, any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with respect to Voting Shares held by the Voting Parties shall become Voting Shares for purposes of this Agreement.</w:t>
      </w:r>
    </w:p>
    <w:p>
      <w:pPr>
        <w:spacing w:after="0" w:line="154" w:lineRule="exact"/>
        <w:rPr>
          <w:rFonts w:ascii="Times New Roman" w:cs="Times New Roman" w:eastAsia="Times New Roman" w:hAnsi="Times New Roman"/>
          <w:sz w:val="18"/>
          <w:szCs w:val="18"/>
          <w:color w:val="auto"/>
        </w:rPr>
      </w:pPr>
    </w:p>
    <w:p>
      <w:pPr>
        <w:ind w:right="20" w:firstLine="656"/>
        <w:spacing w:after="0" w:line="286" w:lineRule="auto"/>
        <w:tabs>
          <w:tab w:leader="none" w:pos="95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the event that any provision of the Agreement shall be invalid, illegal or unenforceable, the validity, legality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remaining provisions shall not in any way be affected or impaired thereby.</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3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the legal relations between the parties arising hereunder shall be governed by and interpreted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laws of the State of Delaware without reference to its conflicts of law provisions.</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93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 Electronic Execution or Delivery</w:t>
      </w:r>
      <w:r>
        <w:rPr>
          <w:rFonts w:ascii="Times New Roman" w:cs="Times New Roman" w:eastAsia="Times New Roman" w:hAnsi="Times New Roman"/>
          <w:sz w:val="18"/>
          <w:szCs w:val="18"/>
          <w:color w:val="auto"/>
        </w:rPr>
        <w:t>. This Agreement may be executed in two or more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together shall constitute one instrument. This Agreement may be executed electronically; any executed counterpart of this Agreement may be delivered by facsimile or electronic mail; and any such electronically executed or delivered copy of a counterpart signature page shall have the same force and effect as an originally executed copy hereof.</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9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Except as otherwise expressly provided in this Agreement, the provisions hereof shall inure to the benefit of,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upon, the successors and assigns of the parties hereto.</w:t>
      </w:r>
    </w:p>
    <w:p>
      <w:pPr>
        <w:spacing w:after="0" w:line="154"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9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full and entire understanding and agreement among the parties, and supersedes any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understanding among the parties, with regard to the subject hereof, and no party shall be liable or bound to any other party in any manner by any warranties, representations or covenants except as specifically set forth herein or therein.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IN WITNESS WHEREOF, this Voting Agreement is hereby executed effective as of the date first set forth above.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corporation f/k/a FS Development Corp.</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980" w:top="904" w:right="1039" w:bottom="1440" w:gutter="0" w:footer="0" w:header="0"/>
        </w:sectPr>
      </w:pPr>
    </w:p>
    <w:bookmarkStart w:id="120" w:name="page121"/>
    <w:bookmarkEnd w:id="120"/>
    <w:p>
      <w:pPr>
        <w:ind w:left="5640"/>
        <w:spacing w:after="0"/>
        <w:rPr>
          <w:sz w:val="20"/>
          <w:szCs w:val="20"/>
          <w:color w:val="auto"/>
        </w:rPr>
      </w:pPr>
      <w:r>
        <w:rPr>
          <w:rFonts w:ascii="Times New Roman" w:cs="Times New Roman" w:eastAsia="Times New Roman" w:hAnsi="Times New Roman"/>
          <w:sz w:val="18"/>
          <w:szCs w:val="18"/>
          <w:b w:val="1"/>
          <w:bCs w:val="1"/>
          <w:color w:val="auto"/>
        </w:rPr>
        <w:t>VOTING PARTIES: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8890</wp:posOffset>
            </wp:positionV>
            <wp:extent cx="241744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1" w:name="page122"/>
    <w:bookmarkEnd w:id="121"/>
    <w:p>
      <w:pPr>
        <w:ind w:left="564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8890</wp:posOffset>
            </wp:positionV>
            <wp:extent cx="241744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Atlas Venture Associates X,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0"/>
          </w:cols>
          <w:pgMar w:left="1440" w:top="900" w:right="1139" w:bottom="1440" w:gutter="0" w:footer="0" w:header="0"/>
        </w:sectPr>
      </w:pPr>
    </w:p>
    <w:bookmarkStart w:id="122" w:name="page123"/>
    <w:bookmarkEnd w:id="122"/>
    <w:p>
      <w:pPr>
        <w:ind w:left="10300"/>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ESCROW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ESCROW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 2020, by and between: FS Development Holdings,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liability company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of the Company Securityholders (the “</w:t>
      </w:r>
      <w:r>
        <w:rPr>
          <w:rFonts w:ascii="Times New Roman" w:cs="Times New Roman" w:eastAsia="Times New Roman" w:hAnsi="Times New Roman"/>
          <w:sz w:val="18"/>
          <w:szCs w:val="18"/>
          <w:b w:val="1"/>
          <w:bCs w:val="1"/>
          <w:color w:val="auto"/>
        </w:rPr>
        <w:t>Stockholder Representative</w:t>
      </w:r>
      <w:r>
        <w:rPr>
          <w:rFonts w:ascii="Times New Roman" w:cs="Times New Roman" w:eastAsia="Times New Roman" w:hAnsi="Times New Roman"/>
          <w:sz w:val="18"/>
          <w:szCs w:val="18"/>
          <w:color w:val="auto"/>
        </w:rPr>
        <w:t>”), solely in its capacity as the representative, agent and attorney-in-fact of the stockholders of the Company, and Continental Stock Transfer &amp; Trust Company, a New York corporation (the “</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FSG Merger Sub Inc., a Delaware corporation and a wholly-owned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Gemini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Stockholder Representative entered into an Agreement and Plan of Merger, dated October [ ● ], 2020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providing for, among other things, the merger of Merger Sub with and into the Company and the conversion of shares of Company Capital Stock (other than the Dissenting Shares) into the right to receive a number of Parent Class A Shares equal to the Closing Consideration Conversion Ratio in accordance with the terms set forth in the Merger Agreement; and</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4.1(i) of the Merger Agreement, Parent is required to deposit 2,150,000 Parent Class A Shares, par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$0.0001 per share (the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which Escrow Shares would otherwise be issuable to the Escrow Participants (as defined in the Merger Agreement), with the Escrow Agent on the date hereof in connection with the indemnification obligations of the Escrow Participants as contemplated by the Merger Agreement;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of the mutual covenants hereinafter set forth, the parties hereto agree as follows:</w:t>
      </w:r>
    </w:p>
    <w:p>
      <w:pPr>
        <w:spacing w:after="0" w:line="225" w:lineRule="exact"/>
        <w:rPr>
          <w:sz w:val="20"/>
          <w:szCs w:val="20"/>
          <w:color w:val="auto"/>
        </w:rPr>
      </w:pPr>
    </w:p>
    <w:p>
      <w:pPr>
        <w:ind w:left="840" w:hanging="184"/>
        <w:spacing w:after="0"/>
        <w:tabs>
          <w:tab w:leader="none" w:pos="8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Defined Terms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the Stockholder Representative hereby appoint the Escrow Agent as its escrow agent for the purposes set forth herein, and the Escrow Agent hereby accepts such appointment under the terms and conditions set forth herein.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with respect to the Escrow Agent shall be defined herein. The Escrow Agent shall act only in accordance with the terms and conditions contained in this Agreement and shall have no duties or obligations with respect to the Merger Agreement.</w:t>
      </w:r>
    </w:p>
    <w:p>
      <w:pPr>
        <w:spacing w:after="0" w:line="15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to deposit the Escrow Shares with the Escrow Agent on the date hereof. The Escrow Agent shall hold the Escrow Shares as a book-entry position registered on a pro rata basis in the proportion set forth next to the name of each stockholder of the Company as indicated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928"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Escrow Shares are held by the Escrow Agent, with respect to any matter for which the Escrow Shares are permitted to vote, the Escrow Agent shall vote, or cause to be voted, the Escrow Shares in the manner directed by the Stockholder Representative. In the absence of an instruction from the Stockholder Representative, the Escrow Agent shall not vote any of the shares comprising the Escrow Shares.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jc w:val="both"/>
        <w:ind w:left="1300" w:firstLine="1300"/>
        <w:spacing w:after="0" w:line="258" w:lineRule="auto"/>
        <w:tabs>
          <w:tab w:leader="none" w:pos="2908"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paid with respect to the Escrow Shares (collectively, the “</w:t>
      </w:r>
      <w:r>
        <w:rPr>
          <w:rFonts w:ascii="Times New Roman" w:cs="Times New Roman" w:eastAsia="Times New Roman" w:hAnsi="Times New Roman"/>
          <w:sz w:val="18"/>
          <w:szCs w:val="18"/>
          <w:u w:val="single" w:color="auto"/>
          <w:color w:val="auto"/>
        </w:rPr>
        <w:t>Escrowed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shall be delivered to the Escrow Agent and shall immediately be disbursed by the Escrow Agent to the same person or entity to whom such Escrow Shares are to be released in accordance with the terms of this Agreement. For the avoidance of doubt, any release or distribution of Escrow Dividends is intended to comply with, and shall be effected in accordance with, Rev. Proc. 84-42, 1984-1 C.B. 521.</w:t>
      </w:r>
    </w:p>
    <w:p>
      <w:pPr>
        <w:spacing w:after="0" w:line="183"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958"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stock split, reverse stock split, stock dividend, recapitalization, reorganization, merger, consolidation, combination, exchange of shares, liquidation, spin-off or other similar change in capitalization or event, or any distribution to holders of the common stock of Parent other than a regular cash dividend, the Escrow Shares under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shall be appropriately adjusted on a pro rata basis.</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Disposition and 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1304"/>
        <w:spacing w:after="0" w:line="282" w:lineRule="auto"/>
        <w:tabs>
          <w:tab w:leader="none" w:pos="155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Escrow Agent receives an instruction letter signed by each of Sponsor and the Stockholder Representative, the Escrow Agent shall promptly distribute all or any portion of the Escrow Shares as directed by such instruction letter.</w:t>
      </w:r>
    </w:p>
    <w:p>
      <w:pPr>
        <w:spacing w:after="0" w:line="15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shall have only those duties as are specifically and expressly provided herein, which shall be deemed purely ministerial in nature, and no other duties shall be implied. The Escrow Agent shall neither be responsible for, nor chargeable with, knowledge of, nor have any requirements to comply with, the terms and conditions of any other agreement, instrument or document between Parent or Sponsor and any other person or entity, in connection herewith, if any, including without limitation the Merger Agreement or nor shall the Escrow Agent be required to determine if any person or entity has complied with any such agreements, nor shall any additional obligations of the Escrow Agent be inferred from the terms of such agreements, even though reference thereto may be made in this Agreement. In the event of any conflict between the terms and provisions of this Agreement, those of the Merger Agreement, any schedule or exhibit attached to this Agreement, or any other agreement between Parent or Sponsor and any other person or entity, the terms and conditions of this Agreement shall control. The Escrow Agent may rely upon and shall not be liable for acting or refraining from acting upon any written notice, document, instruction or request furnished to it hereunder and believed by it to be genuine and to have been signed or presented by the applicable person without inquiry and without requiring substantiating evidence of any kind. The Escrow Agent shall not be liable to any beneficiary or other person for refraining from acting upon any instruction setting forth, claiming, containing, objecting to, or related to the transfer or distribution of the Escrow Shares, or any portion thereof, unless such instruction shall have been delivered to the Escrow Agent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Escrow Agent has been able to satisfy any applicable security procedures as may be required hereunder and as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Escrow Agent shall be under no duty to inquire into or investigate the validity, accuracy or content of any such document, notice, instruction or request. The Escrow Agent shall have no duty to solicit any payments which may be due it or the Escrow Shares nor shall the Escrow Agent have any duty or obligation to confirm or verify the accuracy or correctness of any amounts deposited with it hereunder.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1304"/>
        <w:spacing w:after="0" w:line="253" w:lineRule="auto"/>
        <w:tabs>
          <w:tab w:leader="none" w:pos="154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suffered or omitted to be taken by it in good faith except to the extent that a final adjudication of a court of competent jurisdiction determines that the Escrow Agent’s fraud, gross negligence or willful misconduct was the primary cause of any loss. The Escrow Agent may execute any of its powers and perform any of its duties hereunder directly or through affiliates or agents. The Escrow Agent may consult with counsel, accountants and other skilled persons to be selected and retained by it. The Escrow Agent shall not be liable for any action taken, suffered or omitted to be taken by it in good faith, in accordance with, or in reliance upon, the advice or opinion of any such counsel, accountants or other skilled persons except to the extent that a final adjudication of a court of competent jurisdiction determines that the Escrow Agent’s fraud, gross negligence or willful misconduct was the primary cause of any loss. In the event that the Escrow Agent shall be uncertain or believe there is some ambiguity as to its duties or rights hereunder or shall receive instructions, claims or demands which, in its opinion, conflict with any of the provisions of this Agreement, it shall be entitled to refrain from taking any action and its sole obligation shall be to keep safely all property held in escrow until it shall be given a direction in writing which eliminates such ambiguity or uncertainty to the satisfaction of the Escrow Agent or by a final and non-appealable order or judgment of a court of competent jurisdiction.</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3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may resign and be discharged from its duties or obligations hereunder by giving thirty (30) days’ advance notice in writing of such resignation to the other parties hereto specifying a date when such resignation shall take effect,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resignation shall not take effect until a successor escrow agent has been appointed in accordance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If the parties hereto have jointly failed to appoint a successor escrow agent prior to the expiration of thirty (30) days following receipt of the notice of resignation, the Escrow Agent may petition any court of competent jurisdiction for the appointment of a successor escrow agent or for other appropriate relief, and any such resulting appointment shall be binding upon all of the parties hereto. The Escrow Agent’s sole responsibility after such thirty (30) day notice period expires shall be to hold the Escrow Shares and to deliver the same to a designated substitute escrow agent, if any, or in accordance with the directions of a final order or judgment of a court of competent jurisdiction, at which time of delivery the Escrow Agent’s obligations hereunder shall cease and terminate, subject to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the Escrow Agent shall have the right to withhold, as security, an amount of shares equal to any dollar amount due and owing to the Escrow Agent, plus any costs and expenses the Escrow Agent shall reasonably believe may be incurred by the Escrow Agent in connection with the termination of this Agreement.</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4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157" w:lineRule="exact"/>
        <w:rPr>
          <w:rFonts w:ascii="Times New Roman" w:cs="Times New Roman" w:eastAsia="Times New Roman" w:hAnsi="Times New Roman"/>
          <w:sz w:val="18"/>
          <w:szCs w:val="18"/>
          <w:color w:val="auto"/>
        </w:rPr>
      </w:pPr>
    </w:p>
    <w:p>
      <w:pPr>
        <w:jc w:val="both"/>
        <w:ind w:firstLine="656"/>
        <w:spacing w:after="0" w:line="257" w:lineRule="auto"/>
        <w:tabs>
          <w:tab w:leader="none" w:pos="84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and Reimbursement. </w:t>
      </w:r>
      <w:r>
        <w:rPr>
          <w:rFonts w:ascii="Times New Roman" w:cs="Times New Roman" w:eastAsia="Times New Roman" w:hAnsi="Times New Roman"/>
          <w:sz w:val="18"/>
          <w:szCs w:val="18"/>
          <w:color w:val="auto"/>
        </w:rPr>
        <w:t>The Escrow Agent shall be entitled to compensation for its services under this Agreement as Escrow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and for reimbursement for its reasonable and documented out-of-pocket costs and expenses, in the amounts and payable as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All amounts owing under the foregoing sentence shall be paid by Parent. The Escrow Agent shall also be entitled to payment of any amounts to which the Escrow Agent is entitled under the indemnification provisions contained herein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such compensation, expenses, disbursements and advances shall not be paid from the Escrow Shares. The obligations of Parent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the resignation, replacement or removal of the Escrow Agent or the termination of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840" w:hanging="184"/>
        <w:spacing w:after="0"/>
        <w:tabs>
          <w:tab w:leader="none" w:pos="8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be indemnified and held harmless by Parent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other than expenses or losses arising from the fraud, gross negligence or willful misconduct of the Escrow Agent. Promptly after the receipt by the Escrow Agent of notice of any demand or claim or the commencement of any action, suit or proceeding, the Escrow Agent shall notify the other parties hereto in writing and keep the parties advised with respect to all developments concerning such claim. In the event of the receipt of such notice, the Escrow Agent, in its sole discretion, may commence an action in the nature of interpleader in the any state or federal court located in New York County, State of New York.</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or omitted by it in good faith and in the exercise of its own best judgment (absent gross negligence or willful misconduct),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by it in good faith and believed by it to be authorized or within the rights or powers conferred upon it by this Agreement (absent gross negligence or willful misconduct), and may consult with counsel of its own choice and shall have full and complete authorization and indemnification, for any action taken or suffered by it hereunder in good faith and in accordance with the opinion of such counsel.</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survive termination of this Agreement or the resignation, replacement or removal of the Escrow Agent for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w:t>
      </w:r>
    </w:p>
    <w:p>
      <w:pPr>
        <w:spacing w:after="0" w:line="202"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Disclosure/Taxpayer Identification Numbers/Tax Reporting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Disclosure</w:t>
      </w:r>
      <w:r>
        <w:rPr>
          <w:rFonts w:ascii="Times New Roman" w:cs="Times New Roman" w:eastAsia="Times New Roman" w:hAnsi="Times New Roman"/>
          <w:sz w:val="18"/>
          <w:szCs w:val="18"/>
          <w:color w:val="auto"/>
        </w:rPr>
        <w:t>. Section 326 of the Uniting and Strengthening America by Providing Appropriate Tools Required to Intercept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Obstruct Terrorism Act of 2001 (“</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requires the Escrow Agent to implement reasonable procedures to verify the identity of any person that opens a new account with it. Accordingly, parties hereto acknowledge that Section 326 of the USA PATRIOT Act and the Escrow Agent’s identity verification procedures require the Escrow Agent to obtain information which may be used to confirm identity, including without limitation name, address and organizational documents (“identifying information”). The parties hereto agree to provide the Escrow Agent with information and consent to the Escrow Agent obtaining from third parties any such identifying information required as a condition of opening an account with or using any service provided by the Escrow Agent.</w:t>
      </w:r>
    </w:p>
    <w:p>
      <w:pPr>
        <w:spacing w:after="0" w:line="186" w:lineRule="exact"/>
        <w:rPr>
          <w:rFonts w:ascii="Times New Roman" w:cs="Times New Roman" w:eastAsia="Times New Roman" w:hAnsi="Times New Roman"/>
          <w:sz w:val="18"/>
          <w:szCs w:val="18"/>
          <w:color w:val="auto"/>
        </w:rPr>
      </w:pPr>
    </w:p>
    <w:p>
      <w:pPr>
        <w:ind w:right="20" w:firstLine="1304"/>
        <w:spacing w:after="0" w:line="282" w:lineRule="auto"/>
        <w:tabs>
          <w:tab w:leader="none" w:pos="156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transaction does not constitute an installment sale requiring any tax reporting or withholding of imputed interest or original issue discount to the IRS or other taxing authority.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jc w:val="both"/>
        <w:ind w:firstLine="656"/>
        <w:spacing w:after="0" w:line="259" w:lineRule="auto"/>
        <w:tabs>
          <w:tab w:leader="none" w:pos="84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and communications hereunder shall be deemed to have been duly given and made if in writing and if (i) served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delivery upon the party for whom it is intended, (ii) delivered by registered or certified mail, return receipt requested, or by Federal Express or similar overnight courier, or (iii) sent by facsimile or email, provided that the receipt of such facsimile or email is promptly confirmed, by telephone, electronically or otherwise, to the party at the address set forth below, or such other address as may be designated in writing hereafter, in the same manner, by such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Sponsor: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E-mail:Jim@foresitecapital.com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Parent: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E-mail:Jim@foresitecapital.com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Stockholder Representative: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950 17th Street, Suite 1400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Denver, CO 80202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Managing Director</w:t>
      </w:r>
    </w:p>
    <w:p>
      <w:pPr>
        <w:ind w:left="1960"/>
        <w:spacing w:after="0"/>
        <w:rPr>
          <w:sz w:val="20"/>
          <w:szCs w:val="20"/>
          <w:color w:val="auto"/>
        </w:rPr>
      </w:pPr>
      <w:r>
        <w:rPr>
          <w:rFonts w:ascii="Times New Roman" w:cs="Times New Roman" w:eastAsia="Times New Roman" w:hAnsi="Times New Roman"/>
          <w:sz w:val="18"/>
          <w:szCs w:val="18"/>
          <w:color w:val="auto"/>
        </w:rPr>
        <w:t xml:space="preserve">Email: </w:t>
      </w:r>
      <w:r>
        <w:rPr>
          <w:sz w:val="1"/>
          <w:szCs w:val="1"/>
          <w:color w:val="auto"/>
        </w:rPr>
        <w:drawing>
          <wp:inline distT="0" distB="0" distL="0" distR="0">
            <wp:extent cx="1225550" cy="1143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25550" cy="114300"/>
                    </a:xfrm>
                    <a:prstGeom prst="rect">
                      <a:avLst/>
                    </a:prstGeom>
                    <a:noFill/>
                    <a:ln>
                      <a:noFill/>
                    </a:ln>
                  </pic:spPr>
                </pic:pic>
              </a:graphicData>
            </a:graphic>
          </wp:inline>
        </w:drawing>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Escrow Agent: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Continental Stock Transfer and Trust</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State Street - 30th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No: (212) 616-7615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George Dalton</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above, in the case of communications delivered to the Escrow Agent, such communications shall be deemed to have been given on the date received by an officer of the Escrow Agent or any employee of the Escrow Agent who reports directly to any such officer at the above-referenced office. In the event that the Escrow Agent, in its sole discretion, shall determine that an emergency exists, the Escrow Agent may use such other means of communication as the Escrow Agent deems appropriate. For purposes of this Agreement,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any other day on which the Escrow Agent located at the notice address set forth above is authorized or required by law or executive order to remain closed.</w:t>
      </w:r>
    </w:p>
    <w:p>
      <w:pPr>
        <w:spacing w:after="0" w:line="183" w:lineRule="exact"/>
        <w:rPr>
          <w:sz w:val="20"/>
          <w:szCs w:val="20"/>
          <w:color w:val="auto"/>
        </w:rPr>
      </w:pPr>
    </w:p>
    <w:p>
      <w:pPr>
        <w:jc w:val="both"/>
        <w:ind w:firstLine="656"/>
        <w:spacing w:after="0" w:line="256" w:lineRule="auto"/>
        <w:tabs>
          <w:tab w:leader="none" w:pos="91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Procedures</w:t>
      </w:r>
      <w:r>
        <w:rPr>
          <w:rFonts w:ascii="Times New Roman" w:cs="Times New Roman" w:eastAsia="Times New Roman" w:hAnsi="Times New Roman"/>
          <w:sz w:val="18"/>
          <w:szCs w:val="18"/>
          <w:color w:val="auto"/>
        </w:rPr>
        <w:t>. Notwithstanding anything to the contrary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any instructions setting forth, claiming, containing,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objecting to, or in any way related to the transfer or distribution, including but not limited to any transfer instructions that may otherwise be set forth in a written instruction permitted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may be given to the Escrow Agent only by confirmed facsimile or other electronic transmission (including e-mail) and no instruction for or related to the transfer or distribution of the Escrow Shares, or any portion thereof, shall be deemed delivered and effective unless the Escrow Agent actually shall have received such instruction by facsimile or other electronic transmission (including e-mail) at the number or e-mail address provided to Sponsor and the Stockholder Representative by the Escrow Agent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as further evidenced by a confirmed transmittal to that number.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jc w:val="both"/>
        <w:ind w:firstLine="1304"/>
        <w:spacing w:after="0" w:line="261" w:lineRule="auto"/>
        <w:tabs>
          <w:tab w:leader="none" w:pos="154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transfer instructions are so received by the Escrow Agent by facsimile or other electronic transmission (including e-mail), the Escrow Agent is authorized to seek confirmation of such instructions by telephone call-back to the person or persons designated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and the Escrow Agent may rely upon the confirmation of anyone purporting to be the person or persons so designated. The persons and telephone numbers for call-backs may be changed only in a writing actually received and acknowledged by the Escrow Agent.</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5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compliance with the provisions of this Agreement, Sponsor acknowledges that the Escrow Agent is authorized to deliver the Escrow Shares to the custodian account or recipient designated by Sponsor and the Stockholder Representative in writing.</w:t>
      </w:r>
    </w:p>
    <w:p>
      <w:pPr>
        <w:spacing w:after="0" w:line="157" w:lineRule="exact"/>
        <w:rPr>
          <w:rFonts w:ascii="Times New Roman" w:cs="Times New Roman" w:eastAsia="Times New Roman" w:hAnsi="Times New Roman"/>
          <w:sz w:val="18"/>
          <w:szCs w:val="18"/>
          <w:color w:val="auto"/>
        </w:rPr>
      </w:pPr>
    </w:p>
    <w:p>
      <w:pPr>
        <w:jc w:val="both"/>
        <w:ind w:firstLine="656"/>
        <w:spacing w:after="0" w:line="256" w:lineRule="auto"/>
        <w:tabs>
          <w:tab w:leader="none" w:pos="91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Court Orders. </w:t>
      </w:r>
      <w:r>
        <w:rPr>
          <w:rFonts w:ascii="Times New Roman" w:cs="Times New Roman" w:eastAsia="Times New Roman" w:hAnsi="Times New Roman"/>
          <w:sz w:val="18"/>
          <w:szCs w:val="18"/>
          <w:color w:val="auto"/>
        </w:rPr>
        <w:t>In the event that any escrow property shall be attached, garnished or levied upon by any court order,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thereof shall be stayed or enjoined by an order of a com1, or any order, judgment or decree shall be made or entered by any court order affecting the property deposited under this Agreement, the Escrow Agent is hereby expressly authorized, in its sole discretion, to obey and comply with all writs, orders or decrees so entered or issued, which it is advised by opinion of legal counsel of its own choosing is binding upon it, whether with or without jurisdiction, and in the event that the Escrow Agent reasonably obeys or complies with any such writ, order or decree it shall not be liable to any of the parties hereto or to any other person, entity, firm or corporation, by reason of such compliance notwithstanding such writ, order or decree be subsequently reversed, modified, annulled, set aside or vacated.</w:t>
      </w:r>
    </w:p>
    <w:p>
      <w:pPr>
        <w:spacing w:after="0" w:line="182" w:lineRule="exact"/>
        <w:rPr>
          <w:rFonts w:ascii="Times New Roman" w:cs="Times New Roman" w:eastAsia="Times New Roman" w:hAnsi="Times New Roman"/>
          <w:sz w:val="18"/>
          <w:szCs w:val="18"/>
          <w:color w:val="auto"/>
        </w:rPr>
      </w:pPr>
    </w:p>
    <w:p>
      <w:pPr>
        <w:jc w:val="both"/>
        <w:ind w:firstLine="656"/>
        <w:spacing w:after="0" w:line="252" w:lineRule="auto"/>
        <w:tabs>
          <w:tab w:leader="none" w:pos="9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Except for changes to transfer instructions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provisions of this Agreement may be waived, altered,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amended or supplemented, in whole or in part, only by a writing signed by the Escrow Agent and the other parties hereto. Neither this Agreement nor any right or interest hereunder may be assigned in whole or in part by the Escrow Agent or any other party hereto without the prior consent of all the other parties hereto. This Agreement shall be governed by and construed under the laws of the State of New York. Each of the parties hereto irrevocably waives any objection on the grounds of venue, forum non-conveniens or any similar grounds and irrevocably consents to service of process by mail or in any other manner permitted by applicable law and consents to the jurisdiction of any court of the State of New York or United States federal court, in each case, sitting in New York County, New York. To the extent that in any jurisdiction any party may now or hereafter be entitled to claim for itself or its assets, immunity from suit, execution attachment (before or after judgment), or other legal process, such party shall not claim, and it hereby irrevocably waives, such immunity. The parties further hereby waive any right to a trial by jury with respect to any lawsuit or judicial proceeding arising or relating to this Agreement. 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may be executed in one or more counterparts, each of which shall be deemed an original, but all of which together shall constitute one and the same instrument. All signatures of the parties to this Agreement may be transmitted by facsimile or other electronic transmission (including e-mail), and such facsimile or other electronic transmission (including e-mail)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A person who is not a party to this Agreement shall have no right to enforce any term of this Agreement. The parties represent, warrant and covenant that each document, notice, instruction or request provided by such party to the other party shall comply with applicable laws and regulations. Where, however, the conflicting provisions of any such applicable law may be waived, they are hereby irrevocably waived by the parties hereto to the fullest extent permitted by law, to the end that this Agreement shall be enforced as written. Except as expressly provided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above, nothing in this Agreement, whether express or implied, shall be construed to give to any person or entity other than the Escrow Agent and the other parties hereto any legal or equitable right, remedy, interest or claim under or in respect of this Agreement or the Escrow Shares escrowed hereunder.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 left blank]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executed this Agreement as of the date set forth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39141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39141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REPRESENTATIVE SERVICES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in its capacity as the representative of the Company Securityholders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39141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CONTINENTAL STOCK TRANSFER AND TRUST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39141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[Signature Page to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9" w:name="page130"/>
    <w:bookmarkEnd w:id="129"/>
    <w:p>
      <w:pPr>
        <w:jc w:val="center"/>
        <w:ind w:right="-1120"/>
        <w:spacing w:after="0"/>
        <w:rPr>
          <w:sz w:val="20"/>
          <w:szCs w:val="20"/>
          <w:color w:val="auto"/>
        </w:rPr>
      </w:pPr>
      <w:r>
        <w:rPr>
          <w:rFonts w:ascii="Times New Roman" w:cs="Times New Roman" w:eastAsia="Times New Roman" w:hAnsi="Times New Roman"/>
          <w:sz w:val="18"/>
          <w:szCs w:val="18"/>
          <w:color w:val="auto"/>
        </w:rPr>
        <w:t>Schedule l</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Telephone Number(s) and authorized signature(s) for</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Person(s) Designated by Sponsor to give Escrow Shares Transfer Instructions</w:t>
      </w:r>
    </w:p>
    <w:p>
      <w:pPr>
        <w:spacing w:after="0" w:line="220" w:lineRule="exact"/>
        <w:rPr>
          <w:sz w:val="20"/>
          <w:szCs w:val="20"/>
          <w:color w:val="auto"/>
        </w:rPr>
      </w:pPr>
    </w:p>
    <w:p>
      <w:pPr>
        <w:jc w:val="both"/>
        <w:ind w:left="1640"/>
        <w:spacing w:after="0"/>
        <w:tabs>
          <w:tab w:leader="none" w:pos="4980" w:val="left"/>
          <w:tab w:leader="none" w:pos="90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Telephone Number</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6374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be completed by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0" w:name="page131"/>
    <w:bookmarkEnd w:id="13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Telephone Number(s) and authorized signature(s) for</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Person(s) Designated by Stockholder Representative to give Escrow Shares Transfer Instructions</w:t>
      </w:r>
    </w:p>
    <w:p>
      <w:pPr>
        <w:spacing w:after="0" w:line="207" w:lineRule="exact"/>
        <w:rPr>
          <w:sz w:val="20"/>
          <w:szCs w:val="20"/>
          <w:color w:val="auto"/>
        </w:rPr>
      </w:pPr>
    </w:p>
    <w:p>
      <w:pPr>
        <w:jc w:val="both"/>
        <w:ind w:left="1880"/>
        <w:spacing w:after="0"/>
        <w:tabs>
          <w:tab w:leader="none" w:pos="4920" w:val="left"/>
          <w:tab w:leader="none" w:pos="88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Telephone Number</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Representative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19685</wp:posOffset>
            </wp:positionV>
            <wp:extent cx="80581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05815" cy="1289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Letang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Representative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19685</wp:posOffset>
            </wp:positionV>
            <wp:extent cx="80581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05815" cy="1289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Casey McTigue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Executive Director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Representative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19685</wp:posOffset>
            </wp:positionV>
            <wp:extent cx="80581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05815" cy="1289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 LeClair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Representative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19685</wp:posOffset>
            </wp:positionV>
            <wp:extent cx="80581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05815" cy="1289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Schedule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7"/>
          <w:szCs w:val="17"/>
          <w:color w:val="auto"/>
        </w:rPr>
        <w:t>EXHIBIT A</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18415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132" w:name="page133"/>
    <w:bookmarkEnd w:id="132"/>
    <w:p>
      <w:pPr>
        <w:ind w:left="10320"/>
        <w:spacing w:after="0"/>
        <w:rPr>
          <w:sz w:val="20"/>
          <w:szCs w:val="20"/>
          <w:color w:val="auto"/>
        </w:rPr>
      </w:pPr>
      <w:r>
        <w:rPr>
          <w:rFonts w:ascii="Times New Roman" w:cs="Times New Roman" w:eastAsia="Times New Roman" w:hAnsi="Times New Roman"/>
          <w:sz w:val="17"/>
          <w:szCs w:val="17"/>
          <w:b w:val="1"/>
          <w:bCs w:val="1"/>
          <w:color w:val="auto"/>
        </w:rPr>
        <w:t>EXHIBIT F</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entered into as of [●], 2020, by and among FS Development Corp.,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the parties listed as Investors on Schedule I hereto (each, an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color w:val="auto"/>
        </w:rPr>
        <w:t>”) and Gemini Therapeutics, Inc., a Delaware company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the Company, FSG Merger Sub, Inc., a Delaware corporation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Gemini and Shareholder Representative Services LLC, a Colorado limited liability company, as the Stockholders’ Representative, have entered into that certain Agreement and Plan of Merger, dated as of October 15, 2020 (as amended or supplemented from time to time,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pursuant to which, among other things: (a) Merger Sub will merge with and into Gemini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Gemini surviving the Merger as a wholly-owned subsidiary of Company;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WHEREAS, the Company and the Investors listed as Company Investors on Schedule I hereto (collectively, the “</w:t>
      </w:r>
      <w:r>
        <w:rPr>
          <w:rFonts w:ascii="Times New Roman" w:cs="Times New Roman" w:eastAsia="Times New Roman" w:hAnsi="Times New Roman"/>
          <w:sz w:val="18"/>
          <w:szCs w:val="18"/>
          <w:b w:val="1"/>
          <w:bCs w:val="1"/>
          <w:u w:val="single" w:color="auto"/>
          <w:color w:val="auto"/>
        </w:rPr>
        <w:t>Company Investors</w:t>
      </w:r>
      <w:r>
        <w:rPr>
          <w:rFonts w:ascii="Times New Roman" w:cs="Times New Roman" w:eastAsia="Times New Roman" w:hAnsi="Times New Roman"/>
          <w:sz w:val="18"/>
          <w:szCs w:val="18"/>
          <w:color w:val="auto"/>
        </w:rPr>
        <w:t>”) are parties to that certain Registration Rights Agreement, dated August 11, 2020 (the “</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Company Investors desire to terminate the Prior Agreement in its entirety and to accept the rights created pursuant to this Agreement in lieu of the rights granted to them under the Prior Agreement;</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WHEREAS, the Company Investors and Gemini Investors listed on Schedule I hereto (“</w:t>
      </w:r>
      <w:r>
        <w:rPr>
          <w:rFonts w:ascii="Times New Roman" w:cs="Times New Roman" w:eastAsia="Times New Roman" w:hAnsi="Times New Roman"/>
          <w:sz w:val="18"/>
          <w:szCs w:val="18"/>
          <w:b w:val="1"/>
          <w:bCs w:val="1"/>
          <w:color w:val="auto"/>
        </w:rPr>
        <w:t>Gemini Investors</w:t>
      </w:r>
      <w:r>
        <w:rPr>
          <w:rFonts w:ascii="Times New Roman" w:cs="Times New Roman" w:eastAsia="Times New Roman" w:hAnsi="Times New Roman"/>
          <w:sz w:val="18"/>
          <w:szCs w:val="18"/>
          <w:color w:val="auto"/>
        </w:rPr>
        <w:t>”) have subscribed to purchase shares of Common Stock in the Private Placement (as defined in the Merger Agreement) in connection with the consummation of the Merger; and</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660" w:right="4500" w:hanging="652"/>
        <w:spacing w:after="0" w:line="498" w:lineRule="auto"/>
        <w:tabs>
          <w:tab w:leader="none" w:pos="19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The following capitalized terms used herein have the following meanings: “</w:t>
      </w:r>
      <w:r>
        <w:rPr>
          <w:rFonts w:ascii="Times New Roman" w:cs="Times New Roman" w:eastAsia="Times New Roman" w:hAnsi="Times New Roman"/>
          <w:sz w:val="18"/>
          <w:szCs w:val="18"/>
          <w:b w:val="1"/>
          <w:bCs w:val="1"/>
          <w:u w:val="single" w:color="auto"/>
          <w:color w:val="auto"/>
        </w:rPr>
        <w:t>Addendum Agreement</w:t>
      </w:r>
      <w:r>
        <w:rPr>
          <w:rFonts w:ascii="Times New Roman" w:cs="Times New Roman" w:eastAsia="Times New Roman" w:hAnsi="Times New Roman"/>
          <w:sz w:val="18"/>
          <w:szCs w:val="18"/>
          <w:color w:val="auto"/>
        </w:rPr>
        <w:t>” is defined in Section 7.2.</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Agreement, as amended, restated, supplemented, or otherwise modified from time to time.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Bylaws</w:t>
      </w:r>
      <w:r>
        <w:rPr>
          <w:rFonts w:ascii="Times New Roman" w:cs="Times New Roman" w:eastAsia="Times New Roman" w:hAnsi="Times New Roman"/>
          <w:sz w:val="18"/>
          <w:szCs w:val="18"/>
          <w:color w:val="auto"/>
        </w:rPr>
        <w:t>” means the bylaws of the Company, as amended, modified, supplemented or restated and in effect from time to time.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Certificate</w:t>
      </w:r>
      <w:r>
        <w:rPr>
          <w:rFonts w:ascii="Times New Roman" w:cs="Times New Roman" w:eastAsia="Times New Roman" w:hAnsi="Times New Roman"/>
          <w:sz w:val="18"/>
          <w:szCs w:val="18"/>
          <w:color w:val="auto"/>
        </w:rPr>
        <w:t>” means the certificate of incorporation of the Company, as amended, modified, supplemented or restated and in effect from time to time, including any certificate of designation, correction or amendment filed with the Secretary of State of the State of Delaware.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defined in the preamble to this Agreement.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Investors</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is defined in Section 2.2.1.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is defined in Section 2.2.1.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is defined in Section 3.1.3.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S-1</w:t>
      </w:r>
      <w:r>
        <w:rPr>
          <w:rFonts w:ascii="Times New Roman" w:cs="Times New Roman" w:eastAsia="Times New Roman" w:hAnsi="Times New Roman"/>
          <w:sz w:val="18"/>
          <w:szCs w:val="18"/>
          <w:color w:val="auto"/>
        </w:rPr>
        <w:t>” means a Registration Statement on Form S-1.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means a Registration Statement on Form S-3 or any similar short-form registration that may be available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Gemini Investors</w:t>
      </w:r>
      <w:r>
        <w:rPr>
          <w:rFonts w:ascii="Times New Roman" w:cs="Times New Roman" w:eastAsia="Times New Roman" w:hAnsi="Times New Roman"/>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Investor” and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is defined in Section 2.2.4.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means (i) the shares of Common Stock issued to the Investors in the Merger (including Escrow Shares (as defined in the Merger Agreement)), (ii) the shares of Common Stock held by the Company Investors, (iii) the shares of Common Stock issuable to the Investors in the Private Placement, and (iv) all shares of Common Stock issued to any Investor with respect to such securities referred to in clauses (i) – (iii)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or (c) such securities shall have ceased to be outstanding.</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Requesting Holder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Subsequent Shelf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to (i) sell, offer to sell, contract or agree to sell, hypothecate, pledge, grant any option to purchase, make any short sale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options or warrants to purchase any shares of Common Stock or any securities convertible into, exchangeable for or that represent the right to receive shares of Common Stock, (ii) enter into any swap or hedging or other arrangement which is designed to or which reasonably could be expected to lead to or result in a sale or disposition of the shares of Common Stock, or that transfers to another, in whole or in part, any of the economic consequences of ownership of any Common Stock,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Takedown</w:t>
      </w:r>
      <w:r>
        <w:rPr>
          <w:rFonts w:ascii="Times New Roman" w:cs="Times New Roman" w:eastAsia="Times New Roman" w:hAnsi="Times New Roman"/>
          <w:sz w:val="18"/>
          <w:szCs w:val="18"/>
          <w:color w:val="auto"/>
        </w:rPr>
        <w:t>” shall mean an underwritten public offering of Registrable Securities pursuant to the Resale Shelf Registration Statement, as amended or supplemented.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Demand Registration</w:t>
      </w:r>
      <w:r>
        <w:rPr>
          <w:rFonts w:ascii="Times New Roman" w:cs="Times New Roman" w:eastAsia="Times New Roman" w:hAnsi="Times New Roman"/>
          <w:sz w:val="18"/>
          <w:szCs w:val="18"/>
          <w:color w:val="auto"/>
        </w:rPr>
        <w:t>” shall mean an underwritten public offering of Registrable Securities pursuant to a Demand Registration, as amended or supplemented.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2. REGISTRATION RIGHTS.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Resale Shelf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Registration Statement Covering Resale of Registrable Securities</w:t>
      </w:r>
      <w:r>
        <w:rPr>
          <w:rFonts w:ascii="Times New Roman" w:cs="Times New Roman" w:eastAsia="Times New Roman" w:hAnsi="Times New Roman"/>
          <w:sz w:val="18"/>
          <w:szCs w:val="18"/>
          <w:color w:val="auto"/>
        </w:rPr>
        <w:t>. The Company shall prepare and file or cause to be prepared and filed with the Commission as soon as practicable after the Closing Date (as such term is defined in the Merger Agreement), but in any event no later than</w:t>
      </w:r>
    </w:p>
    <w:p>
      <w:pPr>
        <w:jc w:val="both"/>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days after the Closing Date (the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a Registration Statement for an offering to be made on a continuous basis pursuant to Rule 415 of the Securities Act registering the resale from time to time by Investors of all of the Registrable Securities then held by such Investors that are not covered by an effective registration statement on the Filing Date (the “</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The Resale Shelf Registration Statement shall be on Form S-3 or another appropriate form permitting Registration of such Registrable Securities for resale by such Investors. The Company shall use reasonable best efforts to cause the Resale Shelf Registration Statement to be declared effective as soon as possible after filing, and once effective, to keep the Resale Shelf Registration Statement continuously effective under the Securities Act at all times until the expiration of the Effectiveness Period.</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Notification and Distribution of Materials</w:t>
      </w:r>
      <w:r>
        <w:rPr>
          <w:rFonts w:ascii="Times New Roman" w:cs="Times New Roman" w:eastAsia="Times New Roman" w:hAnsi="Times New Roman"/>
          <w:sz w:val="18"/>
          <w:szCs w:val="18"/>
          <w:color w:val="auto"/>
        </w:rPr>
        <w:t>. The Company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Amendments and Supplements; Subsequent Shelf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 or to file an additional Registration Statement as a shelf registration (a “</w:t>
      </w:r>
      <w:r>
        <w:rPr>
          <w:rFonts w:ascii="Times New Roman" w:cs="Times New Roman" w:eastAsia="Times New Roman" w:hAnsi="Times New Roman"/>
          <w:sz w:val="18"/>
          <w:szCs w:val="18"/>
          <w:u w:val="single" w:color="auto"/>
          <w:color w:val="auto"/>
        </w:rPr>
        <w:t>Subsequent Shelf Registration</w:t>
      </w:r>
      <w:r>
        <w:rPr>
          <w:rFonts w:ascii="Times New Roman" w:cs="Times New Roman" w:eastAsia="Times New Roman" w:hAnsi="Times New Roman"/>
          <w:sz w:val="18"/>
          <w:szCs w:val="18"/>
          <w:color w:val="auto"/>
        </w:rPr>
        <w:t>”) registering the resale of all outstanding Registrable Securities from time to time, and pursuant to any method or combination of methods legally available to, and requested by, any holder. If a Subsequent Shelf Registration is filed, the Company shall use its reasonable best efforts to (i) cause such Subsequent Shelf Registration to become effective under the Securities Act as promptly as is reasonably practicable after the filing thereof and (ii) keep such Subsequent Shelf Registration continuously effective and to comply with the provisions of the Securities Act with respect to the disposition of all the Registrable Securities at all times during the Effectiveness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6"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To track the date that the shares issued in the PIPE must be registered pursuant to the PIPE subscription agreements.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2.1.4 Notwithstanding the registration obligations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in either case covering the maximum number of Registrable Securities permitted to be registered by the Commission, on Form S-3 or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based on the total number of Registrable Securities held by the Investors, subject to a determination by the Commission that certain Investors must be reduced first based on the number of Registrable Securities held by such Investors.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9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The Company shall promptly notify the Investors in writing of any request by the Commission for any amendment or supplement to, or additional information in connection with, the Resale Shelf Registration Statement required to be prepared and filed hereunder (or Prospectus relating thereto). The Company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183" w:lineRule="exact"/>
        <w:rPr>
          <w:sz w:val="20"/>
          <w:szCs w:val="20"/>
          <w:color w:val="auto"/>
        </w:rPr>
      </w:pPr>
    </w:p>
    <w:p>
      <w:pPr>
        <w:jc w:val="both"/>
        <w:ind w:firstLine="1944"/>
        <w:spacing w:after="0" w:line="237" w:lineRule="auto"/>
        <w:rPr>
          <w:sz w:val="20"/>
          <w:szCs w:val="20"/>
          <w:color w:val="auto"/>
        </w:rPr>
      </w:pPr>
      <w:r>
        <w:rPr>
          <w:rFonts w:ascii="Times New Roman" w:cs="Times New Roman" w:eastAsia="Times New Roman" w:hAnsi="Times New Roman"/>
          <w:sz w:val="18"/>
          <w:szCs w:val="18"/>
          <w:color w:val="auto"/>
        </w:rPr>
        <w:t>(a) If the Company shall receive a request from the holders of Registrable Securities with an estimated market value of at least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requesting holder(s) shall be referred to herein as the “</w:t>
      </w:r>
      <w:r>
        <w:rPr>
          <w:rFonts w:ascii="Times New Roman" w:cs="Times New Roman" w:eastAsia="Times New Roman" w:hAnsi="Times New Roman"/>
          <w:sz w:val="18"/>
          <w:szCs w:val="18"/>
          <w:b w:val="1"/>
          <w:bCs w:val="1"/>
          <w:u w:val="single" w:color="auto"/>
          <w:color w:val="auto"/>
        </w:rPr>
        <w:t>Requesting Holder(s)</w:t>
      </w:r>
      <w:r>
        <w:rPr>
          <w:rFonts w:ascii="Times New Roman" w:cs="Times New Roman" w:eastAsia="Times New Roman" w:hAnsi="Times New Roman"/>
          <w:sz w:val="18"/>
          <w:szCs w:val="18"/>
          <w:color w:val="auto"/>
        </w:rPr>
        <w:t>”) that the Company effect the Underwritten Takedown of all or any portion of the Requesting Holder’s Registrable Securities, and specifying the intended method of disposition thereof, then the Company shall promptly give notice of such requested Underwritten Takedown at least ten (10)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201" w:lineRule="exact"/>
        <w:rPr>
          <w:sz w:val="20"/>
          <w:szCs w:val="20"/>
          <w:color w:val="auto"/>
        </w:rPr>
      </w:pPr>
    </w:p>
    <w:p>
      <w:pPr>
        <w:ind w:firstLine="2600"/>
        <w:spacing w:after="0" w:line="282" w:lineRule="auto"/>
        <w:tabs>
          <w:tab w:leader="none" w:pos="291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all Registrable Securities for which the Requesting Holder has requested such offering under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right="20" w:firstLine="2600"/>
        <w:spacing w:after="0" w:line="261" w:lineRule="auto"/>
        <w:tabs>
          <w:tab w:leader="none" w:pos="286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all other Registrable Securities that any holders of Registrable Securities (all such holders, together with the Requesting Holder, the “</w:t>
      </w:r>
      <w:r>
        <w:rPr>
          <w:rFonts w:ascii="Times New Roman" w:cs="Times New Roman" w:eastAsia="Times New Roman" w:hAnsi="Times New Roman"/>
          <w:sz w:val="18"/>
          <w:szCs w:val="18"/>
          <w:b w:val="1"/>
          <w:bCs w:val="1"/>
          <w:u w:val="single" w:color="auto"/>
          <w:color w:val="auto"/>
        </w:rPr>
        <w:t>Selling Holders</w:t>
      </w:r>
      <w:r>
        <w:rPr>
          <w:rFonts w:ascii="Times New Roman" w:cs="Times New Roman" w:eastAsia="Times New Roman" w:hAnsi="Times New Roman"/>
          <w:sz w:val="18"/>
          <w:szCs w:val="18"/>
          <w:color w:val="auto"/>
        </w:rPr>
        <w:t>”) have requested the Company to offer by request received by the Company within seven Business Days after such holders receive the Company’s notice of the Underwritten Takedown, all to the extent necessary to permit the disposition (in accordance with the intended methods thereof as aforesaid) of the Registrable Securities so to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7"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Note to Draft: </w:t>
      </w:r>
      <w:r>
        <w:rPr>
          <w:rFonts w:ascii="Times New Roman" w:cs="Times New Roman" w:eastAsia="Times New Roman" w:hAnsi="Times New Roman"/>
          <w:sz w:val="18"/>
          <w:szCs w:val="18"/>
          <w:color w:val="auto"/>
        </w:rPr>
        <w:t>Amount TBD based on post-Closing market cap and pro forma capitalization table.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ind w:firstLine="1952"/>
        <w:spacing w:after="0" w:line="282" w:lineRule="auto"/>
        <w:tabs>
          <w:tab w:leader="none" w:pos="219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expiration of the seven-Business Day-period referred to in </w:t>
      </w:r>
      <w:r>
        <w:rPr>
          <w:rFonts w:ascii="Times New Roman" w:cs="Times New Roman" w:eastAsia="Times New Roman" w:hAnsi="Times New Roman"/>
          <w:sz w:val="18"/>
          <w:szCs w:val="18"/>
          <w:u w:val="single" w:color="auto"/>
          <w:color w:val="auto"/>
        </w:rPr>
        <w:t>Section 2.1.5(a)(ii)</w:t>
      </w:r>
      <w:r>
        <w:rPr>
          <w:rFonts w:ascii="Times New Roman" w:cs="Times New Roman" w:eastAsia="Times New Roman" w:hAnsi="Times New Roman"/>
          <w:sz w:val="18"/>
          <w:szCs w:val="18"/>
          <w:color w:val="auto"/>
        </w:rPr>
        <w:t>, the Company will notify all Selling Holders of the identities of the other Selling Holders and the number of shares of Registrable Securities requested to be included therein.</w:t>
      </w:r>
    </w:p>
    <w:p>
      <w:pPr>
        <w:spacing w:after="0" w:line="161" w:lineRule="exact"/>
        <w:rPr>
          <w:rFonts w:ascii="Times New Roman" w:cs="Times New Roman" w:eastAsia="Times New Roman" w:hAnsi="Times New Roman"/>
          <w:sz w:val="18"/>
          <w:szCs w:val="18"/>
          <w:color w:val="auto"/>
        </w:rPr>
      </w:pPr>
    </w:p>
    <w:p>
      <w:pPr>
        <w:jc w:val="both"/>
        <w:ind w:firstLine="1952"/>
        <w:spacing w:after="0" w:line="238" w:lineRule="auto"/>
        <w:tabs>
          <w:tab w:leader="none" w:pos="21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only be required to effectuate: (i) one Underwritten Takedown within any six-month period; (ii) no more than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Underwritten Takedowns in respect of all Registrable Securities held by the Company Investors after giving effect to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and (iii) no more than [●]</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Underwritten Takedowns in respect of all Registrable Securities held by Gemini Investors after giving effect to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0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managing underwriter in an Underwritten Takedown advises the Company and the Requesting Holder that, in its view, the number of shares of Registrable Securities requested to be included in such underwritten offering exceeds the largest number of shares that can be sold without having an adverse effect on such offering, including the price at which such shares can be sold, the shares included in such Underwritten Takedown will be reduced by the Registrable Securities held by the Selling Holders (applied on a pro rata basis based on the total number of Registrable Securities held by such Investors, subject to a determination by the Commission that certain Investors must be reduced first based on the number of Registrable Securities held by such Investors).</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the Company. In connection with an Underwritten Takedown, the Company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2.1.7 Registrations effected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be counted as Demand Registrations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At any time and from time to time after the expiration of a lock-up to which such shares are subject, if any, (i) Company Investors who hold a majority in interest of the Registrable Securities held by all Company Investors or (ii) Company Investors who hold</w:t>
      </w:r>
    </w:p>
    <w:p>
      <w:pPr>
        <w:jc w:val="both"/>
        <w:spacing w:after="0" w:line="23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of the Registrable Securities held by all Company Investors, as the case may be, may make a written demand for Registration under the Securities Act of all or any portion of their Registrable Securities on Form S-1 or any similar long-form Registration or, if then available, on Form S-3. Each registration requested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Any demand for a Demand Registration shall specify the number of shares of Registrable Securities proposed to be sold and the intended method(s) of distribution thereof. The Company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Times New Roman" w:cs="Times New Roman" w:eastAsia="Times New Roman" w:hAnsi="Times New Roman"/>
          <w:sz w:val="18"/>
          <w:szCs w:val="18"/>
          <w:b w:val="1"/>
          <w:bCs w:val="1"/>
          <w:u w:val="single" w:color="auto"/>
          <w:color w:val="auto"/>
        </w:rPr>
        <w:t>Demanding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shall so notify the Company within fifteen (15) days after the receipt by the holder of the notice from the Company. Upon any such request,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Demanding Holders shall be entitled to have their Registrable Securities included in the Demand Registration,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the provisos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The Company shall not be obligated to effect: (a) more than one (1) Demand Registration during any six-month period; (b) any Demand Registration at any time there is an effective Resale Shelf Registration Statement on file with the Commission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(c) more than [●]</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Underwritten Demand Registrations in respect of all Registrable Securities held by the Company Investors, each of which will also count as an</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 xml:space="preserve">Underwritten Takedown of the Company Investors under </w:t>
      </w:r>
      <w:r>
        <w:rPr>
          <w:rFonts w:ascii="Times New Roman" w:cs="Times New Roman" w:eastAsia="Times New Roman" w:hAnsi="Times New Roman"/>
          <w:sz w:val="18"/>
          <w:szCs w:val="18"/>
          <w:u w:val="single" w:color="auto"/>
          <w:color w:val="auto"/>
        </w:rPr>
        <w:t>Section 2.1.5(c)(ii)</w:t>
      </w:r>
      <w:r>
        <w:rPr>
          <w:rFonts w:ascii="Times New Roman" w:cs="Times New Roman" w:eastAsia="Times New Roman" w:hAnsi="Times New Roman"/>
          <w:sz w:val="18"/>
          <w:szCs w:val="18"/>
          <w:color w:val="auto"/>
        </w:rPr>
        <w:t>; or (d) more than [●]</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Underwritten Demand Registrations in respect of all Registrable Securities held by Gemini Investors, each of which will also count as an Underwritten Takedown of Gemini Investors under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78308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1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Parties to discuss.</w:t>
      </w:r>
    </w:p>
    <w:p>
      <w:pPr>
        <w:spacing w:after="0" w:line="87" w:lineRule="exact"/>
        <w:rPr>
          <w:sz w:val="20"/>
          <w:szCs w:val="20"/>
          <w:color w:val="auto"/>
        </w:rPr>
      </w:pPr>
    </w:p>
    <w:p>
      <w:pPr>
        <w:ind w:left="340" w:hanging="332"/>
        <w:spacing w:after="0"/>
        <w:tabs>
          <w:tab w:leader="none" w:pos="340" w:val="left"/>
        </w:tabs>
        <w:numPr>
          <w:ilvl w:val="0"/>
          <w:numId w:val="1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Parties to discuss.</w:t>
      </w:r>
    </w:p>
    <w:p>
      <w:pPr>
        <w:spacing w:after="0" w:line="87"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TBD based on post-Closing pro forma capitalization.</w:t>
      </w:r>
    </w:p>
    <w:p>
      <w:pPr>
        <w:spacing w:after="0" w:line="87" w:lineRule="exact"/>
        <w:rPr>
          <w:sz w:val="20"/>
          <w:szCs w:val="20"/>
          <w:color w:val="auto"/>
        </w:rPr>
      </w:pPr>
    </w:p>
    <w:p>
      <w:pPr>
        <w:ind w:left="340" w:hanging="332"/>
        <w:spacing w:after="0"/>
        <w:tabs>
          <w:tab w:leader="none" w:pos="340" w:val="left"/>
        </w:tabs>
        <w:numPr>
          <w:ilvl w:val="0"/>
          <w:numId w:val="1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Parties to discuss.</w:t>
      </w:r>
    </w:p>
    <w:p>
      <w:pPr>
        <w:spacing w:after="0" w:line="87" w:lineRule="exact"/>
        <w:rPr>
          <w:sz w:val="20"/>
          <w:szCs w:val="20"/>
          <w:color w:val="auto"/>
        </w:rPr>
      </w:pPr>
    </w:p>
    <w:p>
      <w:pPr>
        <w:ind w:left="340" w:hanging="332"/>
        <w:spacing w:after="0"/>
        <w:tabs>
          <w:tab w:leader="none" w:pos="340" w:val="left"/>
        </w:tabs>
        <w:numPr>
          <w:ilvl w:val="0"/>
          <w:numId w:val="1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Parties to discuss.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If the Demanding Holders so elect and such holders so advise the Company as part of their written demand for a Demand Registration, the offering of such Registrable Securities pursuant to such Demand Registration shall be in the form of an underwritten</w:t>
      </w:r>
    </w:p>
    <w:p>
      <w:pPr>
        <w:jc w:val="both"/>
        <w:spacing w:after="0" w:line="231" w:lineRule="auto"/>
        <w:rPr>
          <w:sz w:val="20"/>
          <w:szCs w:val="20"/>
          <w:color w:val="auto"/>
        </w:rPr>
      </w:pPr>
      <w:r>
        <w:rPr>
          <w:rFonts w:ascii="Times New Roman" w:cs="Times New Roman" w:eastAsia="Times New Roman" w:hAnsi="Times New Roman"/>
          <w:sz w:val="18"/>
          <w:szCs w:val="18"/>
          <w:color w:val="auto"/>
        </w:rPr>
        <w:t>offering with an estimated market value of at least $[●]</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w:t>
      </w:r>
    </w:p>
    <w:p>
      <w:pPr>
        <w:spacing w:after="0" w:line="20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Common Stock or other securities which the Company desires to sell and the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that can be sold without exceeding the Maximum Number of Shares; (ii) second, to the extent that the Maximum Number of Shares has not been reached under the foregoing clause (i), the Common Stock or other securities that the Company desires to sell that can be sold without exceeding the Maximum Number of Shares; (iii) third, to the extent that the Maximum Number of Shares has not been reached under the foregoing clauses (i) and (ii), the Common Stock or other securities for the account of other persons that the Company is obligated to register pursuant to written contractual arrangements with such persons, as to which “piggy-back” registration has been requested by the holders thereof, Pro Rata, that can be sold without exceeding the Maximum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178308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4" w:lineRule="exact"/>
        <w:rPr>
          <w:sz w:val="20"/>
          <w:szCs w:val="20"/>
          <w:color w:val="auto"/>
        </w:rPr>
      </w:pPr>
    </w:p>
    <w:p>
      <w:pPr>
        <w:ind w:left="120" w:hanging="112"/>
        <w:spacing w:after="0"/>
        <w:tabs>
          <w:tab w:leader="none" w:pos="120" w:val="left"/>
        </w:tabs>
        <w:numPr>
          <w:ilvl w:val="0"/>
          <w:numId w:val="1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Amount TBD based on post-Closing market cap and pro forma capitalization table.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 Demanding Holder shall have the right to withdraw all or any portion of its Registrable Securities included in an Underwritten Offering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for any reason or no reason whatsoever upon written notice to the Company and the Underwriter or Underwriters of its intention to withdraw from such Underwritten Offering prior to the pricing of such Underwritten Offering and such withdrawn amount shall no longer be considered an Underwritten Offering. Notwithstanding anything to the contrary in this Agreement, the Company shall be responsible for the registration expenses incurred in connection with an Underwritten Offering prior to its withdrawal under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after the first anniversary of the date of this Agreement,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w:t>
      </w:r>
    </w:p>
    <w:p>
      <w:pPr>
        <w:spacing w:after="0" w:line="3" w:lineRule="exact"/>
        <w:rPr>
          <w:sz w:val="20"/>
          <w:szCs w:val="20"/>
          <w:color w:val="auto"/>
        </w:rPr>
      </w:pPr>
    </w:p>
    <w:p>
      <w:pPr>
        <w:jc w:val="both"/>
        <w:ind w:firstLine="8"/>
        <w:spacing w:after="0" w:line="251" w:lineRule="auto"/>
        <w:tabs>
          <w:tab w:leader="none" w:pos="36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The rights provided under this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shall not be available to any Investor at such time as (i) there is an effective Resale Shelf Registration Statement available for the resale of the Registerable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(ii) such Registration is solely to be used for the offering of securities by the Company for its own account and (iii) no other shareholder of the Company is entitled to participate in such Registration.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xml:space="preserve">. If the managing Underwriter or Underwriters for a Piggy-Back Registration that is to be an underwritten offering advises the Company and the holders of Registrable Securities in writing that the dollar amount or number of Common Stock which the Company desires to sell, taken together with Common Stock,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exceeds the Maximum Number of Shares, then the Company shall include in any such registration:</w:t>
      </w:r>
    </w:p>
    <w:p>
      <w:pPr>
        <w:spacing w:after="0" w:line="183" w:lineRule="exact"/>
        <w:rPr>
          <w:sz w:val="20"/>
          <w:szCs w:val="20"/>
          <w:color w:val="auto"/>
        </w:rPr>
      </w:pPr>
    </w:p>
    <w:p>
      <w:pPr>
        <w:jc w:val="both"/>
        <w:ind w:firstLine="1952"/>
        <w:spacing w:after="0" w:line="255" w:lineRule="auto"/>
        <w:tabs>
          <w:tab w:leader="none" w:pos="222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undertaken for the Company’s account: (A) first, the Common Stock or other securities that the Company desires to sell that can be sold without exceeding the Maximum Number of Shares; and (B) second, to the extent that the Maximum Number of Shares has not been reached under the foregoing clause (A), the Common Stock or other securities, if any, comprised of Registrable Securities, as to which registration has been requested pursuant to the terms hereof, that can be sold without exceeding the Maximum Number of Shares, Pro Rata; and (C) third, to the extent that the Maximum Number of shares has not been reached under the foregoing clauses (A) and (B), the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a “demand” registration undertaken at the demand of persons other than either the holders of Registrable Securities, (A) first, the Common Stock or other securities for the account of the demanding persons that can be sold without exceeding the Maximum Number of Shares; (B) second, to the extent that the Maximum Number of Shares has not been reached under the foregoing clause (A), the Common Stock or other securities that the Company desires to sell that can be sold without exceeding the Maximum Number of Shares; (C) third, to the extent that the Maximum Number of Shares has not been reached under the foregoing clauses (A) and (B), the Common Stock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Common Stock or other securities for the account of other persons that the Company is obligated to register pursuant to written contractual arrangements with such persons, that can be sold without exceeding the Maximum Number of Shares.</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REGISTRATION PROCEDURES.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Filings; Information</w:t>
      </w:r>
      <w:r>
        <w:rPr>
          <w:rFonts w:ascii="Times New Roman" w:cs="Times New Roman" w:eastAsia="Times New Roman" w:hAnsi="Times New Roman"/>
          <w:sz w:val="18"/>
          <w:szCs w:val="18"/>
          <w:color w:val="auto"/>
        </w:rPr>
        <w:t xml:space="preserve">. Whenever the Company is required to effect the registration of any Registrable Securities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Company shall use its commercially reasonable best efforts to effect the registration and sale of such Registrable Securities in accordance with the intended method(s) of distribution thereof as expeditiously as practicable, and in connection with any such request: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Filing Registration Statement</w:t>
      </w:r>
      <w:r>
        <w:rPr>
          <w:rFonts w:ascii="Times New Roman" w:cs="Times New Roman" w:eastAsia="Times New Roman" w:hAnsi="Times New Roman"/>
          <w:sz w:val="18"/>
          <w:szCs w:val="18"/>
          <w:color w:val="auto"/>
        </w:rPr>
        <w:t xml:space="preserve">. The Company shall use its reasonable best efforts to, as expeditiously as possible after receipt of a request for a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the Company shall have the right to defer any Demand Registration for up to sixty (60) days, and any Piggy-Back Registration for such period as may be applicable to deferment of any Demand Registration to which such Piggy-Back Registration relates, in each case if, in the good faith judgment of the Board of Directors of the Company (the “</w:t>
      </w:r>
      <w:r>
        <w:rPr>
          <w:rFonts w:ascii="Times New Roman" w:cs="Times New Roman" w:eastAsia="Times New Roman" w:hAnsi="Times New Roman"/>
          <w:sz w:val="18"/>
          <w:szCs w:val="18"/>
          <w:b w:val="1"/>
          <w:bCs w:val="1"/>
          <w:u w:val="single" w:color="auto"/>
          <w:color w:val="auto"/>
        </w:rPr>
        <w:t>Company Board</w:t>
      </w:r>
      <w:r>
        <w:rPr>
          <w:rFonts w:ascii="Times New Roman" w:cs="Times New Roman" w:eastAsia="Times New Roman" w:hAnsi="Times New Roman"/>
          <w:sz w:val="18"/>
          <w:szCs w:val="18"/>
          <w:color w:val="auto"/>
        </w:rPr>
        <w:t>”), it would be materially detrimental to the Company and its shareholders for such Registration Statement to be effected at such time; provided, further, however, that the Company shall not have the right to exercise the right set forth in the immediately preceding proviso for more than a total of ninety (90) consecutive calendar days, or more than one hundred twenty (120) total calendar days in any 365-day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Until the earlier of (i) the tenth anniversary of the date of this Agreement or (ii) the date as of which</w:t>
      </w:r>
    </w:p>
    <w:p>
      <w:pPr>
        <w:spacing w:after="0" w:line="27" w:lineRule="exact"/>
        <w:rPr>
          <w:sz w:val="20"/>
          <w:szCs w:val="20"/>
          <w:color w:val="auto"/>
        </w:rPr>
      </w:pPr>
    </w:p>
    <w:p>
      <w:pPr>
        <w:ind w:left="300" w:hanging="292"/>
        <w:spacing w:after="0"/>
        <w:tabs>
          <w:tab w:leader="none" w:pos="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Registrable Securities have been sold pursuant to a Registration Statement (but in no event prior to the applicable period referred to in Section</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4(a)(3) of the Securities Act and Rule 174 thereunder (or any successor rule promulgated thereafter by the Commission)) or (B) the Holders of all Registrable Securities are permitted to sell the Registrable Securities under Rule 144 (or any similar provision) under the Securities Act without limitation on the amount of securities sold or the manner of sale,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(the “</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Securities Laws Compliance</w:t>
      </w:r>
      <w:r>
        <w:rPr>
          <w:rFonts w:ascii="Times New Roman" w:cs="Times New Roman" w:eastAsia="Times New Roman" w:hAnsi="Times New Roman"/>
          <w:sz w:val="18"/>
          <w:szCs w:val="18"/>
          <w:color w:val="auto"/>
        </w:rPr>
        <w:t>. The Company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Agreements for Disposition</w:t>
      </w:r>
      <w:r>
        <w:rPr>
          <w:rFonts w:ascii="Times New Roman" w:cs="Times New Roman" w:eastAsia="Times New Roman" w:hAnsi="Times New Roman"/>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the Company.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The Company shall obtain a “cold comfort” letter from the Company’s independent registered public accountants in the event of an underwritten offering, in customary form and covering such matters of the type customarily covered by “cold comfort” letters as the managing Underwriter may reasonably request, and reasonably satisfactory to a majority-in-interest of the participating holders.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Opinions</w:t>
      </w:r>
      <w:r>
        <w:rPr>
          <w:rFonts w:ascii="Times New Roman" w:cs="Times New Roman" w:eastAsia="Times New Roman" w:hAnsi="Times New Roman"/>
          <w:sz w:val="18"/>
          <w:szCs w:val="18"/>
          <w:color w:val="auto"/>
        </w:rPr>
        <w:t>. On the date the Registrable Securities are delivered for sale pursuant to any Registration, the Company shall obtain an opinion, dated such date, of one (1)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reasonably satisfactory to a majority in interest of the participating holders.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 If an Underwritten Offering involves Registrable Securities with a total offering price (including piggyback securities and before deducting underwriting discounts) to exceed $[●], the Company will use its reasonable best efforts to make available senior executives of the Company to participate in customary “road show” presentations that may be reasonably requested by the Underwriter in the Underwritten Offering.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Upon execution of confidentiality agreements,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reasonable best efforts to cause all Registrable Securities included in any Registration Statement to be listed on such exchanges or otherwise designated for trading in the same manner as similar securities issued by the Company are then listed or designated.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Obligation to Suspend Distribution</w:t>
      </w:r>
      <w:r>
        <w:rPr>
          <w:rFonts w:ascii="Times New Roman" w:cs="Times New Roman" w:eastAsia="Times New Roman" w:hAnsi="Times New Roman"/>
          <w:sz w:val="18"/>
          <w:szCs w:val="18"/>
          <w:color w:val="auto"/>
        </w:rPr>
        <w:t xml:space="preserve">.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upon any suspension by the Company, pursuant to a written insider trading compliance program adopted by the Company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3.1.4(iv)</w:t>
      </w:r>
      <w:r>
        <w:rPr>
          <w:rFonts w:ascii="Times New Roman" w:cs="Times New Roman" w:eastAsia="Times New Roman" w:hAnsi="Times New Roman"/>
          <w:sz w:val="18"/>
          <w:szCs w:val="18"/>
          <w:color w:val="auto"/>
        </w:rPr>
        <w:t xml:space="preserve">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The Company shall bear all costs and expenses incurred in connection with the Resale Shelf Registration Statement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Underwritten Takedown pursuant to </w:t>
      </w:r>
      <w:r>
        <w:rPr>
          <w:rFonts w:ascii="Times New Roman" w:cs="Times New Roman" w:eastAsia="Times New Roman" w:hAnsi="Times New Roman"/>
          <w:sz w:val="18"/>
          <w:szCs w:val="18"/>
          <w:u w:val="single" w:color="auto"/>
          <w:color w:val="auto"/>
        </w:rPr>
        <w:t>Section 2.1.5(a)(i)</w:t>
      </w:r>
      <w:r>
        <w:rPr>
          <w:rFonts w:ascii="Times New Roman" w:cs="Times New Roman" w:eastAsia="Times New Roman" w:hAnsi="Times New Roman"/>
          <w:sz w:val="18"/>
          <w:szCs w:val="18"/>
          <w:color w:val="auto"/>
        </w:rPr>
        <w:t xml:space="preserve">, any Piggy-Back Registration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any registration on Form S-3 effected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w:t>
      </w:r>
      <w:r>
        <w:rPr>
          <w:rFonts w:ascii="Times New Roman" w:cs="Times New Roman" w:eastAsia="Times New Roman" w:hAnsi="Times New Roman"/>
          <w:sz w:val="18"/>
          <w:szCs w:val="18"/>
          <w:u w:val="single" w:color="auto"/>
          <w:color w:val="auto"/>
        </w:rPr>
        <w:t>Section 3.1.10</w:t>
      </w:r>
      <w:r>
        <w:rPr>
          <w:rFonts w:ascii="Times New Roman" w:cs="Times New Roman" w:eastAsia="Times New Roman" w:hAnsi="Times New Roman"/>
          <w:sz w:val="18"/>
          <w:szCs w:val="18"/>
          <w:color w:val="auto"/>
        </w:rPr>
        <w:t>; (vi) Financial Industry Regulatory Authority fees; (vii) fees and disbursements of counsel for the Company and fees and expenses for independent certified public accountants retained by the Company; (viii) the fees and expenses of any special experts retained by the Company in connection with such registration and (ix) the reasonable fees and expenses of one legal counsel selected by the holders of a majority-in-interest of the Registrable Securities included in such registration not to exceed $25,000.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Underwriter’s marketing costs pro rata in proportion to the respective amount of shares each is selling in such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holders of Registrable Securities shall promptly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and in connection with the Company’s obligation to comply with Federal and applicable state securities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INDEMNIFICATION AND CONTRIBUTION.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shall indemnify the Underwriters, their officers, directors and each person who controls such Underwriters (within the meaning of the Securities Act) to the same extent as provided in the foregoing sentence with respect to the indemnification of the holders.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Indemnification by Holders of Registrable Securities</w:t>
      </w:r>
      <w:r>
        <w:rPr>
          <w:rFonts w:ascii="Times New Roman" w:cs="Times New Roman" w:eastAsia="Times New Roman" w:hAnsi="Times New Roman"/>
          <w:sz w:val="18"/>
          <w:szCs w:val="18"/>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but only to the extent that such untrue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 The selling holders shall indemnify the Underwriters, their officers, directors and each person who controls such Underwriters (within the meaning of the Securities Act) to the same extent as provided in the foregoing with respect to the indemnification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xml:space="preserve">. Promptly after receipt by any person of any notice of any loss, claim, damage or liability or any action in respect of which indemnity may be sought pursuant to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such person (the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shall, if a claim in respect thereof is to be made against any other person for indemnification hereunder, notify such other person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4.4.1 If the indemnification provided for in the foregoing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4.4.2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the immediately preceding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UNDERWRITING AND DISTRIBUTION.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such holders with true and complete copies of all such filings. The Company further covenants that it shall take such further action as any such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LOCK-UP AGREEMENTS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Investor Lock-Up</w:t>
      </w:r>
      <w:r>
        <w:rPr>
          <w:rFonts w:ascii="Times New Roman" w:cs="Times New Roman" w:eastAsia="Times New Roman" w:hAnsi="Times New Roman"/>
          <w:sz w:val="18"/>
          <w:szCs w:val="18"/>
          <w:color w:val="auto"/>
        </w:rPr>
        <w:t xml:space="preserve">. Each Investor agrees that such Investor shall not Transfer any shares of Common Stock or any securities convertible into or exercisable or exchangeable (directly or indirectly) for Common Stock (whether such shares of Common Stock or any such securities are held by such Investor as of the date of this Agreement or are thereafter acquired) for one hundred eighty (180) days following the Closing Date (as such term is defined in the Merger Agreement). The foregoing restriction is expressly agreed to preclude each Investor during the Lock-up Period from engaging in any hedging or other transaction which is designed to or which reasonably could be expected to lead to or result in a sale or disposition of such Investor’s shares of Common Stock even if such shares of Common Stock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Investor’s shares of Common Stock or with respect to any security that includes, relates to, or derives any significant part of its value from such shares of Common Stock. 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lock-up period referred to in the first sentence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7. MISCELLANEOUS.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Registration Rights and Arrangements</w:t>
      </w:r>
      <w:r>
        <w:rPr>
          <w:rFonts w:ascii="Times New Roman" w:cs="Times New Roman" w:eastAsia="Times New Roman" w:hAnsi="Times New Roman"/>
          <w:sz w:val="18"/>
          <w:szCs w:val="18"/>
          <w:color w:val="auto"/>
        </w:rPr>
        <w:t>. The Company represents and warrants that no person, other than a holder of the Registrable Securities has any right to require the Company to register any of the Company’s share capital for sale or to include the Company’s share capital in any registration filed by the Company for the sale of shares for its own account or for the account of any other person. Company and the Company Investors hereby terminate the Prior Agreement, which shall be of no further force and effect and is hereby superseded and replaced in its entirety by this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xml:space="preserve">.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 rights of a holder of Registrable Securities under this Agreement may be transferred by such a holder to a transferee who acquires or holds Registrable Securities; provided, however, that such transferee has executed and delivered to the Company a properly completed agreement to be bound by the terms of this Agreement substantially in form attached hereto as Exhibit A (an “</w:t>
      </w:r>
      <w:r>
        <w:rPr>
          <w:rFonts w:ascii="Times New Roman" w:cs="Times New Roman" w:eastAsia="Times New Roman" w:hAnsi="Times New Roman"/>
          <w:sz w:val="18"/>
          <w:szCs w:val="18"/>
          <w:b w:val="1"/>
          <w:bCs w:val="1"/>
          <w:u w:val="single" w:color="auto"/>
          <w:color w:val="auto"/>
        </w:rPr>
        <w:t>Addendum Agreement</w:t>
      </w:r>
      <w:r>
        <w:rPr>
          <w:rFonts w:ascii="Times New Roman" w:cs="Times New Roman" w:eastAsia="Times New Roman" w:hAnsi="Times New Roman"/>
          <w:sz w:val="18"/>
          <w:szCs w:val="18"/>
          <w:color w:val="auto"/>
        </w:rPr>
        <w:t>”), and the transferor shall have delivered to the Company no later than thirty (30) days following 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Without limiting the generality of the foregoing, clause “(ii) of the definition of “Registrable Securities, Section 2.1.5(c)(ii), Section 2.2.1(i), Section 2.2.1(c), Section 6.1 and Section 7.4 shall only be waived, amended and modified by the Company Investors who hold a majority in interest of the Registrable Securities held by all Company Investors at the time in question.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under Rule 144 (or any similar provision) under the Securities Act without limitation on the amount of securities sold or the manner of sale; provided further that with respect to any Investor, such Investor will have no rights under this Agreement and all obligations of the Company to such Investor under this Agreement shall terminate upon the earlier of (x) the date such Investor ceases to hold at least [●] Registrable Securities or (y) if such Investor is an individual and such Investor is a director or an executive officer of Gemini as of immediately prior to the consummation of the Merger, the date such Investor is no longer an affiliate of the Company; provided, however, that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survive such termination.</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(ii) one Business Day after being deposited with a reputable courier service with an order for next-day delivery, to the parties as follows: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300 One Kendall Square, 3rd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5715</wp:posOffset>
            </wp:positionV>
            <wp:extent cx="196278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62785" cy="12890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Mitchell S. Bloom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color w:val="auto"/>
        </w:rPr>
        <w:t>Email:</w:t>
        <w:tab/>
        <w:t>mbloom@goodwinlaw.com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[________________]</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[____________]</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[_______________]</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[________________]</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[____________]</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[_______________]</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to an Investor, to the address set forth under such Investor’s signature to this Agreement or to such Investor’s address as found in the Company’s books and records.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FS DEVELOPMENT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154305</wp:posOffset>
            </wp:positionV>
            <wp:extent cx="284607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 [__________]</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Addendum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Addendum Agreement (“</w:t>
      </w:r>
      <w:r>
        <w:rPr>
          <w:rFonts w:ascii="Times New Roman" w:cs="Times New Roman" w:eastAsia="Times New Roman" w:hAnsi="Times New Roman"/>
          <w:sz w:val="18"/>
          <w:szCs w:val="18"/>
          <w:u w:val="single" w:color="auto"/>
          <w:color w:val="auto"/>
        </w:rPr>
        <w:t>Addendum Agreement</w:t>
      </w:r>
      <w:r>
        <w:rPr>
          <w:rFonts w:ascii="Times New Roman" w:cs="Times New Roman" w:eastAsia="Times New Roman" w:hAnsi="Times New Roman"/>
          <w:sz w:val="18"/>
          <w:szCs w:val="18"/>
          <w:color w:val="auto"/>
        </w:rPr>
        <w:t>”) is executed on __________________, 20___, by the undersigned (the “</w:t>
      </w:r>
      <w:r>
        <w:rPr>
          <w:rFonts w:ascii="Times New Roman" w:cs="Times New Roman" w:eastAsia="Times New Roman" w:hAnsi="Times New Roman"/>
          <w:sz w:val="18"/>
          <w:szCs w:val="18"/>
          <w:u w:val="single" w:color="auto"/>
          <w:color w:val="auto"/>
        </w:rPr>
        <w:t>New Holder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that certain Registration Rights Agreement dated as of [●], 2020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189" w:lineRule="exact"/>
        <w:rPr>
          <w:sz w:val="20"/>
          <w:szCs w:val="20"/>
          <w:color w:val="auto"/>
        </w:rPr>
      </w:pPr>
    </w:p>
    <w:p>
      <w:pPr>
        <w:jc w:val="both"/>
        <w:ind w:firstLine="656"/>
        <w:spacing w:after="0" w:line="266" w:lineRule="auto"/>
        <w:tabs>
          <w:tab w:leader="none" w:pos="82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New Holder acknowledges that New Holder is acquiring certain shares of common stock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as a transferee of such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4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New Holder hereby (a) agrees that the Shares shall be bound by and subject to the terms of the Agreement and (b) adopts the Agreement with the same force and effect as if the New Holder were originally a party thereto.</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by the Agreement shall be given to New Holder at the address or facsimile number listed below New Holder’s signature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 HOLDER:</w:t>
            </w:r>
          </w:p>
        </w:tc>
        <w:tc>
          <w:tcPr>
            <w:tcW w:w="670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ACCEPTED AND AGREED:</w:t>
            </w:r>
          </w:p>
        </w:tc>
      </w:tr>
      <w:tr>
        <w:trPr>
          <w:trHeight w:val="432"/>
        </w:trPr>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Print Name:</w:t>
            </w:r>
          </w:p>
        </w:tc>
        <w:tc>
          <w:tcPr>
            <w:tcW w:w="670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FS DEVELOPMENT CORP.</w:t>
            </w:r>
          </w:p>
        </w:tc>
      </w:tr>
      <w:tr>
        <w:trPr>
          <w:trHeight w:val="223"/>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6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39"/>
        </w:trPr>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67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w:t>
            </w:r>
          </w:p>
        </w:tc>
      </w:tr>
      <w:tr>
        <w:trPr>
          <w:trHeight w:val="898"/>
        </w:trPr>
        <w:tc>
          <w:tcPr>
            <w:tcW w:w="46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36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0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3" w:name="page154"/>
    <w:bookmarkEnd w:id="153"/>
    <w:p>
      <w:pPr>
        <w:jc w:val="right"/>
        <w:ind w:right="395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Atlas Venture Fund X,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Lightstone Singapore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Lightstone Ventures (A),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Lightstone Ventures,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OrbiMed Private Investments VI,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Wu Capital Investment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54" w:name="page155"/>
    <w:bookmarkEnd w:id="154"/>
    <w:p>
      <w:pPr>
        <w:ind w:left="10280"/>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Gemini Therapeutics, Inc.</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 The name of its registered agent at such address is [●].</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[__________] Million ([__________]) of which</w:t>
      </w:r>
    </w:p>
    <w:p>
      <w:pPr>
        <w:spacing w:after="0" w:line="27" w:lineRule="exact"/>
        <w:rPr>
          <w:sz w:val="20"/>
          <w:szCs w:val="20"/>
          <w:color w:val="auto"/>
        </w:rPr>
      </w:pPr>
    </w:p>
    <w:p>
      <w:pPr>
        <w:ind w:firstLine="8"/>
        <w:spacing w:after="0" w:line="260" w:lineRule="auto"/>
        <w:tabs>
          <w:tab w:leader="none" w:pos="2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 Million ([______]) shares shall be a class 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62" w:lineRule="exact"/>
        <w:rPr>
          <w:sz w:val="20"/>
          <w:szCs w:val="20"/>
          <w:color w:val="auto"/>
        </w:rPr>
      </w:pPr>
    </w:p>
    <w:p>
      <w:pPr>
        <w:jc w:val="both"/>
        <w:ind w:firstLine="1952"/>
        <w:spacing w:after="0" w:line="254" w:lineRule="auto"/>
        <w:tabs>
          <w:tab w:leader="none" w:pos="219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jc w:val="both"/>
        <w:ind w:firstLine="1952"/>
        <w:spacing w:after="0" w:line="266" w:lineRule="auto"/>
        <w:tabs>
          <w:tab w:leader="none" w:pos="222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or any authorized committee thereof; and</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192"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16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Undesignated Preferred Stock</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229" w:lineRule="exact"/>
        <w:rPr>
          <w:sz w:val="20"/>
          <w:szCs w:val="20"/>
          <w:color w:val="auto"/>
        </w:rPr>
      </w:pPr>
    </w:p>
    <w:p>
      <w:pPr>
        <w:jc w:val="both"/>
        <w:ind w:firstLine="656"/>
        <w:spacing w:after="0" w:line="255" w:lineRule="auto"/>
        <w:tabs>
          <w:tab w:leader="none" w:pos="82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29" w:lineRule="exact"/>
        <w:rPr>
          <w:sz w:val="20"/>
          <w:szCs w:val="20"/>
          <w:color w:val="auto"/>
        </w:rPr>
      </w:pPr>
    </w:p>
    <w:p>
      <w:pPr>
        <w:ind w:firstLine="656"/>
        <w:spacing w:after="0" w:line="282" w:lineRule="auto"/>
        <w:tabs>
          <w:tab w:leader="none" w:pos="82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161"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Subject to the terms of the Registration and Rights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 Corporation shall be [Jim Tananbaum],</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32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7" w:name="page158"/>
    <w:bookmarkEnd w:id="157"/>
    <w:p>
      <w:pPr>
        <w:jc w:val="both"/>
        <w:ind w:firstLine="656"/>
        <w:spacing w:after="0" w:line="253" w:lineRule="auto"/>
        <w:tabs>
          <w:tab w:leader="none" w:pos="82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 (ii) 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229" w:lineRule="exact"/>
        <w:rPr>
          <w:sz w:val="20"/>
          <w:szCs w:val="20"/>
          <w:color w:val="auto"/>
        </w:rPr>
      </w:pPr>
    </w:p>
    <w:p>
      <w:pPr>
        <w:jc w:val="both"/>
        <w:ind w:firstLine="656"/>
        <w:spacing w:after="0" w:line="256" w:lineRule="auto"/>
        <w:tabs>
          <w:tab w:leader="none" w:pos="82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83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656"/>
        <w:spacing w:after="0" w:line="266" w:lineRule="auto"/>
        <w:tabs>
          <w:tab w:leader="none" w:pos="83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By-Laws</w:t>
      </w:r>
    </w:p>
    <w:p>
      <w:pPr>
        <w:spacing w:after="0" w:line="229" w:lineRule="exact"/>
        <w:rPr>
          <w:sz w:val="20"/>
          <w:szCs w:val="20"/>
          <w:color w:val="auto"/>
        </w:rPr>
      </w:pPr>
    </w:p>
    <w:p>
      <w:pPr>
        <w:ind w:firstLine="656"/>
        <w:spacing w:after="0" w:line="282" w:lineRule="auto"/>
        <w:tabs>
          <w:tab w:leader="none" w:pos="82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Certificate of Incorporation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229" w:lineRule="exact"/>
        <w:rPr>
          <w:sz w:val="20"/>
          <w:szCs w:val="20"/>
          <w:color w:val="auto"/>
        </w:rPr>
      </w:pPr>
    </w:p>
    <w:p>
      <w:pPr>
        <w:ind w:left="840" w:hanging="184"/>
        <w:spacing w:after="0"/>
        <w:tabs>
          <w:tab w:leader="none" w:pos="8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84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Text]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color w:val="auto"/>
        </w:rPr>
        <w:t>THIS AMENDED AND RESTATED CERTIFICATE OF INCORPORATION is executed as of this ____ day of __________, 2020.</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17145</wp:posOffset>
            </wp:positionV>
            <wp:extent cx="241744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[Signature Page to Closing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20"/>
          </w:cols>
          <w:pgMar w:left="980" w:top="904" w:right="1399" w:bottom="1440" w:gutter="0" w:footer="0" w:header="0"/>
        </w:sectPr>
      </w:pPr>
    </w:p>
    <w:bookmarkStart w:id="160" w:name="page161"/>
    <w:bookmarkEnd w:id="160"/>
    <w:p>
      <w:pPr>
        <w:ind w:left="10280"/>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0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such stockholder must comply with the notice and other procedures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jc w:val="both"/>
        <w:ind w:firstLine="656"/>
        <w:spacing w:after="0" w:line="252" w:lineRule="auto"/>
        <w:tabs>
          <w:tab w:leader="none" w:pos="92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19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264"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w:t>
      </w:r>
    </w:p>
    <w:p>
      <w:pPr>
        <w:spacing w:after="0" w:line="2" w:lineRule="exact"/>
        <w:rPr>
          <w:rFonts w:ascii="Times New Roman" w:cs="Times New Roman" w:eastAsia="Times New Roman" w:hAnsi="Times New Roman"/>
          <w:sz w:val="18"/>
          <w:szCs w:val="18"/>
          <w:color w:val="auto"/>
        </w:rPr>
      </w:pPr>
    </w:p>
    <w:p>
      <w:pPr>
        <w:jc w:val="both"/>
        <w:ind w:left="1300" w:firstLine="4"/>
        <w:spacing w:after="0" w:line="250" w:lineRule="auto"/>
        <w:tabs>
          <w:tab w:leader="none" w:pos="157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w:t>
      </w:r>
    </w:p>
    <w:p>
      <w:pPr>
        <w:spacing w:after="0" w:line="1"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68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8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35"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left="180" w:firstLine="652"/>
        <w:spacing w:after="0" w:line="251" w:lineRule="auto"/>
        <w:tabs>
          <w:tab w:leader="none" w:pos="111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Times New Roman" w:cs="Times New Roman" w:eastAsia="Times New Roman" w:hAnsi="Times New Roman"/>
          <w:sz w:val="18"/>
          <w:szCs w:val="18"/>
          <w:u w:val="single" w:color="auto"/>
          <w:color w:val="auto"/>
        </w:rPr>
        <w:t>Material Ownership Interests</w:t>
      </w:r>
      <w:r>
        <w:rPr>
          <w:rFonts w:ascii="Times New Roman" w:cs="Times New Roman" w:eastAsia="Times New Roman" w:hAnsi="Times New Roman"/>
          <w:sz w:val="18"/>
          <w:szCs w:val="18"/>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205"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3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0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3" w:name="page164"/>
    <w:bookmarkEnd w:id="16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90" w:lineRule="exact"/>
        <w:rPr>
          <w:sz w:val="20"/>
          <w:szCs w:val="20"/>
          <w:color w:val="auto"/>
        </w:rPr>
      </w:pPr>
    </w:p>
    <w:p>
      <w:pPr>
        <w:jc w:val="both"/>
        <w:ind w:firstLine="656"/>
        <w:spacing w:after="0" w:line="257" w:lineRule="auto"/>
        <w:tabs>
          <w:tab w:leader="none" w:pos="899"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908"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a stockholder’s notice required by these By-laws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87" w:lineRule="exact"/>
        <w:rPr>
          <w:sz w:val="20"/>
          <w:szCs w:val="20"/>
          <w:color w:val="auto"/>
        </w:rPr>
      </w:pPr>
    </w:p>
    <w:p>
      <w:pPr>
        <w:ind w:left="920" w:hanging="264"/>
        <w:spacing w:after="0"/>
        <w:tabs>
          <w:tab w:leader="none" w:pos="9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90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these By-laws, the Registration and Shareholder Rights Agreement, dated as of [ ● ],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and Shareholder 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656"/>
        <w:spacing w:after="0" w:line="261" w:lineRule="auto"/>
        <w:tabs>
          <w:tab w:leader="none" w:pos="9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0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2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a stockholder shall also comply with all applicable requirements of the Exchange Act and the rules and regulations thereunder with respect to the matters set forth in these By-laws. Nothing in these By-laws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83" w:lineRule="exact"/>
        <w:rPr>
          <w:sz w:val="20"/>
          <w:szCs w:val="20"/>
          <w:color w:val="auto"/>
        </w:rPr>
      </w:pPr>
    </w:p>
    <w:p>
      <w:pPr>
        <w:jc w:val="both"/>
        <w:ind w:firstLine="656"/>
        <w:spacing w:after="0" w:line="258" w:lineRule="auto"/>
        <w:tabs>
          <w:tab w:leader="none" w:pos="89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these By-laws shall govern such special meeting.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88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23"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13"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meeting is convened, the presiding officer may adjourn the meeting if (i) no quorum is present for the transaction of business,</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6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these By-laws, is entitled to such notice.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w:t>
      </w:r>
    </w:p>
    <w:p>
      <w:pPr>
        <w:jc w:val="both"/>
        <w:ind w:firstLine="8"/>
        <w:spacing w:after="0" w:line="251" w:lineRule="auto"/>
        <w:tabs>
          <w:tab w:leader="none" w:pos="29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xml:space="preserve">.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The order of business and all other matters of procedure at any meeting of the stockholders shall be determined by the presiding officer.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 the Registration and Shareholder Rights Agreement and the Voting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 the Registration and Shareholder Rights Agreement and the Voting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a director. Any person may occupy more than one office of the Corporation at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if one is elected, shall have such powers and shall perform such duties as the Board of Directors may from time to time designate.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8"/>
          <w:szCs w:val="18"/>
          <w:b w:val="1"/>
          <w:bCs w:val="1"/>
          <w:color w:val="auto"/>
        </w:rPr>
        <w:t>Notwithstanding anything to</w:t>
      </w:r>
      <w:r>
        <w:rPr>
          <w:rFonts w:ascii="Times New Roman" w:cs="Times New Roman" w:eastAsia="Times New Roman" w:hAnsi="Times New Roman"/>
          <w:sz w:val="18"/>
          <w:szCs w:val="18"/>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w:t>
      </w:r>
    </w:p>
    <w:p>
      <w:pPr>
        <w:spacing w:after="0" w:line="225" w:lineRule="exact"/>
        <w:rPr>
          <w:sz w:val="20"/>
          <w:szCs w:val="20"/>
          <w:color w:val="auto"/>
        </w:rPr>
      </w:pPr>
    </w:p>
    <w:p>
      <w:pPr>
        <w:jc w:val="both"/>
        <w:ind w:firstLine="656"/>
        <w:spacing w:after="0" w:line="254" w:lineRule="auto"/>
        <w:tabs>
          <w:tab w:leader="none" w:pos="89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xml:space="preserve">”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4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ind w:left="900" w:hanging="244"/>
        <w:spacing w:after="0"/>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6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5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90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3"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9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660" w:right="20" w:firstLine="644"/>
        <w:spacing w:after="0" w:line="282" w:lineRule="auto"/>
        <w:tabs>
          <w:tab w:leader="none" w:pos="156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xml:space="preserve">. 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xml:space="preserve">. Unless ordered by a court, no indemnification shall be provided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9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91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82" w:lineRule="auto"/>
        <w:tabs>
          <w:tab w:leader="none" w:pos="89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89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8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firstLine="656"/>
        <w:spacing w:after="0" w:line="254" w:lineRule="auto"/>
        <w:tabs>
          <w:tab w:leader="none" w:pos="90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0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to indemnification and to advancement of Expenses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 Indemnitor</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w:t>
      </w:r>
      <w:r>
        <w:rPr>
          <w:rFonts w:ascii="Times New Roman" w:cs="Times New Roman" w:eastAsia="Times New Roman" w:hAnsi="Times New Roman"/>
          <w:sz w:val="18"/>
          <w:szCs w:val="18"/>
          <w:color w:val="auto"/>
        </w:rPr>
        <w:t xml:space="preserve">.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ind w:left="6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89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ind w:left="10360"/>
        <w:spacing w:after="0"/>
        <w:rPr>
          <w:sz w:val="20"/>
          <w:szCs w:val="20"/>
          <w:color w:val="auto"/>
        </w:rPr>
      </w:pPr>
      <w:r>
        <w:rPr>
          <w:rFonts w:ascii="Times New Roman" w:cs="Times New Roman" w:eastAsia="Times New Roman" w:hAnsi="Times New Roman"/>
          <w:sz w:val="17"/>
          <w:szCs w:val="17"/>
          <w:b w:val="1"/>
          <w:bCs w:val="1"/>
          <w:u w:val="single" w:color="auto"/>
          <w:color w:val="auto"/>
        </w:rPr>
        <w:t>EXHIBIT 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2020 STOCK OPTION AND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 committee performing the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which is comprised of not less than two Non-Employee Directors who are independent.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 applicable to an Award granted under the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Certificate is subject to the terms and conditions of the Plan.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Merger Agreement, dated as of October 15, 2020, by and among the Company and the other parties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 rules, regulations and interpretations.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 Affiliate as an independent contractor and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qualifies as a consultant or advisor under Instruction A.1.(a)(1) of Form S-8 under the Act.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0" w:name="page181"/>
    <w:bookmarkEnd w:id="180"/>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 dividends that would have been paid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Stock specified in the Dividend Equivalent Right (or other award to which it relates) if such shares had been issued to and held by the grantee.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thereunder.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 in good faith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 as defined in Section 422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 any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 a risk of forfeiture or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of repurchase.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 as the Administrator may determine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grant.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 Administrator may determine at the time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grant.</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means (i) the sale of all or substantially all of the assets of the Company on a consolidated basis to an unrelated person or entity,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1" w:name="page182"/>
    <w:bookmarkEnd w:id="181"/>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 any Affiliate (e.g., a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 shall be deemed to continue without interruption in the event an individual’s status changes from full-time employee to part-time employee or Consultant).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$0.001 per share, of the Company, subject to adjustments pursuant to Section 3.</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 the extent explicitly provided for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 at least a 50 percent interest,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percent of the combined voting power of all classes of stock of the Company or any parent or subsidiary corporation.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ADMINISTRATION OF PLAN; ADMINISTRATOR AUTHORITY TO SELECT GRANTEES AND DETERMINE AWARDS</w:t>
      </w:r>
    </w:p>
    <w:p>
      <w:pPr>
        <w:spacing w:after="0" w:line="225" w:lineRule="exact"/>
        <w:rPr>
          <w:sz w:val="20"/>
          <w:szCs w:val="20"/>
          <w:color w:val="auto"/>
        </w:rPr>
      </w:pPr>
    </w:p>
    <w:p>
      <w:pPr>
        <w:ind w:left="900" w:hanging="244"/>
        <w:spacing w:after="0"/>
        <w:tabs>
          <w:tab w:leader="none" w:pos="9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3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1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2" w:name="page183"/>
    <w:bookmarkEnd w:id="182"/>
    <w:p>
      <w:pPr>
        <w:ind w:left="66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jc w:val="both"/>
        <w:ind w:firstLine="656"/>
        <w:spacing w:after="0" w:line="255" w:lineRule="auto"/>
        <w:tabs>
          <w:tab w:leader="none" w:pos="89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9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SECTION 3. STOCK ISSUABLE UNDER THE PLAN; MERGERS; SUBSTITUTION</w:t>
      </w:r>
    </w:p>
    <w:p>
      <w:pPr>
        <w:spacing w:after="0" w:line="229" w:lineRule="exact"/>
        <w:rPr>
          <w:sz w:val="20"/>
          <w:szCs w:val="20"/>
          <w:color w:val="auto"/>
        </w:rPr>
      </w:pPr>
    </w:p>
    <w:p>
      <w:pPr>
        <w:jc w:val="both"/>
        <w:ind w:firstLine="656"/>
        <w:spacing w:after="0" w:line="244" w:lineRule="auto"/>
        <w:tabs>
          <w:tab w:leader="none" w:pos="89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_____</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96"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8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78308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20" w:lineRule="exact"/>
        <w:rPr>
          <w:sz w:val="20"/>
          <w:szCs w:val="20"/>
          <w:color w:val="auto"/>
        </w:rPr>
      </w:pPr>
    </w:p>
    <w:p>
      <w:pPr>
        <w:ind w:left="340" w:hanging="332"/>
        <w:spacing w:after="0" w:line="284" w:lineRule="auto"/>
        <w:tabs>
          <w:tab w:leader="none" w:pos="3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Size of initial share reserve to represent 9% of the fully-diluted pool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number of shares subject to rollover under the Company’s 2015 Employee, Director and Consultant Stock Option Plan and the Company’s 2017 Stock Option and Grant Plan.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656"/>
        <w:spacing w:after="0" w:line="252" w:lineRule="auto"/>
        <w:tabs>
          <w:tab w:leader="none" w:pos="89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93"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$_____, provided, however that such amount shall be $_____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 ELIGIBILITY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 STOCK OPTIONS</w:t>
      </w:r>
    </w:p>
    <w:p>
      <w:pPr>
        <w:spacing w:after="0" w:line="225" w:lineRule="exact"/>
        <w:rPr>
          <w:sz w:val="20"/>
          <w:szCs w:val="20"/>
          <w:color w:val="auto"/>
        </w:rPr>
      </w:pPr>
    </w:p>
    <w:p>
      <w:pPr>
        <w:ind w:firstLine="656"/>
        <w:spacing w:after="0" w:line="282" w:lineRule="auto"/>
        <w:tabs>
          <w:tab w:leader="none" w:pos="89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firstLine="656"/>
        <w:spacing w:after="0" w:line="256" w:lineRule="auto"/>
        <w:tabs>
          <w:tab w:leader="none" w:pos="90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7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7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1"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right="20" w:firstLine="656"/>
        <w:spacing w:after="0" w:line="261" w:lineRule="auto"/>
        <w:tabs>
          <w:tab w:leader="none" w:pos="99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 STOCK APPRECIATION RIGHTS</w:t>
      </w:r>
    </w:p>
    <w:p>
      <w:pPr>
        <w:spacing w:after="0" w:line="225" w:lineRule="exact"/>
        <w:rPr>
          <w:sz w:val="20"/>
          <w:szCs w:val="20"/>
          <w:color w:val="auto"/>
        </w:rPr>
      </w:pPr>
    </w:p>
    <w:p>
      <w:pPr>
        <w:jc w:val="both"/>
        <w:ind w:firstLine="656"/>
        <w:spacing w:after="0" w:line="261" w:lineRule="auto"/>
        <w:tabs>
          <w:tab w:leader="none" w:pos="89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 RESTRICTED STOCK AWARDS</w:t>
      </w:r>
    </w:p>
    <w:p>
      <w:pPr>
        <w:spacing w:after="0" w:line="225" w:lineRule="exact"/>
        <w:rPr>
          <w:sz w:val="20"/>
          <w:szCs w:val="20"/>
          <w:color w:val="auto"/>
        </w:rPr>
      </w:pPr>
    </w:p>
    <w:p>
      <w:pPr>
        <w:jc w:val="both"/>
        <w:ind w:firstLine="656"/>
        <w:spacing w:after="0" w:line="266" w:lineRule="auto"/>
        <w:tabs>
          <w:tab w:leader="none" w:pos="90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656"/>
        <w:spacing w:after="0" w:line="254" w:lineRule="auto"/>
        <w:tabs>
          <w:tab w:leader="none" w:pos="89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 RESTRICTED STOCK UNITS</w:t>
      </w:r>
    </w:p>
    <w:p>
      <w:pPr>
        <w:spacing w:after="0" w:line="225" w:lineRule="exact"/>
        <w:rPr>
          <w:sz w:val="20"/>
          <w:szCs w:val="20"/>
          <w:color w:val="auto"/>
        </w:rPr>
      </w:pPr>
    </w:p>
    <w:p>
      <w:pPr>
        <w:jc w:val="both"/>
        <w:ind w:firstLine="656"/>
        <w:spacing w:after="0" w:line="254" w:lineRule="auto"/>
        <w:tabs>
          <w:tab w:leader="none" w:pos="89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656"/>
        <w:spacing w:after="0" w:line="266" w:lineRule="auto"/>
        <w:tabs>
          <w:tab w:leader="none" w:pos="89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 UNRESTRICTED STOCK AWARDS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 CASH-BASED AWARDS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DIVIDEND EQUIVALENT RIGHTS</w:t>
      </w:r>
    </w:p>
    <w:p>
      <w:pPr>
        <w:spacing w:after="0" w:line="225" w:lineRule="exact"/>
        <w:rPr>
          <w:sz w:val="20"/>
          <w:szCs w:val="20"/>
          <w:color w:val="auto"/>
        </w:rPr>
      </w:pPr>
    </w:p>
    <w:p>
      <w:pPr>
        <w:jc w:val="both"/>
        <w:ind w:firstLine="656"/>
        <w:spacing w:after="0" w:line="253" w:lineRule="auto"/>
        <w:tabs>
          <w:tab w:leader="none" w:pos="90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225" w:lineRule="exact"/>
        <w:rPr>
          <w:sz w:val="20"/>
          <w:szCs w:val="20"/>
          <w:color w:val="auto"/>
        </w:rPr>
      </w:pPr>
    </w:p>
    <w:p>
      <w:pPr>
        <w:jc w:val="both"/>
        <w:ind w:firstLine="656"/>
        <w:spacing w:after="0" w:line="258" w:lineRule="auto"/>
        <w:tabs>
          <w:tab w:leader="none" w:pos="90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4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225" w:lineRule="exact"/>
        <w:rPr>
          <w:sz w:val="20"/>
          <w:szCs w:val="20"/>
          <w:color w:val="auto"/>
        </w:rPr>
      </w:pPr>
    </w:p>
    <w:p>
      <w:pPr>
        <w:jc w:val="both"/>
        <w:ind w:firstLine="656"/>
        <w:spacing w:after="0" w:line="256" w:lineRule="auto"/>
        <w:tabs>
          <w:tab w:leader="none" w:pos="89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3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225" w:lineRule="exact"/>
        <w:rPr>
          <w:sz w:val="20"/>
          <w:szCs w:val="20"/>
          <w:color w:val="auto"/>
        </w:rPr>
      </w:pPr>
    </w:p>
    <w:p>
      <w:pPr>
        <w:ind w:right="20" w:firstLine="656"/>
        <w:spacing w:after="0" w:line="282" w:lineRule="auto"/>
        <w:tabs>
          <w:tab w:leader="none" w:pos="89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ind w:firstLine="656"/>
        <w:spacing w:after="0" w:line="282" w:lineRule="auto"/>
        <w:tabs>
          <w:tab w:leader="none" w:pos="89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9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ind w:left="980" w:hanging="324"/>
        <w:spacing w:after="0"/>
        <w:tabs>
          <w:tab w:leader="none" w:pos="9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ind w:left="10340"/>
        <w:spacing w:after="0"/>
        <w:rPr>
          <w:sz w:val="20"/>
          <w:szCs w:val="20"/>
          <w:color w:val="auto"/>
        </w:rPr>
      </w:pPr>
      <w:r>
        <w:rPr>
          <w:rFonts w:ascii="Times New Roman" w:cs="Times New Roman" w:eastAsia="Times New Roman" w:hAnsi="Times New Roman"/>
          <w:sz w:val="17"/>
          <w:szCs w:val="17"/>
          <w:b w:val="1"/>
          <w:bCs w:val="1"/>
          <w:u w:val="single" w:color="auto"/>
          <w:color w:val="auto"/>
        </w:rPr>
        <w:t>EXHIBIT J</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FIRPTA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Treasury Regulations Section 1.1445-2(c)(3) and Section 1.897-2(h)</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certificate (this “FIRPTA Certificate”) is provided by Gemini Therapeutics, Inc., a Delaware corporation (the “Company”), pursuant to Treasury Regulations Section 1.1445-2(c)(3) and 1.897-2(h), in connection with that certain Merger Agreement entered into as of October [__], 2020, by any among the Company, Shareholder Representative Services LLC, a Colorado limited liability company solely in its capacity as the Stockholders’ Representative, FS Development Corp, a Delaware corporation (“Transferee”), and FSG Merger Sub, Inc., a Delaware corporation.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inform Transferee that withholding of tax is not required under section 1445 of the Code in connection with the transactions contemplated under the Agreement, the undersigned, on behalf of the Company, hereby certifies that:</w:t>
      </w:r>
    </w:p>
    <w:p>
      <w:pPr>
        <w:spacing w:after="0" w:line="162" w:lineRule="exact"/>
        <w:rPr>
          <w:sz w:val="20"/>
          <w:szCs w:val="20"/>
          <w:color w:val="auto"/>
        </w:rPr>
      </w:pPr>
    </w:p>
    <w:p>
      <w:pPr>
        <w:ind w:left="840" w:hanging="184"/>
        <w:spacing w:after="0"/>
        <w:tabs>
          <w:tab w:leader="none" w:pos="8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and is treated as a corporation for U.S. federal income tax purposes.</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 employer identification number is [●].</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address is: 300 One Kendall Square, 3rd Floor, Cambridge, MA 02139.</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as of the date hereof, a “United States real property holding corporation” (a “USRPHC”) as such term is defined by Section 897(c)(2) of the Internal Revenue Code of 1986, as amended (the “Code”), and the Treasury Regulations promulgated thereunder, and has not been a USRPHC on any determination date (as specified in Treasury Regulations Section 1.897-2(c)) during the five-year period ending on the date hereof. Accordingly, interests in the Company do not constitute “U.S. real property interests” as defined in Section 897(c)(1) of the Code (“USRPIs”).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4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this certification may be disclosed to the Internal Revenue Service by Transferee and that any false statement contained herein could be punished by fine, imprisonment or both.</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Attached hereto is a notice, dated as of the date hereof, from the Company to the Internal Revenue Service to the effect that the Company has determined equity interests in the Company are not USRPIs.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penalties of perjury, the undersigned declares that [s]he has examined the certifications set forth above and verifies that they are true, correct, and complete to [his/her] knowledge and belief, and the undersigned further declares that [he/she] has the authority to execute this FIRPTA Certificate on behalf of the Company.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t>Dated: [date]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CERTIFIED 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RETURN RECEIPT REQUESTED]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Revenue Service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409101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Ogden, UT 84409</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Notice Required Under Treasury Regulations Section 1.897-2(h)(2)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the request of FS Development Corp., a Delaware corporation (“Transferee”), in connection with the acquisition of Gemini Therapeutics, Inc., a Delaware corporation (the “Company”), we provided the attached statement to Transferee 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notice is provided pursuant to the requirements of Treasury Regulations Section 1.897-2(h)(2).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relates to the corporation providing the notice:</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Gemini Therapeutics, Inc.</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300 One Kendall Square, 3rd Floor</w:t>
            </w:r>
          </w:p>
        </w:tc>
      </w:tr>
      <w:tr>
        <w:trPr>
          <w:trHeight w:val="216"/>
        </w:trPr>
        <w:tc>
          <w:tcPr>
            <w:tcW w:w="960" w:type="dxa"/>
            <w:vAlign w:val="bottom"/>
          </w:tcPr>
          <w:p>
            <w:pPr>
              <w:spacing w:after="0"/>
              <w:rPr>
                <w:sz w:val="18"/>
                <w:szCs w:val="18"/>
                <w:color w:val="auto"/>
              </w:rPr>
            </w:pPr>
          </w:p>
        </w:tc>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Cambridge, MA 02139</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EIN:</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attached statement was not requested by a foreign interest holder. It was voluntarily provided by the Company in response to a request from the Transferee in accordance with Treasury Regulations Section 1.1445-2(c)(3)(i). The following information relates to the Transferee:</w:t>
      </w:r>
    </w:p>
    <w:p>
      <w:pPr>
        <w:sectPr>
          <w:pgSz w:w="11900" w:h="16838" w:orient="portrait"/>
          <w:cols w:equalWidth="0" w:num="1">
            <w:col w:w="11240"/>
          </w:cols>
          <w:pgMar w:left="320" w:top="900"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EIN: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600 Montgomery Street, Suite 4500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300" w:space="660"/>
            <w:col w:w="9280"/>
          </w:cols>
          <w:pgMar w:left="320" w:top="900" w:right="339" w:bottom="1440" w:gutter="0" w:footer="0" w:header="0"/>
          <w:type w:val="continuous"/>
        </w:sectPr>
      </w:pPr>
    </w:p>
    <w:p>
      <w:pPr>
        <w:spacing w:after="0" w:line="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interests in question (equity interests in the Company) are not “U.S. real property interests,” as that term is defined in section 897(c)(1) of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96" w:name="page197"/>
    <w:bookmarkEnd w:id="196"/>
    <w:p>
      <w:pPr>
        <w:spacing w:after="0" w:line="282" w:lineRule="auto"/>
        <w:rPr>
          <w:sz w:val="20"/>
          <w:szCs w:val="20"/>
          <w:color w:val="auto"/>
        </w:rPr>
      </w:pPr>
      <w:r>
        <w:rPr>
          <w:rFonts w:ascii="Times New Roman" w:cs="Times New Roman" w:eastAsia="Times New Roman" w:hAnsi="Times New Roman"/>
          <w:sz w:val="18"/>
          <w:szCs w:val="18"/>
          <w:color w:val="auto"/>
        </w:rPr>
        <w:t>Under penalties of perjury, the undersigned declares that (i) [s]he is a responsible corporate officer of the Company with the authority to sign this document on behalf of the Company and (ii) the above notice (including the attachment hereto) is true, correct, and complete to [his/her] knowledge and belief.</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ind w:left="10280"/>
        <w:spacing w:after="0"/>
        <w:rPr>
          <w:sz w:val="20"/>
          <w:szCs w:val="20"/>
          <w:color w:val="auto"/>
        </w:rPr>
      </w:pPr>
      <w:r>
        <w:rPr>
          <w:rFonts w:ascii="Times New Roman" w:cs="Times New Roman" w:eastAsia="Times New Roman" w:hAnsi="Times New Roman"/>
          <w:sz w:val="18"/>
          <w:szCs w:val="18"/>
          <w:b w:val="1"/>
          <w:bCs w:val="1"/>
          <w:u w:val="single" w:color="auto"/>
          <w:color w:val="auto"/>
        </w:rPr>
        <w:t>EXHIBIT 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dated as of October [●], 2020 and is between FS Development Corp., a Delaware corporation (“</w:t>
      </w:r>
      <w:r>
        <w:rPr>
          <w:rFonts w:ascii="Times New Roman" w:cs="Times New Roman" w:eastAsia="Times New Roman" w:hAnsi="Times New Roman"/>
          <w:sz w:val="18"/>
          <w:szCs w:val="18"/>
          <w:b w:val="1"/>
          <w:bCs w:val="1"/>
          <w:u w:val="single" w:color="auto"/>
          <w:color w:val="auto"/>
        </w:rPr>
        <w:t>FSD</w:t>
      </w:r>
      <w:r>
        <w:rPr>
          <w:rFonts w:ascii="Times New Roman" w:cs="Times New Roman" w:eastAsia="Times New Roman" w:hAnsi="Times New Roman"/>
          <w:sz w:val="18"/>
          <w:szCs w:val="18"/>
          <w:color w:val="auto"/>
        </w:rPr>
        <w:t xml:space="preserve">”), and each of the stockholder parties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the other persons who enter into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with FSD in order to become a “Stockholder Party” for purposes of this Agreement (collectively, the “</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Capitalized terms used but not defined herein shall have the meanings assigned to them in the Merger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that certain Agreement and Plan of Merger, dated as of October [●], 2020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FSG Merger Sub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and a direct, wholly owned subsidiary of FSD, will merge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and into Gemini Therapeutics, Inc., a Delaware corporation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with Gemini surviving the Merger as a wholly owned subsidiary of FSD;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owns the number and type of Equity Interest in Gemini set forth opposite of such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Equity Interests, the “</w:t>
      </w:r>
      <w:r>
        <w:rPr>
          <w:rFonts w:ascii="Times New Roman" w:cs="Times New Roman" w:eastAsia="Times New Roman" w:hAnsi="Times New Roman"/>
          <w:sz w:val="18"/>
          <w:szCs w:val="18"/>
          <w:b w:val="1"/>
          <w:bCs w:val="1"/>
          <w:u w:val="single" w:color="auto"/>
          <w:color w:val="auto"/>
        </w:rPr>
        <w:t>Gemini Equity Interests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will receive a certain number of shares of Class A common stock, $0.0001 par value per share,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FSD and/or options to purchase such shares of Class A common stock (the “</w:t>
      </w:r>
      <w:r>
        <w:rPr>
          <w:rFonts w:ascii="Times New Roman" w:cs="Times New Roman" w:eastAsia="Times New Roman" w:hAnsi="Times New Roman"/>
          <w:sz w:val="18"/>
          <w:szCs w:val="18"/>
          <w:b w:val="1"/>
          <w:bCs w:val="1"/>
          <w:u w:val="single" w:color="auto"/>
          <w:color w:val="auto"/>
        </w:rPr>
        <w:t>FSD Equity Interests</w:t>
      </w:r>
      <w:r>
        <w:rPr>
          <w:rFonts w:ascii="Times New Roman" w:cs="Times New Roman" w:eastAsia="Times New Roman" w:hAnsi="Times New Roman"/>
          <w:sz w:val="18"/>
          <w:szCs w:val="18"/>
          <w:color w:val="auto"/>
        </w:rPr>
        <w:t>”, together with the Gemini Equity Interests, and together with any of the foregoing acquired after the date hereof, the “</w:t>
      </w:r>
      <w:r>
        <w:rPr>
          <w:rFonts w:ascii="Times New Roman" w:cs="Times New Roman" w:eastAsia="Times New Roman" w:hAnsi="Times New Roman"/>
          <w:sz w:val="18"/>
          <w:szCs w:val="18"/>
          <w:b w:val="1"/>
          <w:bCs w:val="1"/>
          <w:u w:val="single" w:color="auto"/>
          <w:color w:val="auto"/>
        </w:rPr>
        <w:t>Covered Equity Interest</w:t>
      </w:r>
      <w:r>
        <w:rPr>
          <w:rFonts w:ascii="Times New Roman" w:cs="Times New Roman" w:eastAsia="Times New Roman" w:hAnsi="Times New Roman"/>
          <w:sz w:val="18"/>
          <w:szCs w:val="18"/>
          <w:color w:val="auto"/>
        </w:rPr>
        <w:t>”), pursuant to the terms of the Merger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Party under the terms of the Merger Agreement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inducement to FSD and the other Parent Parties agreeing to enter into and consummate the transactions contemplated by the Merger Agreement, each Stockholder Party agrees to enter into this Agreement and to be bound by the agreements, covenants and obligations contained in this Agreement; and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acknowledge and agree that FSD would not have entered into and agreed to consummate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the Merger Agreement without each Stockholder Party entering into this Agreement and agreeing to be bound by the agreements, covenants and obligations contained in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connection with FSD entering into the Merger Agreement, the parties hereto wish to set forth herein certain understandings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such parties with respect to restrictions on transfer of the Covered Equity Interest.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8" w:name="page199"/>
    <w:bookmarkEnd w:id="198"/>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hereto, each intending to be legally bound, hereby agree as follows: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MATTERS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In addition to the terms defined elsewhere herein, the following terms have the following meanings when used herein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capital letters: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Lockup Agreement, as the same may be amended, supplemented, restated or otherwise modified from time to time in accordance with the terms 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sections of this Agreement unless otherwise specified.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9" w:name="page200"/>
    <w:bookmarkEnd w:id="199"/>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Lockup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44" w:hanging="644"/>
        <w:spacing w:after="0" w:line="251" w:lineRule="auto"/>
        <w:tabs>
          <w:tab w:leader="none" w:pos="64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agrees that such Stockholder Party shall not Transfer any Covered Equity Interest or any securities convertible into or exercisable or exchangeable (directly or indirectly) for any Covered Equity Interest (whether such Covered Equity Interest or any such securities are held by such Stockholder Party as of the date hereof or are thereafter acquired) from the date hereof and ending one-hundred eighty (180) days following the Closing Date (the “</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The foregoing restriction is expressly agreed to preclude each Stockholder Party during the Lock-up Period from engaging in any hedging or other transaction which is designed to or which reasonably could be expected to lead to or result in a sale or disposition of such Stockholder Party’s Covered Equity Interest even if such Covered Equity Interest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Stockholder Party’s Covered Equity Interest or with respect to any security that includes, relates to, or derives any significant part of its value from such Covered Equity Interest. The foregoing notwithstanding, each executive officer and director of FSD shall be permitted to establish a plan to acquire and sell Covered Equity Interest pursuant to Rule 10b5-1 under the Exchange Act; provided, however, no sale of any Covered Equity Interest under any such plan shall be made prior to the expiration of the Lock-Up Period. For purposes of this agreement,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Covered Equity Interest, (ii) enter into any swap or other arrangement that transfers to another, in whole or in part, any of the economic consequences of ownership of any Covered Equity Interest,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 by executing and delivering the Form of Joinder Agreement set forth on Exhibit B to the FSD.</w:t>
      </w:r>
    </w:p>
    <w:p>
      <w:pPr>
        <w:spacing w:after="0" w:line="20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also agrees and consents to the entry of stop transfer instructions with FSD’s transfer agent and registrar against the transfer of any Covered Equity INterest except in compliance with the foregoing restrictions and to the addition of a legend to such Stockholder Party’s Covered Equity Interest describing the foregoing restrictions.</w:t>
      </w:r>
    </w:p>
    <w:p>
      <w:pPr>
        <w:spacing w:after="0" w:line="172"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 PARTIES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Stockholder Representations and Warranties</w:t>
      </w:r>
      <w:r>
        <w:rPr>
          <w:rFonts w:ascii="Times New Roman" w:cs="Times New Roman" w:eastAsia="Times New Roman" w:hAnsi="Times New Roman"/>
          <w:sz w:val="18"/>
          <w:szCs w:val="18"/>
          <w:color w:val="auto"/>
        </w:rPr>
        <w:t>. Each Stockholder Party represents and warrants to FSD as follows:</w:t>
      </w:r>
    </w:p>
    <w:p>
      <w:pPr>
        <w:spacing w:after="0" w:line="229" w:lineRule="exact"/>
        <w:rPr>
          <w:sz w:val="20"/>
          <w:szCs w:val="20"/>
          <w:color w:val="auto"/>
        </w:rPr>
      </w:pPr>
    </w:p>
    <w:p>
      <w:pPr>
        <w:jc w:val="both"/>
        <w:ind w:left="644" w:hanging="644"/>
        <w:spacing w:after="0" w:line="261" w:lineRule="auto"/>
        <w:tabs>
          <w:tab w:leader="none" w:pos="6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Party. This Agreement has been duly and validly executed and delivered by such Stockholder Party and constitutes a valid, legal and binding agreement of each Stockholder Party (assuming that this Agreement is duly authorized, executed and delivered by FSD), enforceable against each such Stockholder Party in accordance with its terms (subject to applicable bankruptcy, insolvency, reorganization, moratorium or other Laws affecting generally the enforcement of creditors’ rights and subject to general principles of equity).</w:t>
      </w:r>
    </w:p>
    <w:p>
      <w:pPr>
        <w:spacing w:after="0" w:line="39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00" w:name="page201"/>
    <w:bookmarkEnd w:id="200"/>
    <w:p>
      <w:pPr>
        <w:jc w:val="both"/>
        <w:ind w:left="1300" w:hanging="644"/>
        <w:spacing w:after="0" w:line="256" w:lineRule="auto"/>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Party is the record and beneficial owner of the Gemini Equity Interests set forth opposite such Stockholder Party’s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has valid, good and marketable title to the Gemini Equity Interests, free and clear of all Liens (other than transfer restrictions under applicable Securities Law). Each Stockholder Party is not party to or bound by (i) any option, warrant, purchase right, or other Contract that would (either alone or in connection with one or more events, developments (including the satisfaction or waiver of any conditions precedent)) require such Stockholder Party to Transfer any of the Covered Equity Interests or (ii) any voting trust, proxy or other Contract with respect to the voting or Transfer of any of the Covered Equity Interests.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and the obligations of each Stockholder Party hereunder shall automatically terminate upon the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Agreement in accordance with its terms. Upon termination or expiration of this Agreement, no party shall have any further obligations or liabilities under this Agreement; provided, however, that such termination or expiration shall not relieve any party from liability for any willful breach of this Agreement occurring prior to its termination.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FSD’s address 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address as such Stockholder Party shall furnish to FSD in writing.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and provisions of this Agreement may be modified or amended only with the written approval of the FSD (including from and after the Effective Time, the approval of the member of the board of directors of FSD nominated by the Sponsor) and Stockholder Parties holding a majority of the Covered Equity Interests then held by the Stockholder Parties in the aggregate as to which this Agreement has not been terminated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both"/>
        <w:ind w:left="1300" w:hanging="644"/>
        <w:spacing w:after="0" w:line="258" w:lineRule="auto"/>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The parties hereto will sign such further documents, cause such meetings to be held, resolutions passed, exercise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votes and do and perform and cause to be done such further acts and things necessary, proper or advisable in order to give full effect to this Agreement and every provision 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Agreement may not be assigned without the express prior written consent of the other parties hereto, and any attempted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without such consents, will be null and void. This Agreement will inure to the benefit of and be binding on the parties hereto and their respective successors and permitted assigns.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Third Parties</w:t>
      </w:r>
      <w:r>
        <w:rPr>
          <w:rFonts w:ascii="Times New Roman" w:cs="Times New Roman" w:eastAsia="Times New Roman" w:hAnsi="Times New Roman"/>
          <w:sz w:val="18"/>
          <w:szCs w:val="18"/>
          <w:color w:val="auto"/>
        </w:rPr>
        <w:t>. Except with respect to any Non-Recourse Party, this Agreement does not create any rights, claims or benefits inuring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that is not a party hereto nor create or establish any third party beneficiary hereto.</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LEGAL RELATIONS BETWEEN THE PARTIES ARISING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INTERPRETED IN ACCORDANCE WITH THE LAWS OF THE STATE OF DELAWARE WITHOUT REFERENCE TO ITS CONFLICTS OF LAW PROVISIONS.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Jurisdiction; Waiver of Jury Trial</w:t>
      </w:r>
      <w:r>
        <w:rPr>
          <w:rFonts w:ascii="Times New Roman" w:cs="Times New Roman" w:eastAsia="Times New Roman" w:hAnsi="Times New Roman"/>
          <w:sz w:val="18"/>
          <w:szCs w:val="18"/>
          <w:color w:val="auto"/>
        </w:rPr>
        <w:t>. All Actions arising out of or relating to this Agreement shall be heard and determined exclusively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 this Agreement by any of them,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specific performance of this Agreement without the posting of a bond.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 agreements, representations, warranties, covenants or understandings with respect to the subject matter hereof other than those expressly set forth herein. This Agreement supersedes all other prior agreements and understandings between the parties with respect to such subject matter.</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 or circumstance or in any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b w:val="1"/>
          <w:bCs w:val="1"/>
          <w:u w:val="single" w:color="auto"/>
          <w:color w:val="auto"/>
        </w:rPr>
        <w:t>Table of Contents, Headings and Captions</w:t>
      </w:r>
      <w:r>
        <w:rPr>
          <w:rFonts w:ascii="Times New Roman" w:cs="Times New Roman" w:eastAsia="Times New Roman" w:hAnsi="Times New Roman"/>
          <w:sz w:val="18"/>
          <w:szCs w:val="18"/>
          <w:color w:val="auto"/>
        </w:rPr>
        <w:t>. The table of contents, headings, subheadings and captions contained in this Agreement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for convenience of reference only, and in no way define, limit or describe the scope of this Agreement or the intent of any provision hereof.</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and any amendment hereto may be signed in any number of separate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but all of which taken together shall constitute one agreement (or amendment, as 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color w:val="auto"/>
        </w:rPr>
        <w:t>. This Agreement shall be valid and enforceable as of the date of this Agreement and may not be revoked by any party hereto.</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This Agreement may only be enforced against, and any claim or cause of action that may be based upon, arise out of or relate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partner, shareholder, agent, attorney or representative of any party hereto or any past, present or future Affiliate,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Lockup Agreement on the day and year first 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17145</wp:posOffset>
            </wp:positionV>
            <wp:extent cx="241744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04" w:name="page205"/>
    <w:bookmarkEnd w:id="204"/>
    <w:p>
      <w:pPr>
        <w:ind w:left="564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LIGHTSTONE VENTURES, L.P.</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5" w:name="page206"/>
    <w:bookmarkEnd w:id="205"/>
    <w:p>
      <w:pPr>
        <w:ind w:left="564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6" w:name="page207"/>
    <w:bookmarkEnd w:id="206"/>
    <w:p>
      <w:pPr>
        <w:ind w:left="564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LIGHSTONE SINGAPORE L.P.</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7" w:name="page208"/>
    <w:bookmarkEnd w:id="207"/>
    <w:p>
      <w:pPr>
        <w:ind w:left="564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0"/>
          </w:cols>
          <w:pgMar w:left="1440" w:top="900" w:right="1139" w:bottom="1440" w:gutter="0" w:footer="0" w:header="0"/>
        </w:sectPr>
      </w:pPr>
    </w:p>
    <w:bookmarkStart w:id="208" w:name="page209"/>
    <w:bookmarkEnd w:id="208"/>
    <w:p>
      <w:pPr>
        <w:ind w:left="564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ATLAS VENTURE FUND X, L.P.</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9" w:name="page210"/>
    <w:bookmarkEnd w:id="209"/>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WU CAPITAL</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0" w:name="page211"/>
    <w:bookmarkEnd w:id="210"/>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1" w:name="page212"/>
    <w:bookmarkEnd w:id="211"/>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2" w:name="page213"/>
    <w:bookmarkEnd w:id="212"/>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3" w:name="page214"/>
    <w:bookmarkEnd w:id="213"/>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41744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38"/>
        </w:trPr>
        <w:tc>
          <w:tcPr>
            <w:tcW w:w="7360" w:type="dxa"/>
            <w:vAlign w:val="bottom"/>
            <w:gridSpan w:val="3"/>
          </w:tcPr>
          <w:p>
            <w:pPr>
              <w:ind w:left="516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5"/>
        </w:trPr>
        <w:tc>
          <w:tcPr>
            <w:tcW w:w="7360" w:type="dxa"/>
            <w:vAlign w:val="bottom"/>
            <w:gridSpan w:val="3"/>
          </w:tcPr>
          <w:p>
            <w:pPr>
              <w:ind w:left="4400"/>
              <w:spacing w:after="0"/>
              <w:rPr>
                <w:sz w:val="20"/>
                <w:szCs w:val="20"/>
                <w:color w:val="auto"/>
              </w:rPr>
            </w:pPr>
            <w:r>
              <w:rPr>
                <w:rFonts w:ascii="Times New Roman" w:cs="Times New Roman" w:eastAsia="Times New Roman" w:hAnsi="Times New Roman"/>
                <w:sz w:val="18"/>
                <w:szCs w:val="18"/>
                <w:b w:val="1"/>
                <w:bCs w:val="1"/>
                <w:color w:val="auto"/>
              </w:rPr>
              <w:t>STOCKHOLDER PARTIES</w:t>
            </w:r>
            <w:r>
              <w:rPr>
                <w:rFonts w:ascii="Times New Roman" w:cs="Times New Roman" w:eastAsia="Times New Roman" w:hAnsi="Times New Roman"/>
                <w:sz w:val="29"/>
                <w:szCs w:val="29"/>
                <w:b w:val="1"/>
                <w:bCs w:val="1"/>
                <w:color w:val="auto"/>
                <w:vertAlign w:val="superscript"/>
              </w:rPr>
              <w:t>[10]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598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11,653,137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976,931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1,587,559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133,112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Lighstone Singapore L.P.</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3,700,139</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13,240,696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7,400,280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13,240,696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5,180,196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Wu Capital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7,400,280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488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480,000</w:t>
            </w:r>
          </w:p>
        </w:tc>
        <w:tc>
          <w:tcPr>
            <w:tcW w:w="2480" w:type="dxa"/>
            <w:vAlign w:val="bottom"/>
            <w:shd w:val="clear" w:color="auto" w:fill="CCEEFF"/>
          </w:tcPr>
          <w:p>
            <w:pPr>
              <w:spacing w:after="0"/>
              <w:rPr>
                <w:sz w:val="17"/>
                <w:szCs w:val="17"/>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James McLaughlin</w:t>
            </w:r>
          </w:p>
        </w:tc>
        <w:tc>
          <w:tcPr>
            <w:tcW w:w="488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4,500,000</w:t>
            </w:r>
          </w:p>
        </w:tc>
        <w:tc>
          <w:tcPr>
            <w:tcW w:w="24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 Reilly</w:t>
            </w:r>
          </w:p>
        </w:tc>
        <w:tc>
          <w:tcPr>
            <w:tcW w:w="488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185,175</w:t>
            </w:r>
          </w:p>
        </w:tc>
        <w:tc>
          <w:tcPr>
            <w:tcW w:w="24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Steve Squinto</w:t>
            </w:r>
          </w:p>
        </w:tc>
        <w:tc>
          <w:tcPr>
            <w:tcW w:w="488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396,803</w:t>
            </w:r>
          </w:p>
        </w:tc>
        <w:tc>
          <w:tcPr>
            <w:tcW w:w="24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4880" w:type="dxa"/>
            <w:vAlign w:val="bottom"/>
            <w:shd w:val="clear" w:color="auto" w:fill="CCEEFF"/>
          </w:tcPr>
          <w:p>
            <w:pPr>
              <w:spacing w:after="0"/>
              <w:rPr>
                <w:sz w:val="18"/>
                <w:szCs w:val="18"/>
                <w:color w:val="auto"/>
              </w:rPr>
            </w:pPr>
          </w:p>
        </w:tc>
        <w:tc>
          <w:tcPr>
            <w:tcW w:w="2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3,285,939</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48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Uknis</w:t>
            </w:r>
          </w:p>
        </w:tc>
        <w:tc>
          <w:tcPr>
            <w:tcW w:w="48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Suresh Katti</w:t>
            </w:r>
          </w:p>
        </w:tc>
        <w:tc>
          <w:tcPr>
            <w:tcW w:w="4880" w:type="dxa"/>
            <w:vAlign w:val="bottom"/>
          </w:tcPr>
          <w:p>
            <w:pPr>
              <w:spacing w:after="0"/>
              <w:rPr>
                <w:sz w:val="18"/>
                <w:szCs w:val="18"/>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319,535</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Strapps</w:t>
            </w:r>
          </w:p>
        </w:tc>
        <w:tc>
          <w:tcPr>
            <w:tcW w:w="4880" w:type="dxa"/>
            <w:vAlign w:val="bottom"/>
            <w:shd w:val="clear" w:color="auto" w:fill="CCEEFF"/>
          </w:tcPr>
          <w:p>
            <w:pPr>
              <w:spacing w:after="0"/>
              <w:rPr>
                <w:sz w:val="18"/>
                <w:szCs w:val="18"/>
                <w:color w:val="auto"/>
              </w:rPr>
            </w:pPr>
          </w:p>
        </w:tc>
        <w:tc>
          <w:tcPr>
            <w:tcW w:w="2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319,535</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48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w:t>
            </w:r>
          </w:p>
        </w:tc>
        <w:tc>
          <w:tcPr>
            <w:tcW w:w="48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Phil Reilly</w:t>
            </w:r>
          </w:p>
        </w:tc>
        <w:tc>
          <w:tcPr>
            <w:tcW w:w="488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185,175</w:t>
            </w: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7" w:lineRule="exact"/>
        <w:rPr>
          <w:sz w:val="20"/>
          <w:szCs w:val="20"/>
          <w:color w:val="auto"/>
        </w:rPr>
      </w:pPr>
    </w:p>
    <w:p>
      <w:pPr>
        <w:ind w:left="340" w:hanging="332"/>
        <w:spacing w:after="0"/>
        <w:tabs>
          <w:tab w:leader="none" w:pos="340" w:val="left"/>
        </w:tabs>
        <w:numPr>
          <w:ilvl w:val="0"/>
          <w:numId w:val="20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To be confirmed whether any other members of Gemini management owns shares of Gemini.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JOINDER TO LOCKUP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the Lockup Agreement, dated as of October [●], 2020, by and between FSD Development Corp. and the Stockholder Parties (as defined therein) from time to time party thereto (as amended from time to time,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Capitalized terms used but not otherwise defined herein shall have the meanings ascribed to such terms in the Lockup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FSD and each undersigned holder of shares of FSD (each, a “</w:t>
      </w:r>
      <w:r>
        <w:rPr>
          <w:rFonts w:ascii="Times New Roman" w:cs="Times New Roman" w:eastAsia="Times New Roman" w:hAnsi="Times New Roman"/>
          <w:sz w:val="18"/>
          <w:szCs w:val="18"/>
          <w:u w:val="single" w:color="auto"/>
          <w:color w:val="auto"/>
        </w:rPr>
        <w:t>New Stockholder Party</w:t>
      </w:r>
      <w:r>
        <w:rPr>
          <w:rFonts w:ascii="Times New Roman" w:cs="Times New Roman" w:eastAsia="Times New Roman" w:hAnsi="Times New Roman"/>
          <w:sz w:val="18"/>
          <w:szCs w:val="18"/>
          <w:color w:val="auto"/>
        </w:rPr>
        <w:t>”) agrees that this Joinder to the Lockup Agreement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is being executed and delivered for good and valuable consideration.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undersigned New Stockholder Party hereby agrees to and does become party to the Lockup Agreement as a Stockholder Party. This Joinder shall serve as a counterpart signature page to the Lockup Agreement and by executing below each undersigned New Stockholder Party is deemed to have executed the Lockup Agreement with the same force and effect as if originally named a party thereto.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Joinder may be executed in multiple counterparts, including by means of facsimile or electronic signature, each of which shall be deemed an original, but all of which together shall constitute the same instrument.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color w:val="auto"/>
        </w:rPr>
        <w:t>IN WITNESS WHEREOF, the undersigned have duly executed this joinder as of the date first set forth above.</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[NEW STOCKHOLDER PARTY]</w:t>
      </w: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MERGER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FSG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251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Gemini Therapeutics, Inc., a corporation organized and existing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the following information relating to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of FSG Merger Sub, Inc., a corporation organized and existing under the laws of Delaware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with the Company as the surviving corporation of the Merger: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names and states of incorporation of the constituent corporations to the Merger (the “</w:t>
      </w:r>
      <w:r>
        <w:rPr>
          <w:rFonts w:ascii="Times New Roman" w:cs="Times New Roman" w:eastAsia="Times New Roman" w:hAnsi="Times New Roman"/>
          <w:sz w:val="18"/>
          <w:szCs w:val="18"/>
          <w:u w:val="single" w:color="auto"/>
          <w:color w:val="auto"/>
        </w:rPr>
        <w:t>Constituent Corporations</w:t>
      </w:r>
      <w:r>
        <w:rPr>
          <w:rFonts w:ascii="Times New Roman" w:cs="Times New Roman" w:eastAsia="Times New Roman" w:hAnsi="Times New Roman"/>
          <w:sz w:val="18"/>
          <w:szCs w:val="18"/>
          <w:color w:val="auto"/>
        </w:rPr>
        <w:t>”) are as follows: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of Incorporation</w:t>
            </w:r>
          </w:p>
        </w:tc>
      </w:tr>
      <w:tr>
        <w:trPr>
          <w:trHeight w:val="28"/>
        </w:trPr>
        <w:tc>
          <w:tcPr>
            <w:tcW w:w="420" w:type="dxa"/>
            <w:vAlign w:val="bottom"/>
            <w:tcBorders>
              <w:top w:val="single" w:sz="8" w:color="auto"/>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98"/>
        </w:trPr>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Gemini Therapeutics, Inc.</w:t>
            </w:r>
          </w:p>
        </w:tc>
        <w:tc>
          <w:tcPr>
            <w:tcW w:w="100" w:type="dxa"/>
            <w:vAlign w:val="bottom"/>
          </w:tcPr>
          <w:p>
            <w:pPr>
              <w:spacing w:after="0"/>
              <w:rPr>
                <w:sz w:val="17"/>
                <w:szCs w:val="17"/>
                <w:color w:val="auto"/>
              </w:rPr>
            </w:pPr>
          </w:p>
        </w:tc>
        <w:tc>
          <w:tcPr>
            <w:tcW w:w="5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FSG Merger Sub, Inc.</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2857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-325120</wp:posOffset>
            </wp:positionV>
            <wp:extent cx="2857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October [●], 2020, by and among the Company, FS Development Corp.,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Delaware corporation, Merger Sub, and Shareholder Representative Services LLC (solely in its capacity as the stockholder representative as set forth therein), has been approved, adopted, certified, executed and acknowledged by each of the Constituent Corporations pursuant to, and in accordance with, Section 251 of the DGCL.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THIRD</w:t>
      </w:r>
      <w:r>
        <w:rPr>
          <w:rFonts w:ascii="Times New Roman" w:cs="Times New Roman" w:eastAsia="Times New Roman" w:hAnsi="Times New Roman"/>
          <w:sz w:val="17"/>
          <w:szCs w:val="17"/>
          <w:color w:val="auto"/>
        </w:rPr>
        <w:t>: The name of the surviving corporation, upon the effectiveness of the Merger, shall be Gemini Therapeutics, Inc., a Delaware corporation.</w:t>
      </w:r>
    </w:p>
    <w:p>
      <w:pPr>
        <w:spacing w:after="0" w:line="23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Certificate of Incorporation of the Company, as in effect prior to the filing of this Certificate of Merger, shall be amended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filing of this Certificate of Merger so as to contain the provisions, and only the provisions, contained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and, as so amended, shall be the Certificate of Incorporation of the surviving corporation.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This Certificate of Merger and the Merger shall become effective immediately upon the filing of this Certificate of Merger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State of the State of Delaware.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The executed Agreement is on file at the principal place of business of the surviving corporation. The address of the principal place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of the surviving corporation is 300 One Kendall Square, 3rd Floor, Cambridge, MA 02139.</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A copy of the Agreement will be furnished by the surviving corporation on request, without cost, to any stockholder of either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Constituent Corporations.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BLANK INTENTIONALLY]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8" w:name="page219"/>
    <w:bookmarkEnd w:id="218"/>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said surviving corporation has caused this certificate to be signed by an authorized officer on the _____ day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2020.</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Delaware Certificate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9" w:name="page220"/>
    <w:bookmarkEnd w:id="21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438785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62" w:lineRule="exact"/>
        <w:rPr>
          <w:sz w:val="20"/>
          <w:szCs w:val="20"/>
          <w:color w:val="auto"/>
        </w:rPr>
      </w:pPr>
    </w:p>
    <w:p>
      <w:pPr>
        <w:ind w:firstLine="656"/>
        <w:spacing w:after="0" w:line="282" w:lineRule="auto"/>
        <w:tabs>
          <w:tab w:leader="none" w:pos="82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88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1" w:name="page222"/>
    <w:bookmarkEnd w:id="221"/>
    <w:p>
      <w:pPr>
        <w:ind w:left="840" w:hanging="184"/>
        <w:spacing w:after="0"/>
        <w:tabs>
          <w:tab w:leader="none" w:pos="8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9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63"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13"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6"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17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6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163"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83"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26"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6"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450"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80" w:lineRule="exact"/>
        <w:rPr>
          <w:sz w:val="20"/>
          <w:szCs w:val="20"/>
          <w:color w:val="auto"/>
        </w:rPr>
      </w:pPr>
    </w:p>
    <w:p>
      <w:pPr>
        <w:jc w:val="both"/>
        <w:ind w:firstLine="1304"/>
        <w:spacing w:after="0" w:line="261" w:lineRule="auto"/>
        <w:tabs>
          <w:tab w:leader="none" w:pos="1663"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47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1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86"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23"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3"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g. 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 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The authorized capital stock of FSD consists of 100,000,000 Shares of which 12,516,500 are outstanding, 10,000,000 shares of Class B common stock, par value $0.0001 per share of which 3,018,750 are issued 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j. 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 (ii) judgment, decree, injunction, ruling or order of any governmental entity or arbitrator outstanding against FSD.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 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176" w:lineRule="exact"/>
        <w:rPr>
          <w:sz w:val="20"/>
          <w:szCs w:val="20"/>
          <w:color w:val="auto"/>
        </w:rPr>
      </w:pPr>
    </w:p>
    <w:p>
      <w:pPr>
        <w:ind w:right="20" w:firstLine="1304"/>
        <w:spacing w:after="0" w:line="282" w:lineRule="auto"/>
        <w:tabs>
          <w:tab w:leader="none" w:pos="161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under any obligation to pay any broker’s fee or commission in connection with the sale of the Shares hereunder other than to the Placement Agents (as defined herein).</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0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ind w:left="840" w:hanging="184"/>
        <w:spacing w:after="0"/>
        <w:tabs>
          <w:tab w:leader="none" w:pos="8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47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7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9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3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The Investor understands and agrees that no federal or state agency has passed upon or endorsed the merits of the offering of the Shares or made any findings or determination as to the fairness of this investment.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l. 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94" w:lineRule="exact"/>
        <w:rPr>
          <w:sz w:val="20"/>
          <w:szCs w:val="20"/>
          <w:color w:val="auto"/>
        </w:rPr>
      </w:pPr>
    </w:p>
    <w:p>
      <w:pPr>
        <w:jc w:val="both"/>
        <w:ind w:firstLine="1304"/>
        <w:spacing w:after="0" w:line="253" w:lineRule="auto"/>
        <w:tabs>
          <w:tab w:leader="none" w:pos="161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 No disclosure or offering document has been prepared by either of the Placement Agents or any of their respective affiliates in connection with the offer and sale of the Shares.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 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In connection with the issue and purchase of the Shares, the Placement Agents have not acted as the Investor’s financial advisor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fiduciary.</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q. When required to deliver payment to FSD pursuant to Section 2 above, the Investor will have sufficient funds to pay the Subscription Amount and consummate the purchase and sale of the Shares pursuant to this Subscription Agreement.</w:t>
      </w:r>
    </w:p>
    <w:p>
      <w:pPr>
        <w:spacing w:after="0" w:line="162" w:lineRule="exact"/>
        <w:rPr>
          <w:sz w:val="20"/>
          <w:szCs w:val="20"/>
          <w:color w:val="auto"/>
        </w:rPr>
      </w:pPr>
    </w:p>
    <w:p>
      <w:pPr>
        <w:ind w:firstLine="1304"/>
        <w:spacing w:after="0" w:line="282" w:lineRule="auto"/>
        <w:tabs>
          <w:tab w:leader="none" w:pos="1539" w:val="left"/>
        </w:tabs>
        <w:numPr>
          <w:ilvl w:val="2"/>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FSD agrees that, within thirty</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37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90th calendar day after the</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consummation of the Transaction (or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87" w:lineRule="exact"/>
        <w:rPr>
          <w:sz w:val="20"/>
          <w:szCs w:val="20"/>
          <w:color w:val="auto"/>
        </w:rPr>
      </w:pPr>
    </w:p>
    <w:p>
      <w:pPr>
        <w:jc w:val="both"/>
        <w:ind w:firstLine="1304"/>
        <w:spacing w:after="0" w:line="251" w:lineRule="auto"/>
        <w:tabs>
          <w:tab w:leader="none" w:pos="159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80" w:lineRule="exact"/>
        <w:rPr>
          <w:sz w:val="20"/>
          <w:szCs w:val="20"/>
          <w:color w:val="auto"/>
        </w:rPr>
      </w:pPr>
    </w:p>
    <w:p>
      <w:pPr>
        <w:jc w:val="both"/>
        <w:ind w:firstLine="1304"/>
        <w:spacing w:after="0" w:line="253" w:lineRule="auto"/>
        <w:tabs>
          <w:tab w:leader="none" w:pos="158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49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both"/>
        <w:ind w:firstLine="656"/>
        <w:spacing w:after="0" w:line="254" w:lineRule="auto"/>
        <w:tabs>
          <w:tab w:leader="none" w:pos="82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85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9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91"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76" w:lineRule="exact"/>
        <w:rPr>
          <w:sz w:val="20"/>
          <w:szCs w:val="20"/>
          <w:color w:val="auto"/>
        </w:rPr>
      </w:pPr>
    </w:p>
    <w:p>
      <w:pPr>
        <w:ind w:left="1620" w:hanging="316"/>
        <w:spacing w:after="0"/>
        <w:tabs>
          <w:tab w:leader="none" w:pos="16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w:t>
      </w:r>
    </w:p>
    <w:p>
      <w:pPr>
        <w:spacing w:after="0" w:line="207" w:lineRule="exact"/>
        <w:rPr>
          <w:sz w:val="20"/>
          <w:szCs w:val="20"/>
          <w:color w:val="auto"/>
        </w:rPr>
      </w:pPr>
    </w:p>
    <w:p>
      <w:pPr>
        <w:jc w:val="both"/>
        <w:ind w:firstLine="1304"/>
        <w:spacing w:after="0" w:line="258" w:lineRule="auto"/>
        <w:tabs>
          <w:tab w:leader="none" w:pos="156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6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3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8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l. 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OF THIS SUBSCRIPTION AGREEMENT OR IN SUCH OTHER MANNER AS MAY BE PERMITTED BY LAW SHALL BE VALID AND SUFFICIENT SERVICE THEREOF.</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7"/>
          <w:szCs w:val="17"/>
          <w:u w:val="single" w:color="auto"/>
          <w:color w:val="auto"/>
        </w:rPr>
        <w:t>SECTION 10(l)</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1304"/>
        <w:spacing w:after="0" w:line="254" w:lineRule="auto"/>
        <w:tabs>
          <w:tab w:leader="none" w:pos="161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All communications sent to FSD shall be sent to: FS Development Corp., 600 Montgomery Street, Suite 4500, San Francisco, California 94111, Attn: Jim Tananbaum, email: jim@foresitecapital.com, with a copy to: White &amp; Case LLP, 1221 Avenue of the Americas, New York, New York 10020, Attn: Joel L. Rubinstein, Esq., email: joel.rubinstein@whitecase.com.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both"/>
        <w:ind w:firstLine="656"/>
        <w:spacing w:after="0" w:line="253" w:lineRule="auto"/>
        <w:tabs>
          <w:tab w:leader="none" w:pos="93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Name of Investor:</w:t>
            </w:r>
          </w:p>
        </w:tc>
        <w:tc>
          <w:tcPr>
            <w:tcW w:w="4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State/Country of Formation or Domicile:</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By: _____________________________________</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Name: ___________________________________</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Title: ___________________________________</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Name in which Shares are to be registered (if different):</w:t>
            </w:r>
          </w:p>
        </w:tc>
        <w:tc>
          <w:tcPr>
            <w:tcW w:w="4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Date: ________, 2020</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Investor’s EIN:</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Business Address-Street:</w:t>
            </w:r>
          </w:p>
        </w:tc>
        <w:tc>
          <w:tcPr>
            <w:tcW w:w="4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Mailing Address-Street (if different):</w:t>
            </w:r>
          </w:p>
        </w:tc>
        <w:tc>
          <w:tcPr>
            <w:tcW w:w="0" w:type="dxa"/>
            <w:vAlign w:val="bottom"/>
          </w:tcPr>
          <w:p>
            <w:pPr>
              <w:spacing w:after="0"/>
              <w:rPr>
                <w:sz w:val="1"/>
                <w:szCs w:val="1"/>
                <w:color w:val="auto"/>
              </w:rPr>
            </w:pPr>
          </w:p>
        </w:tc>
      </w:tr>
      <w:tr>
        <w:trPr>
          <w:trHeight w:val="432"/>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City, State, Zip:</w:t>
            </w:r>
          </w:p>
        </w:tc>
        <w:tc>
          <w:tcPr>
            <w:tcW w:w="4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City, State, Zip:</w:t>
            </w:r>
          </w:p>
        </w:tc>
        <w:tc>
          <w:tcPr>
            <w:tcW w:w="0" w:type="dxa"/>
            <w:vAlign w:val="bottom"/>
          </w:tcPr>
          <w:p>
            <w:pPr>
              <w:spacing w:after="0"/>
              <w:rPr>
                <w:sz w:val="1"/>
                <w:szCs w:val="1"/>
                <w:color w:val="auto"/>
              </w:rPr>
            </w:pPr>
          </w:p>
        </w:tc>
      </w:tr>
      <w:tr>
        <w:trPr>
          <w:trHeight w:val="216"/>
        </w:trPr>
        <w:tc>
          <w:tcPr>
            <w:tcW w:w="4840" w:type="dxa"/>
            <w:vAlign w:val="bottom"/>
            <w:vMerge w:val="continue"/>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Attn: ____________________________________</w:t>
            </w:r>
          </w:p>
        </w:tc>
        <w:tc>
          <w:tcPr>
            <w:tcW w:w="44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Attn: ____________________________________</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4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Telephone No.:</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4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Facsimile No.:</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subscribed for:</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Aggregate Subscription Amount: $</w:t>
            </w:r>
          </w:p>
        </w:tc>
        <w:tc>
          <w:tcPr>
            <w:tcW w:w="4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Price Per Share: $10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4" w:name="page235"/>
    <w:bookmarkEnd w:id="234"/>
    <w:p>
      <w:pPr>
        <w:ind w:left="66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2020</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29" w:lineRule="exact"/>
        <w:rPr>
          <w:sz w:val="20"/>
          <w:szCs w:val="20"/>
          <w:color w:val="auto"/>
        </w:rPr>
      </w:pPr>
    </w:p>
    <w:p>
      <w:pPr>
        <w:ind w:left="460" w:right="7060" w:hanging="452"/>
        <w:spacing w:after="0" w:line="312" w:lineRule="auto"/>
        <w:tabs>
          <w:tab w:leader="none" w:pos="46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139" w:lineRule="exact"/>
        <w:rPr>
          <w:rFonts w:ascii="Times New Roman" w:cs="Times New Roman" w:eastAsia="Times New Roman" w:hAnsi="Times New Roman"/>
          <w:sz w:val="17"/>
          <w:szCs w:val="17"/>
          <w:color w:val="auto"/>
        </w:rPr>
      </w:pPr>
    </w:p>
    <w:p>
      <w:pPr>
        <w:ind w:left="540" w:hanging="208"/>
        <w:spacing w:after="0"/>
        <w:tabs>
          <w:tab w:leader="none" w:pos="540" w:val="left"/>
        </w:tabs>
        <w:numPr>
          <w:ilvl w:val="1"/>
          <w:numId w:val="2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25" w:lineRule="exact"/>
        <w:rPr>
          <w:rFonts w:ascii="MS PGothic" w:cs="MS PGothic" w:eastAsia="MS PGothic" w:hAnsi="MS PGothic"/>
          <w:sz w:val="18"/>
          <w:szCs w:val="18"/>
          <w:color w:val="auto"/>
        </w:rPr>
      </w:pPr>
    </w:p>
    <w:p>
      <w:pPr>
        <w:ind w:left="460" w:right="6620" w:hanging="452"/>
        <w:spacing w:after="0" w:line="282" w:lineRule="auto"/>
        <w:tabs>
          <w:tab w:leader="none" w:pos="4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 check the applicable subparagraphs):</w:t>
      </w:r>
    </w:p>
    <w:p>
      <w:pPr>
        <w:spacing w:after="0" w:line="132" w:lineRule="exact"/>
        <w:rPr>
          <w:rFonts w:ascii="Times New Roman" w:cs="Times New Roman" w:eastAsia="Times New Roman" w:hAnsi="Times New Roman"/>
          <w:sz w:val="18"/>
          <w:szCs w:val="18"/>
          <w:color w:val="auto"/>
        </w:rPr>
      </w:pPr>
    </w:p>
    <w:p>
      <w:pPr>
        <w:jc w:val="both"/>
        <w:ind w:left="900" w:hanging="447"/>
        <w:spacing w:after="0" w:line="232" w:lineRule="exact"/>
        <w:tabs>
          <w:tab w:leader="none" w:pos="900" w:val="left"/>
        </w:tabs>
        <w:numPr>
          <w:ilvl w:val="2"/>
          <w:numId w:val="2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70" w:lineRule="exact"/>
        <w:rPr>
          <w:rFonts w:ascii="Times New Roman" w:cs="Times New Roman" w:eastAsia="Times New Roman" w:hAnsi="Times New Roman"/>
          <w:sz w:val="18"/>
          <w:szCs w:val="18"/>
          <w:color w:val="auto"/>
        </w:rPr>
      </w:pPr>
    </w:p>
    <w:p>
      <w:pPr>
        <w:ind w:left="640" w:hanging="187"/>
        <w:spacing w:after="0" w:line="207" w:lineRule="exact"/>
        <w:tabs>
          <w:tab w:leader="none" w:pos="640" w:val="left"/>
        </w:tabs>
        <w:numPr>
          <w:ilvl w:val="2"/>
          <w:numId w:val="2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80" w:lineRule="exact"/>
        <w:rPr>
          <w:sz w:val="20"/>
          <w:szCs w:val="20"/>
          <w:color w:val="auto"/>
        </w:rPr>
      </w:pPr>
    </w:p>
    <w:p>
      <w:pPr>
        <w:ind w:left="440" w:firstLine="9"/>
        <w:spacing w:after="0" w:line="282" w:lineRule="auto"/>
        <w:tabs>
          <w:tab w:leader="none" w:pos="670" w:val="left"/>
        </w:tabs>
        <w:numPr>
          <w:ilvl w:val="1"/>
          <w:numId w:val="2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161" w:lineRule="exact"/>
        <w:rPr>
          <w:rFonts w:ascii="MS PGothic" w:cs="MS PGothic" w:eastAsia="MS PGothic" w:hAnsi="MS PGothic"/>
          <w:sz w:val="18"/>
          <w:szCs w:val="18"/>
          <w:color w:val="auto"/>
        </w:rPr>
      </w:pPr>
    </w:p>
    <w:p>
      <w:pPr>
        <w:ind w:left="440" w:firstLine="9"/>
        <w:spacing w:after="0" w:line="282" w:lineRule="auto"/>
        <w:tabs>
          <w:tab w:leader="none" w:pos="658" w:val="left"/>
        </w:tabs>
        <w:numPr>
          <w:ilvl w:val="1"/>
          <w:numId w:val="2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ind w:left="440" w:firstLine="9"/>
        <w:spacing w:after="0" w:line="282" w:lineRule="auto"/>
        <w:tabs>
          <w:tab w:leader="none" w:pos="670" w:val="left"/>
        </w:tabs>
        <w:numPr>
          <w:ilvl w:val="1"/>
          <w:numId w:val="2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61" w:lineRule="exact"/>
        <w:rPr>
          <w:rFonts w:ascii="MS PGothic" w:cs="MS PGothic" w:eastAsia="MS PGothic" w:hAnsi="MS PGothic"/>
          <w:sz w:val="18"/>
          <w:szCs w:val="18"/>
          <w:color w:val="auto"/>
        </w:rPr>
      </w:pPr>
    </w:p>
    <w:p>
      <w:pPr>
        <w:ind w:left="440" w:firstLine="9"/>
        <w:spacing w:after="0" w:line="282" w:lineRule="auto"/>
        <w:tabs>
          <w:tab w:leader="none" w:pos="656" w:val="left"/>
        </w:tabs>
        <w:numPr>
          <w:ilvl w:val="1"/>
          <w:numId w:val="2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660" w:hanging="211"/>
        <w:spacing w:after="0"/>
        <w:tabs>
          <w:tab w:leader="none" w:pos="660" w:val="left"/>
        </w:tabs>
        <w:numPr>
          <w:ilvl w:val="1"/>
          <w:numId w:val="228"/>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Any trust with assets in excess of $5,000,000, not formed to acquire the securities offered, whose purchase is directed by a sophisticated person; or</w:t>
      </w:r>
    </w:p>
    <w:p>
      <w:pPr>
        <w:spacing w:after="0" w:line="236" w:lineRule="exact"/>
        <w:rPr>
          <w:rFonts w:ascii="MS PGothic" w:cs="MS PGothic" w:eastAsia="MS PGothic" w:hAnsi="MS PGothic"/>
          <w:sz w:val="17"/>
          <w:szCs w:val="17"/>
          <w:color w:val="auto"/>
        </w:rPr>
      </w:pPr>
    </w:p>
    <w:p>
      <w:pPr>
        <w:ind w:left="640" w:hanging="191"/>
        <w:spacing w:after="0"/>
        <w:tabs>
          <w:tab w:leader="none" w:pos="640" w:val="left"/>
        </w:tabs>
        <w:numPr>
          <w:ilvl w:val="1"/>
          <w:numId w:val="2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22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2"/>
          <w:numId w:val="2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6" w:name="page237"/>
    <w:bookmarkEnd w:id="236"/>
    <w:p>
      <w:pPr>
        <w:jc w:val="both"/>
        <w:ind w:left="900" w:hanging="447"/>
        <w:spacing w:after="0" w:line="232" w:lineRule="exact"/>
        <w:tabs>
          <w:tab w:leader="none" w:pos="900" w:val="left"/>
        </w:tabs>
        <w:numPr>
          <w:ilvl w:val="0"/>
          <w:numId w:val="2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70" w:lineRule="exact"/>
        <w:rPr>
          <w:rFonts w:ascii="Times New Roman" w:cs="Times New Roman" w:eastAsia="Times New Roman" w:hAnsi="Times New Roman"/>
          <w:sz w:val="18"/>
          <w:szCs w:val="18"/>
          <w:color w:val="auto"/>
        </w:rPr>
      </w:pPr>
    </w:p>
    <w:p>
      <w:pPr>
        <w:ind w:left="640" w:hanging="187"/>
        <w:spacing w:after="0" w:line="207" w:lineRule="exact"/>
        <w:tabs>
          <w:tab w:leader="none" w:pos="640" w:val="left"/>
        </w:tabs>
        <w:numPr>
          <w:ilvl w:val="0"/>
          <w:numId w:val="2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 natural person.</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80" w:lineRule="exact"/>
        <w:rPr>
          <w:sz w:val="20"/>
          <w:szCs w:val="20"/>
          <w:color w:val="auto"/>
        </w:rPr>
      </w:pPr>
    </w:p>
    <w:p>
      <w:pPr>
        <w:ind w:left="440" w:right="120" w:firstLine="9"/>
        <w:spacing w:after="0" w:line="282" w:lineRule="auto"/>
        <w:tabs>
          <w:tab w:leader="none" w:pos="647" w:val="left"/>
        </w:tabs>
        <w:numPr>
          <w:ilvl w:val="0"/>
          <w:numId w:val="2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61" w:lineRule="exact"/>
        <w:rPr>
          <w:rFonts w:ascii="MS PGothic" w:cs="MS PGothic" w:eastAsia="MS PGothic" w:hAnsi="MS PGothic"/>
          <w:sz w:val="18"/>
          <w:szCs w:val="18"/>
          <w:color w:val="auto"/>
        </w:rPr>
      </w:pPr>
    </w:p>
    <w:p>
      <w:pPr>
        <w:jc w:val="both"/>
        <w:ind w:left="440" w:firstLine="9"/>
        <w:spacing w:after="0" w:line="256" w:lineRule="auto"/>
        <w:tabs>
          <w:tab w:leader="none" w:pos="647" w:val="left"/>
        </w:tabs>
        <w:numPr>
          <w:ilvl w:val="0"/>
          <w:numId w:val="2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w:t>
      </w:r>
    </w:p>
    <w:p>
      <w:pPr>
        <w:spacing w:after="0" w:line="187" w:lineRule="exact"/>
        <w:rPr>
          <w:rFonts w:ascii="MS PGothic" w:cs="MS PGothic" w:eastAsia="MS PGothic" w:hAnsi="MS PGothic"/>
          <w:sz w:val="18"/>
          <w:szCs w:val="18"/>
          <w:color w:val="auto"/>
        </w:rPr>
      </w:pPr>
    </w:p>
    <w:p>
      <w:pPr>
        <w:ind w:left="440" w:firstLine="9"/>
        <w:spacing w:after="0" w:line="282" w:lineRule="auto"/>
        <w:tabs>
          <w:tab w:leader="none" w:pos="647" w:val="left"/>
        </w:tabs>
        <w:numPr>
          <w:ilvl w:val="0"/>
          <w:numId w:val="2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SUPPORT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COMPANY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October 15, 2020,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persons set forth on Schedule I attached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Each of Parent and each Stockholder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them in the Merger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herewith, Parent,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FS Development Holdings,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liability company, Shareholder Representative Services LLC, as the Stockholders’ Representative, and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 and each share of Company Capital Stock (including the Subject Company Shares (as defined below)) will be converted into the right to receive Parent Class A Shares, in each case, on the terms and subject to the conditions set forth in the Merger Agreement;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Stockholder is the record and beneficial owner of the number and type of Company Securities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any other Company Securities or other eqiuty interest (including anything convertible into such equity interests) of the Company that each Stockholder acquires record or beneficial ownership after the date hereof, collectively, the “</w:t>
      </w:r>
      <w:r>
        <w:rPr>
          <w:rFonts w:ascii="Times New Roman" w:cs="Times New Roman" w:eastAsia="Times New Roman" w:hAnsi="Times New Roman"/>
          <w:sz w:val="18"/>
          <w:szCs w:val="18"/>
          <w:u w:val="single" w:color="auto"/>
          <w:color w:val="auto"/>
        </w:rPr>
        <w:t>Subject Company Shares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under the terms of the Merger Agreement and as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inducement to Parent and the other Parent Parties agreeing to enter into and consummate the transactions contemplated by the Merger Agreement, each Stockholder agrees to enter into this Agreement and to be bound by the agreements, covenants and obligations contained in this Agreement; and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Parent and the other Parent Parties would not have entered into and agreed to consummate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contemplated by the Merger Agreement without each Stockholder entering into this Agreement and agreeing to be bound by the agreements, covenants and obligations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8" w:name="page239"/>
    <w:bookmarkEnd w:id="23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each intending to be legally bound, hereby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840" w:hanging="184"/>
        <w:spacing w:after="0"/>
        <w:tabs>
          <w:tab w:leader="none" w:pos="8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Consent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3"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As promptly as reasonably practicable (and in any event within two (2) Business Days) following the Effective Date, each Stockholder shall duly execute and deliver to the Company and Parent the Company Stockholder Written Consent under which it shall irrevocably and unconditionally consent to the matters, actions and proposals contemplated by Section 8.3(a) (Company Stockholder Approval) of the Merger Agreement. Without limiting the generality of the first sentence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prior to the Closing, each Stockholder shall vote (or cause to be voted) the Subject Company Shares against and withhold consent with respect to any Alternative Proposal. (2) In addition to the foregoing, each Stockholder hereby unconditionally and irrevocably agrees that, at any meeting of the holders of Company Capital Stock (or any adjournment or postponement thereof), such Stockholder shall, if a meeting is held, appear at the meeting, in person or by proxy, or otherwise cause its Subject Company Shares to be counted as present thereat for purposes of establishing a quorum, and such Stockholder shall vote or provide consent (or cause to be voted or consented), in person or by proxy, all of its Subject Company Shares:</w:t>
      </w:r>
    </w:p>
    <w:p>
      <w:pPr>
        <w:spacing w:after="0" w:line="188" w:lineRule="exact"/>
        <w:rPr>
          <w:rFonts w:ascii="Times New Roman" w:cs="Times New Roman" w:eastAsia="Times New Roman" w:hAnsi="Times New Roman"/>
          <w:sz w:val="18"/>
          <w:szCs w:val="18"/>
          <w:color w:val="auto"/>
        </w:rPr>
      </w:pPr>
    </w:p>
    <w:p>
      <w:pPr>
        <w:ind w:left="2820" w:hanging="220"/>
        <w:spacing w:after="0"/>
        <w:tabs>
          <w:tab w:leader="none" w:pos="282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the Merger Agreement and the transactions contemplated thereby, including the Merger;</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868"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upon which a consent or other approval is required under the organizational documents of the Company or otherwise sought with respect to the Merger Agreement or the transactions contemplated thereby, to vote, consent or approve (or cause to be voted, consented or approved) all of such Stockholder’s Subject Company Shares held at such time in favor thereof;</w:t>
      </w:r>
    </w:p>
    <w:p>
      <w:pPr>
        <w:spacing w:after="0" w:line="179"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929"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Alternative Transaction, or any other merger agreement, merger, consolidation, combination, sale of substantial assets, reorganization, recapitalization, dissolution, liquidation or winding up of or by the Company (other than the Merger Agreement and the transactions contemplated thereby); and</w:t>
      </w:r>
    </w:p>
    <w:p>
      <w:pPr>
        <w:spacing w:after="0" w:line="175"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905"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action or agreement that would (A) impede, frustrate, prevent or nullify any provision of this Agreement, the Merger Agreement or the Merger, (B) result in a breach in any respect of any covenant, representation, warranty or any other obligation or agreement of the Company under the Merger Agreement or (C) result in any of the conditions set forth in Article X of the Merger Agreement not being fulfilled.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rights or remedies of Parent, each Stockholder hereby irrevocably appoints Parent or any individual designated by Parent as the Stockholder’s agent, attorney-in-fact and proxy (with full power of substitution and resubstituting), for and in the name, place and stead of the Stockholder, to attend on behalf of the Stockholder any meeting of the holders of Company Capital Stock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to include the Subject Company Shares in any computation for purposes of establishing a quorum at any such meeting of the holders of Company Capital Stock, to vote (or cause to be voted) the Subject Company Shares or consent (or withhold consent) with respect to any of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in connection with any meeting of the holders of Company Capital Stock or any action by written consent by the holders of Company Capital Stock (including the Company Stockholder Written Consent), in each case, in the event that the Stockholder fails to timely perform or otherwise comply with the covenants, agreements or obligations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coupled with an interest sufficient in law to support an irrevocable proxy and is granted in consideration for Parent entering into the Merger Agreement and agreeing to consummate the transactions contemplated thereby. 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also a durable proxy and shall survive the bankruptcy, dissolution, death, incapacity or other inability to act by each Stockholder and shall revoke any and all prior proxies granted by each Stockholder with respect to the Subject Company Shares. The vote or consent of the proxyholder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and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Company Shares and a vote or consent by each Stockholder of the Subject Company Shares (or any other Person with the power to vote the Subject Company Shares)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on any matter except those provided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For the avoidance of doubt, each Stockholder may vote the Subject Company Shares on all other matters, subject to, for the avoidance of doubt, the other applicable covenants, agreements and obligations set forth in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9" w:name="page240"/>
    <w:bookmarkEnd w:id="239"/>
    <w:p>
      <w:pPr>
        <w:jc w:val="both"/>
        <w:ind w:firstLine="1304"/>
        <w:spacing w:after="0" w:line="254" w:lineRule="auto"/>
        <w:tabs>
          <w:tab w:leader="none" w:pos="1561"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 irrevocably and unconditionally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(x) the conversion of all outstanding shares of Company Preferred Stock into shares of Company Common Stock, with such conversion to be in accordance with the terms of the Company Certificate of Incorporation and effective as of immediately prior to the Effective Time of the Merger and (y) prior to the Closing, the conversion of each Convertible Note into Company Series B Preferred Stock, in accordance with the terms of each Convertible Note, in each case, as set forth on the Capitalization Table.</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547"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irrevocably waives, on behalf of themselves and each other holder of Company Preferred Stock, its right to certain payments upon liquidation of the Company pursuant to Article IV, Section 2 of the Company Certificate of Incorporation,</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9"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hereby agrees that, notwithstanding anything to the contrary in any such agreement, (i) each of the agreements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Parent and its Affiliates) shall have any further obligations or liabilities under each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indemnification provisions that are contemplated to survive the agreement marked with an asterisk</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2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shall survive such termination in accordance with their terms. Without limiting the generality of the foregoing, each Stockholder hereby agrees to promptly execute and deliver all additional agreements, documents and instruments and take, or cause to be taken, all actions necessary or reasonably advisable in order to achieve the purpose of the preceding sentence.</w:t>
      </w:r>
    </w:p>
    <w:p>
      <w:pPr>
        <w:spacing w:after="0" w:line="18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2"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acknowledges and agrees that Parent and the other Parent Parties are entering into the Merger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Parent and the other Parent Parties would not have entered into or agreed to consummate the transactions contemplated by the Merger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5"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each Stockholder shall deliver to Parent a duly executed copy of that (i) certain Registration Rights Agreement, by and among Parent, the Company and the Specified Company Securityholders party thereto, in substantially the form attached as Exhibit F to the Merger Agreement and (ii) certain Voting Agreement, by and among Parent, the Company and the Specified Company Securityholders party thereto, in substantially the form attached as Exhibit D to the Merger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ind w:left="840" w:hanging="184"/>
        <w:spacing w:after="0"/>
        <w:tabs>
          <w:tab w:leader="none" w:pos="8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Representations and Warranties</w:t>
      </w:r>
      <w:r>
        <w:rPr>
          <w:rFonts w:ascii="Times New Roman" w:cs="Times New Roman" w:eastAsia="Times New Roman" w:hAnsi="Times New Roman"/>
          <w:sz w:val="18"/>
          <w:szCs w:val="18"/>
          <w:color w:val="auto"/>
        </w:rPr>
        <w:t>. Each Stockholder represents and warrants to Parent as follows: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3"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This Agreement has been duly and validly executed and delivered by such Stockholder and constitutes a valid, legal and binding agreement of each Stockholder (assuming that this Agreement is duly authorized, executed and delivered by Parent), enforceable against each such Stockholder in accordance with its terms (subject to applicable bankruptcy, insolvency, reorganization, moratorium or other Laws affecting generally the enforcement of creditors’ rights and subject to general principles of equity).</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4"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authority is required on the part of any Stockholder with respect to such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such Stockholder to perform, or otherwise comply with, any of its covenants, agreements or obligations hereunder in any material respect.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85"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or delivery of this Agreement by each Stockholder, the performance by such Stockholder of any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will, directly or indirectly (with or without due notice or lapse of time or both) (i) result in any breach of any provision of such Stockholder’s organizational documents, (ii) result in a violation or breach of, or constitute a default or give rise to any right of termination, consent, cancellation, amendment, modification, suspension, revocation or acceleration under, any of the terms, conditions or provisions of any Contract to which such Stockholder is a party, (iii) violate, or constitute a breach under, any Order or applicable Law to which such Stockholder or any of its properties or assets are bound or (iv) result in the creation of any Lien upon the Subject Company Shares,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directly above, as would not adversely affect the ability of such Stockholder to perform, or otherwise comply with, any of its covenants, agreements or obligations hereunder in any material respect.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2"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is the record and beneficial owner of the Subject Company Shares and has valid, good and marketable title to the Subject Company Shares, free and clear of all Liens (other than transfer restrictions under applicable Securities Law). Except for the shares of Company Capital Stock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other shares of Company Capital Stock or other equity interest (including anything convertible into such equity interests) of the Company that the Stockholder acquires record or beneficial ownership after the date hereof, such Stockholder has the sole right to vote (and provide consent in respect of, as applicable) the Subject Company Shares and, except for this Agreement, the Merger Agreement and that certain Second Amended and Restated Voting Agreement, dated September 26, 2019, such Stockholder is not party to or bound by (i) any option, warrant, purchase right, or other Contract that would (either alone or in connection with one or more events, developments (including the satisfaction or waiver of any conditions precedent)) require such Stockholder to Transfer (as defined below) any of the Subject Company Shares or (ii) any voting trust, proxy or other Contract with respect to the voting or Transfer of any of the Subject Company Shares.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both"/>
        <w:ind w:firstLine="1304"/>
        <w:spacing w:after="0" w:line="261" w:lineRule="auto"/>
        <w:tabs>
          <w:tab w:leader="none" w:pos="1524"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Stockholder’s knowledge, threatened against such Stockholder that questions the beneficial or record ownership of such Stockholder’s Subject Company Shares, the validity of this Agreement or the performance by such Stockholder of its obligations under this Agreement, or which would reasonably be expected to adversely affect the ability of such Stockholder to perform, or otherwise comply with, any of its covenants, agreements or obligations under this Agreement in any material respect.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0"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Parent Parties and (ii) he, she or it has been furnished with or given access to such documents and information about the Parent Parties and their respective businesses and operations as he, she or it and his, her or its Representatives have deemed necessary to enable him, her or it to make an informed decision with respect to the execution, delivery and performance of this Agreement, the other Additional Agreements to which he, she or it is or will be a party and the transactions contemplated hereby and thereby.</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9"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Additional Agreements to which he, she or it is or will be a party, the Stockholder has relied solely on his, her or its own investigation and analysis and the representations and warranties expressly set forth in the Additional Agreements to which he, she or it is or will be a party and no other representations or warranties of any Parent Party (including, for the avoidance of doubt, none of the representations or warranties of any Parent Party set forth in the Merger Agreement or any other Additional Agreements), any Affiliate of Parent or any other Person, either express or implied, and such Stockholder, on his, her or its own behalf and on behalf of his, her or its Representatives, acknowledges, represents, warrants and agrees that, except for the representations and warranties expressly set forth in the Additional Agreements to which he, she or it is or will be a party, none of the Parent Parties, any Affiliate of Parent or any other Person makes or has made any representation or warranty, either express or implied, in connection with or related to this Agreement, the Additional Agreements to which he, she or it is or will be a party or the transactions contemplated hereby or thereby.</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84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Subject Securities</w:t>
      </w:r>
      <w:r>
        <w:rPr>
          <w:rFonts w:ascii="Times New Roman" w:cs="Times New Roman" w:eastAsia="Times New Roman" w:hAnsi="Times New Roman"/>
          <w:sz w:val="18"/>
          <w:szCs w:val="18"/>
          <w:color w:val="auto"/>
        </w:rPr>
        <w:t>. Except as expressly contemplated by the Merger Agreement or with the prior written consent of Parent (such consent to be given or withheld in its sole discretion), from and after the date hereof, each Stockholder agrees not to (a) Transfer any of the Subject Company Shares, (b) enter into (i) any option, warrant, purchase right, or other Contract that would (either alone or in connection with one or more events or developments (including the satisfaction or waiver of any conditions precedent)) require such Stockholder to Transfer the Subject Company Shares or</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7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voting trust, proxy or other Contract with respect to the voting or Transfer of the Subject Company Shares, or (c) take any actions (i) having the effect of preventing or disabling such Stockholder from performing its obligations under this Agreement or (ii) in furtherance of any of the matters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ind w:firstLine="656"/>
        <w:spacing w:after="0" w:line="261" w:lineRule="auto"/>
        <w:tabs>
          <w:tab w:leader="none" w:pos="84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the earlier of (a) the Effective Time; (b) the termination of the Merger Agreement in accordance with its terms and (c) upon the mutual written agreement of Parent and each Stockholder. Upon termination of this Agreement as provided in the immediately preceding sentence, none of the Parties shall have any further obligations or Liabilities under, or with respect to, this Agreement.</w:t>
      </w:r>
    </w:p>
    <w:p>
      <w:pPr>
        <w:spacing w:after="0" w:line="181" w:lineRule="exact"/>
        <w:rPr>
          <w:rFonts w:ascii="Times New Roman" w:cs="Times New Roman" w:eastAsia="Times New Roman" w:hAnsi="Times New Roman"/>
          <w:sz w:val="18"/>
          <w:szCs w:val="18"/>
          <w:color w:val="auto"/>
        </w:rPr>
      </w:pPr>
    </w:p>
    <w:p>
      <w:pPr>
        <w:jc w:val="both"/>
        <w:ind w:firstLine="656"/>
        <w:spacing w:after="0" w:line="258" w:lineRule="auto"/>
        <w:tabs>
          <w:tab w:leader="none" w:pos="84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each Stockholder makes no agreement or understanding herein in any capacity other than in such Stockholder’s capacity as a record holder and beneficial owner of the Subject Company Shares, and not in such Stockholder’s capacity as a director, officer or employee of the Company or any other capacity and (b) nothing herein will be construed to limit or affect any action or inaction by any Stockholder serving as a member of the board of directors of the Company or as an officer, employee or fiduciary of the Company, in each case, acting in such person’s capacity as a director, officer, employee or fiduciary of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Parent,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 FS Development Corp.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Jim Tananbaum</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York, New York 10020-1095</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a Stockholder, to the address specified by such Stockholder in writing.</w:t>
      </w:r>
    </w:p>
    <w:p>
      <w:pPr>
        <w:spacing w:after="0" w:line="225"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620"/>
        <w:spacing w:after="0"/>
        <w:tabs>
          <w:tab w:leader="none" w:pos="29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Mitchell S. Bloom</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620"/>
        <w:spacing w:after="0"/>
        <w:tabs>
          <w:tab w:leader="none" w:pos="2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mbloom@goodwinlaw.com</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225" w:lineRule="exact"/>
        <w:rPr>
          <w:sz w:val="20"/>
          <w:szCs w:val="20"/>
          <w:color w:val="auto"/>
        </w:rPr>
      </w:pPr>
    </w:p>
    <w:p>
      <w:pPr>
        <w:jc w:val="both"/>
        <w:ind w:firstLine="656"/>
        <w:spacing w:after="0" w:line="266" w:lineRule="auto"/>
        <w:tabs>
          <w:tab w:leader="none" w:pos="82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Merger Agreement and documents referred to herein and therein constitutes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Any provision of this Agreement may be amended or waived if, and only if, such amendment or waiver is in writing and signed by each of Stockholder and Parent.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Stockholder without Parent’s prior written consent (to be withheld or given in its sole discretion).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set forth in the Merger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2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of this Agreement. Nothing in this Agreement, expressed or implied, is intended to or shall constitute the Parties, partners or participants in a joint venture.</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91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1.2 (Construction), 14.7 (Governing Law), 14.8 (Counterparts; Facsimile Signatures) and 14.10 (Severability) of the Merger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color w:val="auto"/>
        </w:rPr>
        <w:t>IN WITNESS WHEREOF, the Parties have executed and delivered this Company Support Agreement as of the date first above written.</w:t>
      </w:r>
    </w:p>
    <w:p>
      <w:pPr>
        <w:spacing w:after="0" w:line="2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29" w:lineRule="exact"/>
        <w:rPr>
          <w:sz w:val="20"/>
          <w:szCs w:val="20"/>
          <w:color w:val="auto"/>
        </w:rPr>
      </w:pPr>
    </w:p>
    <w:tbl>
      <w:tblPr>
        <w:tblLayout w:type="fixed"/>
        <w:tblInd w:w="608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Jim Tananbaum</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Jim Tananbaum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45" w:name="page246"/>
    <w:bookmarkEnd w:id="245"/>
    <w:p>
      <w:pPr>
        <w:ind w:left="562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George</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Jean M. George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LIGHTSTONE VENTURES (A),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George</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Jean M. George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George</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Jean M. George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46" w:name="page247"/>
    <w:bookmarkEnd w:id="246"/>
    <w:p>
      <w:pPr>
        <w:ind w:left="564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Carl Gordon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0"/>
          </w:cols>
          <w:pgMar w:left="1440" w:top="900" w:right="1139" w:bottom="1440" w:gutter="0" w:footer="0" w:header="0"/>
        </w:sectPr>
      </w:pPr>
    </w:p>
    <w:bookmarkStart w:id="247" w:name="page248"/>
    <w:bookmarkEnd w:id="247"/>
    <w:p>
      <w:pPr>
        <w:ind w:left="562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Atlas Venture Associates X, LLC</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Ommer Chohan</w:t>
      </w:r>
    </w:p>
    <w:p>
      <w:pPr>
        <w:spacing w:after="0" w:line="36"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48" w:name="page249"/>
    <w:bookmarkEnd w:id="248"/>
    <w:p>
      <w:pPr>
        <w:ind w:left="564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Hannah Chang</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Hannah Chang, M.D., P.h.D.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50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r>
      <w:tr>
        <w:trPr>
          <w:trHeight w:val="216"/>
        </w:trPr>
        <w:tc>
          <w:tcPr>
            <w:tcW w:w="5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 Series A</w:t>
            </w: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 Series B</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Convertible</w:t>
            </w:r>
          </w:p>
        </w:tc>
      </w:tr>
      <w:tr>
        <w:trPr>
          <w:trHeight w:val="245"/>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Stockholder</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20" w:type="dxa"/>
            <w:vAlign w:val="bottom"/>
          </w:tcPr>
          <w:p>
            <w:pPr>
              <w:spacing w:after="0"/>
              <w:rPr>
                <w:sz w:val="21"/>
                <w:szCs w:val="21"/>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Note</w:t>
            </w: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11,653,137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976,931</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2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1,587,559</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133,112</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3,700,139</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2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13,240,696</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7,400,280</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4,887,000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28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13,240,696</w:t>
            </w:r>
          </w:p>
        </w:tc>
        <w:tc>
          <w:tcPr>
            <w:tcW w:w="1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5,180,196</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4,361,000</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7,400,280</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1,752,000</w:t>
            </w:r>
          </w:p>
        </w:tc>
      </w:tr>
      <w:tr>
        <w:trPr>
          <w:trHeight w:val="664"/>
        </w:trPr>
        <w:tc>
          <w:tcPr>
            <w:tcW w:w="5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50" w:name="page251"/>
    <w:bookmarkEnd w:id="250"/>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9" w:lineRule="exact"/>
        <w:rPr>
          <w:sz w:val="20"/>
          <w:szCs w:val="20"/>
          <w:color w:val="auto"/>
        </w:rPr>
      </w:pPr>
    </w:p>
    <w:p>
      <w:pPr>
        <w:ind w:left="328" w:hanging="328"/>
        <w:spacing w:after="0" w:line="282" w:lineRule="auto"/>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Voting Agreement, dated as of September 26, 2019, by and among the Company, each holder of Series A Preferred Stock, each holder of Series B Preferred Stock and the stockholders listed on Schedule B thereto.</w:t>
      </w:r>
    </w:p>
    <w:p>
      <w:pPr>
        <w:spacing w:after="0" w:line="161" w:lineRule="exact"/>
        <w:rPr>
          <w:rFonts w:ascii="Times New Roman" w:cs="Times New Roman" w:eastAsia="Times New Roman" w:hAnsi="Times New Roman"/>
          <w:sz w:val="18"/>
          <w:szCs w:val="18"/>
          <w:color w:val="auto"/>
        </w:rPr>
      </w:pPr>
    </w:p>
    <w:p>
      <w:pPr>
        <w:ind w:left="328" w:right="60" w:hanging="328"/>
        <w:spacing w:after="0" w:line="282" w:lineRule="auto"/>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Right of First Refusal and Co-Sale Agreement, dated as of September 26, 2019, by and among the Company, the Investors (as defined below) and the persons named on Schedule B thereto.</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Investors’ Rights Agreement, dated as of September 26, 2019, by and among the Company and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480060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SUPPORT AGREEMENT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PARENT SUPPORT AGREEMENT, dated as of October 15,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each of the stockholders of Parent whose names appear on the signature pages of this Agreement (each, a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Capitalized terms used herein and not otherwise defined will have the meaning given such terms in the Merger Agreement (as defined below).</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WHEREAS, concurrently herewith, Parent,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Shareholder Representative Services LLC, a Colorado limited liability company, as the Stockholders’ Representative, and the Company,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WHEREAS, as of the date hereof, each Founder owns of record the number of Parent Class A Shares and Parent Class B Shares as set forth opposite such Founder’s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(all such Parent Class A Shares and Parent Class B Shares and the Parent Class A Shares and Parent Class B Shares of which ownership of record or the power to vote is hereafter acquired by the Founders prior to the termination of this Agreement being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in order to induce Parent and the Company to enter into the Merger Agreement, the Founders are executing and delivering this Agreement to Parent and the Company.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mutual covenants and agreements contained herein, and intending to be legally bound hereby, each of the Founders (severally and not jointly), the Company and Parent hereby agrees as follows:</w:t>
      </w:r>
    </w:p>
    <w:p>
      <w:pPr>
        <w:spacing w:after="0" w:line="162" w:lineRule="exact"/>
        <w:rPr>
          <w:sz w:val="20"/>
          <w:szCs w:val="20"/>
          <w:color w:val="auto"/>
        </w:rPr>
      </w:pPr>
    </w:p>
    <w:p>
      <w:pPr>
        <w:jc w:val="both"/>
        <w:ind w:firstLine="1304"/>
        <w:spacing w:after="0" w:line="256" w:lineRule="auto"/>
        <w:tabs>
          <w:tab w:leader="none" w:pos="157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Each Founder, by this Agreement, with respect to its Shares, hereby agrees to vote, at any meeting of the stockholders of Parent, and in any action by written consent of the stockholders of Parent, all of such Founder’s Shares (a) in favor of the approval and adoption of the Merger Agreement, each of the Parent Proposals, the transactions contemplated by the Merger Agreement and this Agreement, and (b) in favor of any other matter reasonably necessary to the consummation of the transactions contemplated by the Merger Agreement, the approval of the Parent Proposals and considered and voted upon by the stockholders of Parent in connection therewith. Each Founder acknowledges receipt and review of a copy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2" w:name="page253"/>
    <w:bookmarkEnd w:id="252"/>
    <w:p>
      <w:pPr>
        <w:jc w:val="both"/>
        <w:ind w:firstLine="1304"/>
        <w:spacing w:after="0" w:line="255" w:lineRule="auto"/>
        <w:tabs>
          <w:tab w:leader="none" w:pos="1521"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Each of the Founders agrees that it shall not, directly or indirectly, (a) sell, assign, transfer (including by operation of law), lien, pledge, dispose of or otherwise encumber any of the Shares or otherwise agree to do any of the foregoing (unless the transferee agrees to be bound by this Agreement), (b) 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or indirect acquisition or sale, assignment, transfer (including by operation of law) or other disposition of any Shares (unless the transferee agrees to be bound by this Agreement) or (d) take any action that would have the effect of preventing or disabling the Founder from performing its obligations hereunder.</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Anti-Dilution Provision</w:t>
      </w:r>
      <w:r>
        <w:rPr>
          <w:rFonts w:ascii="Times New Roman" w:cs="Times New Roman" w:eastAsia="Times New Roman" w:hAnsi="Times New Roman"/>
          <w:sz w:val="18"/>
          <w:szCs w:val="18"/>
          <w:color w:val="auto"/>
        </w:rPr>
        <w:t>. Each Founder hereby (but subject to the consummation of the Merger) waives (for itself, for its successors, heirs and assigns), to the fullest extent permitted by law and the amended and restated certificate of incorporation of Parent (as may be amended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xml:space="preserve">”), the provisions of Section 4.3(b)(i) of the Certificate of Incorporation to have the Parent Class B Shares convert to Parent Class A Shares at a ratio of greater than one-for-one. The waiver specified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applicable only in connection with the transactions contemplated by the Merger Agreement and this Agreement (and any shares of Class A Common Stock or equity-linked securities issued in connection with the transactions contemplated by the Merger Agreement and this Agreement) and shall be void and of no force and effect if the Merger Agreement shall be terminated for any reason.</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Sponsor agrees that in the event the Unpaid Parent Liabilities as of immediately prior to the Closing are greater than the $11,500,000 (the “</w:t>
      </w:r>
      <w:r>
        <w:rPr>
          <w:rFonts w:ascii="Times New Roman" w:cs="Times New Roman" w:eastAsia="Times New Roman" w:hAnsi="Times New Roman"/>
          <w:sz w:val="18"/>
          <w:szCs w:val="18"/>
          <w:u w:val="single" w:color="auto"/>
          <w:color w:val="auto"/>
        </w:rPr>
        <w:t>Maximum Liability Amount</w:t>
      </w:r>
      <w:r>
        <w:rPr>
          <w:rFonts w:ascii="Times New Roman" w:cs="Times New Roman" w:eastAsia="Times New Roman" w:hAnsi="Times New Roman"/>
          <w:sz w:val="18"/>
          <w:szCs w:val="18"/>
          <w:color w:val="auto"/>
        </w:rPr>
        <w:t>”), Sponsor will either (a) forfeit for cancellation such number of whole Parent Class B Shares equal in value to the excess of the Maximum Liability Amount divided by $10.00 or (b) pay to Parent at the Closing an amount equal to the difference between the Unpaid Parent Liabilities as of immediately prior to the Closing minus the Maximum Liability Amount.</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Founder, severally and not jointly, represents and warrants to the Company as follows:</w:t>
      </w:r>
    </w:p>
    <w:p>
      <w:pPr>
        <w:spacing w:after="0" w:line="225" w:lineRule="exact"/>
        <w:rPr>
          <w:sz w:val="20"/>
          <w:szCs w:val="20"/>
          <w:color w:val="auto"/>
        </w:rPr>
      </w:pPr>
    </w:p>
    <w:p>
      <w:pPr>
        <w:jc w:val="both"/>
        <w:ind w:firstLine="1304"/>
        <w:spacing w:after="0" w:line="256" w:lineRule="auto"/>
        <w:tabs>
          <w:tab w:leader="none" w:pos="15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Founder of this Agreement and the consummation by such Founder of the transactions contemplated hereby do not and will not (i) conflict with or violate any Law or Order applicable to such Founder, (ii) require any consent, approval or authorization of, declaration, filing or registration with, or notice to, any person or entity, (iii) result in the creation of any Lien on any Shares (other than pursuant to this Agreement or transfer restrictions under applicable securities laws or certificate of incorporation or operating agreement, if any (the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of such Founder) or (iv) conflict with or result in a breach of or constitute a default under any provision of such Founder’s Organizational Documents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Founder owns of record and has good, valid and marketable title to the Shares set forth opposite the Founder’s name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free and clear of any Lien (other than pursuant to this Agreement or transfer restrictions under applicable securities laws or the Organizational Documents of such Founder) and has the sole power (as currently in effect) to vote and full right, power and authority to sell, transfer and deliver such Shares, and such Founder does not own, directly or indirectly, any other Shares.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ind w:firstLine="1304"/>
        <w:spacing w:after="0" w:line="282" w:lineRule="auto"/>
        <w:tabs>
          <w:tab w:leader="none" w:pos="154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Founder has the power, authority and capacity to execute, deliver and perform this Agreement and that this Agreement has been duly authorized, executed and delivered by such Founder.</w:t>
      </w:r>
    </w:p>
    <w:p>
      <w:pPr>
        <w:spacing w:after="0" w:line="162" w:lineRule="exact"/>
        <w:rPr>
          <w:sz w:val="20"/>
          <w:szCs w:val="20"/>
          <w:color w:val="auto"/>
        </w:rPr>
      </w:pPr>
    </w:p>
    <w:p>
      <w:pPr>
        <w:jc w:val="both"/>
        <w:ind w:firstLine="1304"/>
        <w:spacing w:after="0" w:line="258" w:lineRule="auto"/>
        <w:tabs>
          <w:tab w:leader="none" w:pos="156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obligations of Sponsor and each of the Founders under this Agreement shall automatically terminate upon the earliest of: (a) the Effective Time; (b) the termination of the Merger Agreement in accordance with its terms; and (c) the mutual agreement of the Company and Sponsor.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83"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or in the Merger Agreement, all costs and expenses incurred in connection with this Agreement and the transactions contemplated hereby shall be paid by the party incurring such costs and expenses, whether or not the transactions contemplated hereby are consummated.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claims, demands and other communications hereunder shall be in writing and shall be given (and shall be deemed to have been duly given upon receipt) by delivery in person, by telecopy or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300 One Kendall Square, 3rd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960"/>
        <w:spacing w:after="0"/>
        <w:tabs>
          <w:tab w:leader="none" w:pos="2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mbloom@goodwinlaw.com</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if to a Founder, to the address or facsimile number set forth for Founder on the signature page hereof.</w:t>
      </w:r>
    </w:p>
    <w:p>
      <w:pPr>
        <w:spacing w:after="0" w:line="225" w:lineRule="exact"/>
        <w:rPr>
          <w:sz w:val="20"/>
          <w:szCs w:val="20"/>
          <w:color w:val="auto"/>
        </w:rPr>
      </w:pPr>
    </w:p>
    <w:p>
      <w:pPr>
        <w:jc w:val="both"/>
        <w:ind w:firstLine="656"/>
        <w:spacing w:after="0" w:line="256" w:lineRule="auto"/>
        <w:tabs>
          <w:tab w:leader="none" w:pos="897"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1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Merger Agreement and the Additional Agreements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jc w:val="both"/>
        <w:ind w:firstLine="656"/>
        <w:spacing w:after="0" w:line="266" w:lineRule="auto"/>
        <w:tabs>
          <w:tab w:leader="none" w:pos="893"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Founder shall be liable for the breach by any other Founder of this Agreement.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7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may occur in the event any provision of this Agreement was not performed in accordance with the terms hereof and that the parties shall be entitled to seek specific performance of the terms hereof, in addition to any other remedy at law or in equity.</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0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3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and delivered (including by facsimile or portable document format (pdf)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further consideration, each party shall use commercially reasonable efforts to execute and deliver or cause to be executed and delivered such additional documents and instruments and take all such further action as may be reasonably necessary or desirable to consummate the transactions contemplated by this Agreement.</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effective or binding upon the Company, Sponsor or any Founder until such time as the Merger Agreement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w:t>
      </w:r>
    </w:p>
    <w:p>
      <w:pPr>
        <w:spacing w:after="0" w:line="202" w:lineRule="exact"/>
        <w:rPr>
          <w:rFonts w:ascii="Times New Roman" w:cs="Times New Roman" w:eastAsia="Times New Roman" w:hAnsi="Times New Roman"/>
          <w:sz w:val="18"/>
          <w:szCs w:val="18"/>
          <w:color w:val="auto"/>
        </w:rPr>
      </w:pPr>
    </w:p>
    <w:p>
      <w:pPr>
        <w:jc w:val="both"/>
        <w:ind w:firstLine="656"/>
        <w:spacing w:after="0" w:line="257" w:lineRule="auto"/>
        <w:tabs>
          <w:tab w:leader="none" w:pos="903"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Paragraph (k).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b w:val="1"/>
          <w:bCs w:val="1"/>
          <w:color w:val="auto"/>
        </w:rPr>
        <w:t>FS DEVELOPMENT HOLDINGS, LLC</w:t>
      </w:r>
    </w:p>
    <w:p>
      <w:pPr>
        <w:spacing w:after="0" w:line="2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FOUNDERS:</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29" w:lineRule="exact"/>
        <w:rPr>
          <w:sz w:val="20"/>
          <w:szCs w:val="20"/>
          <w:color w:val="auto"/>
        </w:rPr>
      </w:pPr>
    </w:p>
    <w:tbl>
      <w:tblPr>
        <w:tblLayout w:type="fixed"/>
        <w:tblInd w:w="6100" w:type="dxa"/>
        <w:tblCellMar>
          <w:top w:w="0" w:type="dxa"/>
          <w:left w:w="0" w:type="dxa"/>
          <w:bottom w:w="0" w:type="dxa"/>
          <w:right w:w="0" w:type="dxa"/>
        </w:tblCellMar>
      </w:tblPr>
      <w:tr>
        <w:trPr>
          <w:trHeight w:val="241"/>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Jim Tananbaum</w:t>
            </w:r>
          </w:p>
        </w:tc>
      </w:tr>
      <w:tr>
        <w:trPr>
          <w:trHeight w:val="198"/>
        </w:trPr>
        <w:tc>
          <w:tcPr>
            <w:tcW w:w="440" w:type="dxa"/>
            <w:vAlign w:val="bottom"/>
          </w:tcPr>
          <w:p>
            <w:pPr>
              <w:spacing w:after="0"/>
              <w:rPr>
                <w:sz w:val="17"/>
                <w:szCs w:val="17"/>
                <w:color w:val="auto"/>
              </w:rPr>
            </w:pPr>
          </w:p>
        </w:tc>
        <w:tc>
          <w:tcPr>
            <w:tcW w:w="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3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Jim Tananbaum</w:t>
            </w: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600 Montgomery Street 4500, SF, CA 9411</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Robert Carey</w:t>
            </w:r>
          </w:p>
        </w:tc>
        <w:tc>
          <w:tcPr>
            <w:tcW w:w="3320" w:type="dxa"/>
            <w:vAlign w:val="bottom"/>
          </w:tcPr>
          <w:p>
            <w:pPr>
              <w:spacing w:after="0"/>
              <w:rPr>
                <w:sz w:val="24"/>
                <w:szCs w:val="24"/>
                <w:color w:val="auto"/>
              </w:rPr>
            </w:pPr>
          </w:p>
        </w:tc>
      </w:tr>
      <w:tr>
        <w:trPr>
          <w:trHeight w:val="43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Carey</w:t>
            </w:r>
          </w:p>
        </w:tc>
      </w:tr>
      <w:tr>
        <w:trPr>
          <w:trHeight w:val="234"/>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347 McHenry St., Park City, UT 84060</w:t>
            </w:r>
          </w:p>
        </w:tc>
      </w:tr>
    </w:tbl>
    <w:p>
      <w:pPr>
        <w:spacing w:after="0" w:line="17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Daniel Dubin</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tabs>
          <w:tab w:leader="none" w:pos="73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56 Radcliffe Rd. Weston, MA 02493</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Deepa Pakianathan</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Deepa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jc w:val="right"/>
        <w:ind w:right="80"/>
        <w:spacing w:after="0"/>
        <w:tabs>
          <w:tab w:leader="none" w:pos="324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145 Fallen leaf Dr, Hillsborough, CA 94010</w:t>
      </w:r>
    </w:p>
    <w:p>
      <w:pPr>
        <w:spacing w:after="0" w:line="22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346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r>
      <w:tr>
        <w:trPr>
          <w:trHeight w:val="412"/>
        </w:trPr>
        <w:tc>
          <w:tcPr>
            <w:tcW w:w="4960" w:type="dxa"/>
            <w:vAlign w:val="bottom"/>
          </w:tcPr>
          <w:p>
            <w:pPr>
              <w:spacing w:after="0"/>
              <w:rPr>
                <w:sz w:val="24"/>
                <w:szCs w:val="24"/>
                <w:color w:val="auto"/>
              </w:rPr>
            </w:pPr>
          </w:p>
        </w:tc>
        <w:tc>
          <w:tcPr>
            <w:tcW w:w="4600" w:type="dxa"/>
            <w:vAlign w:val="bottom"/>
            <w:gridSpan w:val="7"/>
          </w:tcPr>
          <w:p>
            <w:pPr>
              <w:jc w:val="center"/>
              <w:ind w:right="3260"/>
              <w:spacing w:after="0"/>
              <w:rPr>
                <w:sz w:val="20"/>
                <w:szCs w:val="20"/>
                <w:color w:val="auto"/>
              </w:rPr>
            </w:pPr>
            <w:r>
              <w:rPr>
                <w:rFonts w:ascii="Times New Roman" w:cs="Times New Roman" w:eastAsia="Times New Roman" w:hAnsi="Times New Roman"/>
                <w:sz w:val="18"/>
                <w:szCs w:val="18"/>
                <w:color w:val="auto"/>
                <w:w w:val="99"/>
              </w:rPr>
              <w:t>THE FOUNDERS</w:t>
            </w:r>
          </w:p>
        </w:tc>
        <w:tc>
          <w:tcPr>
            <w:tcW w:w="1680" w:type="dxa"/>
            <w:vAlign w:val="bottom"/>
          </w:tcPr>
          <w:p>
            <w:pPr>
              <w:spacing w:after="0"/>
              <w:rPr>
                <w:sz w:val="24"/>
                <w:szCs w:val="24"/>
                <w:color w:val="auto"/>
              </w:rPr>
            </w:pPr>
          </w:p>
        </w:tc>
      </w:tr>
      <w:tr>
        <w:trPr>
          <w:trHeight w:val="430"/>
        </w:trPr>
        <w:tc>
          <w:tcPr>
            <w:tcW w:w="49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of Parent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of Parent</w:t>
            </w: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B Common</w:t>
            </w:r>
          </w:p>
        </w:tc>
      </w:tr>
      <w:tr>
        <w:trPr>
          <w:trHeight w:val="245"/>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Founder</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Holdings, LLC</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441,500</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2,928,750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637"/>
        </w:trPr>
        <w:tc>
          <w:tcPr>
            <w:tcW w:w="4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15FF32"/>
    <w:multiLevelType w:val="hybridMultilevel"/>
    <w:lvl w:ilvl="0">
      <w:lvlJc w:val="left"/>
      <w:lvlText w:val="☒"/>
      <w:numFmt w:val="bullet"/>
      <w:start w:val="1"/>
    </w:lvl>
  </w:abstractNum>
  <w:abstractNum w:abstractNumId="1">
    <w:nsid w:val="56438D15"/>
    <w:multiLevelType w:val="hybridMultilevel"/>
    <w:lvl w:ilvl="0">
      <w:lvlJc w:val="left"/>
      <w:lvlText w:val="☐"/>
      <w:numFmt w:val="bullet"/>
      <w:start w:val="1"/>
    </w:lvl>
  </w:abstractNum>
  <w:abstractNum w:abstractNumId="2">
    <w:nsid w:val="519E3149"/>
    <w:multiLevelType w:val="hybridMultilevel"/>
    <w:lvl w:ilvl="0">
      <w:lvlJc w:val="left"/>
      <w:lvlText w:val="☒"/>
      <w:numFmt w:val="bullet"/>
      <w:start w:val="1"/>
    </w:lvl>
  </w:abstractNum>
  <w:abstractNum w:abstractNumId="3">
    <w:nsid w:val="2C6E4AFD"/>
    <w:multiLevelType w:val="hybridMultilevel"/>
    <w:lvl w:ilvl="0">
      <w:lvlJc w:val="left"/>
      <w:lvlText w:val="☐"/>
      <w:numFmt w:val="bullet"/>
      <w:start w:val="1"/>
    </w:lvl>
  </w:abstractNum>
  <w:abstractNum w:abstractNumId="4">
    <w:nsid w:val="17A1B582"/>
    <w:multiLevelType w:val="hybridMultilevel"/>
    <w:lvl w:ilvl="0">
      <w:lvlJc w:val="left"/>
      <w:lvlText w:val="*"/>
      <w:numFmt w:val="bullet"/>
      <w:start w:val="1"/>
    </w:lvl>
  </w:abstractNum>
  <w:abstractNum w:abstractNumId="5">
    <w:nsid w:val="4DF72E4E"/>
    <w:multiLevelType w:val="hybridMultilevel"/>
    <w:lvl w:ilvl="0">
      <w:lvlJc w:val="left"/>
      <w:lvlText w:val="(%1)"/>
      <w:numFmt w:val="lowerLetter"/>
      <w:start w:val="1"/>
    </w:lvl>
  </w:abstractNum>
  <w:abstractNum w:abstractNumId="6">
    <w:nsid w:val="5046B5A9"/>
    <w:multiLevelType w:val="hybridMultilevel"/>
    <w:lvl w:ilvl="0">
      <w:lvlJc w:val="left"/>
      <w:lvlText w:val="%1"/>
      <w:numFmt w:val="lowerLetter"/>
      <w:start w:val="1"/>
    </w:lvl>
    <w:lvl w:ilvl="1">
      <w:lvlJc w:val="left"/>
      <w:lvlText w:val="(%2)"/>
      <w:numFmt w:val="lowerLetter"/>
      <w:start w:val="1"/>
    </w:lvl>
  </w:abstractNum>
  <w:abstractNum w:abstractNumId="7">
    <w:nsid w:val="5D888A08"/>
    <w:multiLevelType w:val="hybridMultilevel"/>
    <w:lvl w:ilvl="0">
      <w:lvlJc w:val="left"/>
      <w:lvlText w:val="(%1)"/>
      <w:numFmt w:val="lowerLetter"/>
      <w:start w:val="9"/>
    </w:lvl>
    <w:lvl w:ilvl="1">
      <w:lvlJc w:val="left"/>
      <w:lvlText w:val="%2"/>
      <w:numFmt w:val="lowerLetter"/>
      <w:start w:val="1"/>
    </w:lvl>
  </w:abstractNum>
  <w:abstractNum w:abstractNumId="8">
    <w:nsid w:val="2A082C70"/>
    <w:multiLevelType w:val="hybridMultilevel"/>
    <w:lvl w:ilvl="0">
      <w:lvlJc w:val="left"/>
      <w:lvlText w:val="(%1)"/>
      <w:numFmt w:val="lowerLetter"/>
      <w:start w:val="1"/>
    </w:lvl>
  </w:abstractNum>
  <w:abstractNum w:abstractNumId="9">
    <w:nsid w:val="5EC6AFD4"/>
    <w:multiLevelType w:val="hybridMultilevel"/>
    <w:lvl w:ilvl="0">
      <w:lvlJc w:val="left"/>
      <w:lvlText w:val="(%1)"/>
      <w:numFmt w:val="lowerLetter"/>
      <w:start w:val="3"/>
    </w:lvl>
  </w:abstractNum>
  <w:abstractNum w:abstractNumId="10">
    <w:nsid w:val="19E21BB2"/>
    <w:multiLevelType w:val="hybridMultilevel"/>
    <w:lvl w:ilvl="0">
      <w:lvlJc w:val="left"/>
      <w:lvlText w:val="(%1)"/>
      <w:numFmt w:val="lowerLetter"/>
      <w:start w:val="10"/>
    </w:lvl>
  </w:abstractNum>
  <w:abstractNum w:abstractNumId="11">
    <w:nsid w:val="75E0858A"/>
    <w:multiLevelType w:val="hybridMultilevel"/>
    <w:lvl w:ilvl="0">
      <w:lvlJc w:val="left"/>
      <w:lvlText w:val="(%1)"/>
      <w:numFmt w:val="lowerLetter"/>
      <w:start w:val="1"/>
    </w:lvl>
  </w:abstractNum>
  <w:abstractNum w:abstractNumId="12">
    <w:nsid w:val="57A61A29"/>
    <w:multiLevelType w:val="hybridMultilevel"/>
    <w:lvl w:ilvl="0">
      <w:lvlJc w:val="left"/>
      <w:lvlText w:val="%1"/>
      <w:numFmt w:val="lowerLetter"/>
      <w:start w:val="1"/>
    </w:lvl>
    <w:lvl w:ilvl="1">
      <w:lvlJc w:val="left"/>
      <w:lvlText w:val="(%2)"/>
      <w:numFmt w:val="lowerLetter"/>
      <w:start w:val="1"/>
    </w:lvl>
  </w:abstractNum>
  <w:abstractNum w:abstractNumId="13">
    <w:nsid w:val="5399C654"/>
    <w:multiLevelType w:val="hybridMultilevel"/>
    <w:lvl w:ilvl="0">
      <w:lvlJc w:val="left"/>
      <w:lvlText w:val="(%1)"/>
      <w:numFmt w:val="lowerLetter"/>
      <w:start w:val="9"/>
    </w:lvl>
    <w:lvl w:ilvl="1">
      <w:lvlJc w:val="left"/>
      <w:lvlText w:val="%2"/>
      <w:numFmt w:val="lowerLetter"/>
      <w:start w:val="1"/>
    </w:lvl>
  </w:abstractNum>
  <w:abstractNum w:abstractNumId="14">
    <w:nsid w:val="20EE1348"/>
    <w:multiLevelType w:val="hybridMultilevel"/>
    <w:lvl w:ilvl="0">
      <w:lvlJc w:val="left"/>
      <w:lvlText w:val="(%1)"/>
      <w:numFmt w:val="lowerLetter"/>
      <w:start w:val="3"/>
    </w:lvl>
  </w:abstractNum>
  <w:abstractNum w:abstractNumId="15">
    <w:nsid w:val="4427069A"/>
    <w:multiLevelType w:val="hybridMultilevel"/>
    <w:lvl w:ilvl="0">
      <w:lvlJc w:val="left"/>
      <w:lvlText w:val="(%1)"/>
      <w:numFmt w:val="lowerLetter"/>
      <w:start w:val="1"/>
    </w:lvl>
  </w:abstractNum>
  <w:abstractNum w:abstractNumId="16">
    <w:nsid w:val="B37E80A"/>
    <w:multiLevelType w:val="hybridMultilevel"/>
    <w:lvl w:ilvl="0">
      <w:lvlJc w:val="left"/>
      <w:lvlText w:val="(%1)"/>
      <w:numFmt w:val="lowerLetter"/>
      <w:start w:val="2"/>
    </w:lvl>
  </w:abstractNum>
  <w:abstractNum w:abstractNumId="17">
    <w:nsid w:val="2157F6BC"/>
    <w:multiLevelType w:val="hybridMultilevel"/>
    <w:lvl w:ilvl="0">
      <w:lvlJc w:val="left"/>
      <w:lvlText w:val="(%1)"/>
      <w:numFmt w:val="lowerLetter"/>
      <w:start w:val="1"/>
    </w:lvl>
  </w:abstractNum>
  <w:abstractNum w:abstractNumId="18">
    <w:nsid w:val="704E1DD5"/>
    <w:multiLevelType w:val="hybridMultilevel"/>
    <w:lvl w:ilvl="0">
      <w:lvlJc w:val="left"/>
      <w:lvlText w:val="(%1)"/>
      <w:numFmt w:val="lowerLetter"/>
      <w:start w:val="1"/>
    </w:lvl>
    <w:lvl w:ilvl="1">
      <w:lvlJc w:val="left"/>
      <w:lvlText w:val="(%2)"/>
      <w:numFmt w:val="lowerRoman"/>
      <w:start w:val="1"/>
    </w:lvl>
  </w:abstractNum>
  <w:abstractNum w:abstractNumId="19">
    <w:nsid w:val="57D2F10E"/>
    <w:multiLevelType w:val="hybridMultilevel"/>
    <w:lvl w:ilvl="0">
      <w:lvlJc w:val="left"/>
      <w:lvlText w:val="%1"/>
      <w:numFmt w:val="lowerLetter"/>
      <w:start w:val="1"/>
    </w:lvl>
    <w:lvl w:ilvl="1">
      <w:lvlJc w:val="left"/>
      <w:lvlText w:val="(%2)"/>
      <w:numFmt w:val="lowerRoman"/>
      <w:start w:val="8"/>
    </w:lvl>
  </w:abstractNum>
  <w:abstractNum w:abstractNumId="20">
    <w:nsid w:val="BFFAE18"/>
    <w:multiLevelType w:val="hybridMultilevel"/>
    <w:lvl w:ilvl="0">
      <w:lvlJc w:val="left"/>
      <w:lvlText w:val="(%1)"/>
      <w:numFmt w:val="lowerLetter"/>
      <w:start w:val="2"/>
    </w:lvl>
    <w:lvl w:ilvl="1">
      <w:lvlJc w:val="left"/>
      <w:lvlText w:val="%2"/>
      <w:numFmt w:val="lowerRoman"/>
      <w:start w:val="1"/>
    </w:lvl>
  </w:abstractNum>
  <w:abstractNum w:abstractNumId="21">
    <w:nsid w:val="E3E47A8"/>
    <w:multiLevelType w:val="hybridMultilevel"/>
    <w:lvl w:ilvl="0">
      <w:lvlJc w:val="left"/>
      <w:lvlText w:val="(%1)"/>
      <w:numFmt w:val="lowerLetter"/>
      <w:start w:val="3"/>
    </w:lvl>
  </w:abstractNum>
  <w:abstractNum w:abstractNumId="22">
    <w:nsid w:val="2E48F044"/>
    <w:multiLevelType w:val="hybridMultilevel"/>
    <w:lvl w:ilvl="0">
      <w:lvlJc w:val="left"/>
      <w:lvlText w:val="%1"/>
      <w:numFmt w:val="decimal"/>
      <w:start w:val="1"/>
    </w:lvl>
    <w:lvl w:ilvl="1">
      <w:lvlJc w:val="left"/>
      <w:lvlText w:val="(%2)"/>
      <w:numFmt w:val="lowerLetter"/>
      <w:start w:val="1"/>
    </w:lvl>
  </w:abstractNum>
  <w:abstractNum w:abstractNumId="23">
    <w:nsid w:val="49D0FEAC"/>
    <w:multiLevelType w:val="hybridMultilevel"/>
    <w:lvl w:ilvl="0">
      <w:lvlJc w:val="left"/>
      <w:lvlText w:val="(%1)"/>
      <w:numFmt w:val="decimal"/>
      <w:start w:val="3"/>
    </w:lvl>
    <w:lvl w:ilvl="1">
      <w:lvlJc w:val="left"/>
      <w:lvlText w:val="(%2)"/>
      <w:numFmt w:val="lowerLetter"/>
      <w:start w:val="2"/>
    </w:lvl>
  </w:abstractNum>
  <w:abstractNum w:abstractNumId="24">
    <w:nsid w:val="4BEE5A5B"/>
    <w:multiLevelType w:val="hybridMultilevel"/>
    <w:lvl w:ilvl="0">
      <w:lvlJc w:val="left"/>
      <w:lvlText w:val="%1"/>
      <w:numFmt w:val="decimal"/>
      <w:start w:val="1"/>
    </w:lvl>
    <w:lvl w:ilvl="1">
      <w:lvlJc w:val="left"/>
      <w:lvlText w:val="(%2)"/>
      <w:numFmt w:val="lowerLetter"/>
      <w:start w:val="1"/>
    </w:lvl>
  </w:abstractNum>
  <w:abstractNum w:abstractNumId="25">
    <w:nsid w:val="5551B9F3"/>
    <w:multiLevelType w:val="hybridMultilevel"/>
    <w:lvl w:ilvl="0">
      <w:lvlJc w:val="left"/>
      <w:lvlText w:val="(%1)"/>
      <w:numFmt w:val="decimal"/>
      <w:start w:val="2"/>
    </w:lvl>
    <w:lvl w:ilvl="1">
      <w:lvlJc w:val="left"/>
      <w:lvlText w:val="(%2)"/>
      <w:numFmt w:val="lowerLetter"/>
      <w:start w:val="2"/>
    </w:lvl>
  </w:abstractNum>
  <w:abstractNum w:abstractNumId="26">
    <w:nsid w:val="24F6AB8E"/>
    <w:multiLevelType w:val="hybridMultilevel"/>
    <w:lvl w:ilvl="0">
      <w:lvlJc w:val="left"/>
      <w:lvlText w:val="%1"/>
      <w:numFmt w:val="lowerRoman"/>
      <w:start w:val="1"/>
    </w:lvl>
    <w:lvl w:ilvl="1">
      <w:lvlJc w:val="left"/>
      <w:lvlText w:val="(%2)"/>
      <w:numFmt w:val="lowerLetter"/>
      <w:start w:val="4"/>
    </w:lvl>
  </w:abstractNum>
  <w:abstractNum w:abstractNumId="27">
    <w:nsid w:val="634C574C"/>
    <w:multiLevelType w:val="hybridMultilevel"/>
    <w:lvl w:ilvl="0">
      <w:lvlJc w:val="left"/>
      <w:lvlText w:val="(%1)"/>
      <w:numFmt w:val="lowerRoman"/>
      <w:start w:val="4"/>
    </w:lvl>
    <w:lvl w:ilvl="1">
      <w:lvlJc w:val="left"/>
      <w:lvlText w:val="(%2)"/>
      <w:numFmt w:val="lowerLetter"/>
      <w:start w:val="5"/>
    </w:lvl>
  </w:abstractNum>
  <w:abstractNum w:abstractNumId="28">
    <w:nsid w:val="24E99DD7"/>
    <w:multiLevelType w:val="hybridMultilevel"/>
    <w:lvl w:ilvl="0">
      <w:lvlJc w:val="left"/>
      <w:lvlText w:val="(%1)"/>
      <w:numFmt w:val="lowerLetter"/>
      <w:start w:val="11"/>
    </w:lvl>
  </w:abstractNum>
  <w:abstractNum w:abstractNumId="29">
    <w:nsid w:val="2A31B62D"/>
    <w:multiLevelType w:val="hybridMultilevel"/>
    <w:lvl w:ilvl="0">
      <w:lvlJc w:val="left"/>
      <w:lvlText w:val="(%1)"/>
      <w:numFmt w:val="lowerLetter"/>
      <w:start w:val="1"/>
    </w:lvl>
  </w:abstractNum>
  <w:abstractNum w:abstractNumId="30">
    <w:nsid w:val="1849C29B"/>
    <w:multiLevelType w:val="hybridMultilevel"/>
    <w:lvl w:ilvl="0">
      <w:lvlJc w:val="left"/>
      <w:lvlText w:val="(%1)"/>
      <w:numFmt w:val="lowerLetter"/>
      <w:start w:val="3"/>
    </w:lvl>
  </w:abstractNum>
  <w:abstractNum w:abstractNumId="31">
    <w:nsid w:val="7DFF9D09"/>
    <w:multiLevelType w:val="hybridMultilevel"/>
    <w:lvl w:ilvl="0">
      <w:lvlJc w:val="left"/>
      <w:lvlText w:val="(%1)"/>
      <w:numFmt w:val="lowerLetter"/>
      <w:start w:val="1"/>
    </w:lvl>
  </w:abstractNum>
  <w:abstractNum w:abstractNumId="32">
    <w:nsid w:val="754342"/>
    <w:multiLevelType w:val="hybridMultilevel"/>
    <w:lvl w:ilvl="0">
      <w:lvlJc w:val="left"/>
      <w:lvlText w:val="(%1)"/>
      <w:numFmt w:val="lowerLetter"/>
      <w:start w:val="2"/>
    </w:lvl>
  </w:abstractNum>
  <w:abstractNum w:abstractNumId="33">
    <w:nsid w:val="69E7F3E5"/>
    <w:multiLevelType w:val="hybridMultilevel"/>
    <w:lvl w:ilvl="0">
      <w:lvlJc w:val="left"/>
      <w:lvlText w:val="(%1)"/>
      <w:numFmt w:val="lowerLetter"/>
      <w:start w:val="1"/>
    </w:lvl>
  </w:abstractNum>
  <w:abstractNum w:abstractNumId="34">
    <w:nsid w:val="2A6DE806"/>
    <w:multiLevelType w:val="hybridMultilevel"/>
    <w:lvl w:ilvl="0">
      <w:lvlJc w:val="left"/>
      <w:lvlText w:val="(%1)"/>
      <w:numFmt w:val="lowerLetter"/>
      <w:start w:val="1"/>
    </w:lvl>
  </w:abstractNum>
  <w:abstractNum w:abstractNumId="35">
    <w:nsid w:val="1816F8C4"/>
    <w:multiLevelType w:val="hybridMultilevel"/>
    <w:lvl w:ilvl="0">
      <w:lvlJc w:val="left"/>
      <w:lvlText w:val="(%1)"/>
      <w:numFmt w:val="lowerLetter"/>
      <w:start w:val="6"/>
    </w:lvl>
  </w:abstractNum>
  <w:abstractNum w:abstractNumId="36">
    <w:nsid w:val="37DF2233"/>
    <w:multiLevelType w:val="hybridMultilevel"/>
    <w:lvl w:ilvl="0">
      <w:lvlJc w:val="left"/>
      <w:lvlText w:val="(%1)"/>
      <w:numFmt w:val="lowerLetter"/>
      <w:start w:val="1"/>
    </w:lvl>
  </w:abstractNum>
  <w:abstractNum w:abstractNumId="37">
    <w:nsid w:val="7AB49DAF"/>
    <w:multiLevelType w:val="hybridMultilevel"/>
    <w:lvl w:ilvl="0">
      <w:lvlJc w:val="left"/>
      <w:lvlText w:val="(%1)"/>
      <w:numFmt w:val="lowerLetter"/>
      <w:start w:val="1"/>
    </w:lvl>
  </w:abstractNum>
  <w:abstractNum w:abstractNumId="38">
    <w:nsid w:val="759F82CD"/>
    <w:multiLevelType w:val="hybridMultilevel"/>
    <w:lvl w:ilvl="0">
      <w:lvlJc w:val="left"/>
      <w:lvlText w:val="(%1)"/>
      <w:numFmt w:val="lowerLetter"/>
      <w:start w:val="3"/>
    </w:lvl>
  </w:abstractNum>
  <w:abstractNum w:abstractNumId="39">
    <w:nsid w:val="61E74EA3"/>
    <w:multiLevelType w:val="hybridMultilevel"/>
    <w:lvl w:ilvl="0">
      <w:lvlJc w:val="left"/>
      <w:lvlText w:val="(%1)"/>
      <w:numFmt w:val="lowerLetter"/>
      <w:start w:val="1"/>
    </w:lvl>
  </w:abstractNum>
  <w:abstractNum w:abstractNumId="40">
    <w:nsid w:val="597B4D84"/>
    <w:multiLevelType w:val="hybridMultilevel"/>
    <w:lvl w:ilvl="0">
      <w:lvlJc w:val="left"/>
      <w:lvlText w:val="(%1)"/>
      <w:numFmt w:val="lowerLetter"/>
      <w:start w:val="1"/>
    </w:lvl>
  </w:abstractNum>
  <w:abstractNum w:abstractNumId="41">
    <w:nsid w:val="F819E7F"/>
    <w:multiLevelType w:val="hybridMultilevel"/>
    <w:lvl w:ilvl="0">
      <w:lvlJc w:val="left"/>
      <w:lvlText w:val="(%1)"/>
      <w:numFmt w:val="lowerLetter"/>
      <w:start w:val="1"/>
    </w:lvl>
  </w:abstractNum>
  <w:abstractNum w:abstractNumId="42">
    <w:nsid w:val="57C7D42D"/>
    <w:multiLevelType w:val="hybridMultilevel"/>
    <w:lvl w:ilvl="0">
      <w:lvlJc w:val="left"/>
      <w:lvlText w:val="(%1)"/>
      <w:numFmt w:val="lowerLetter"/>
      <w:start w:val="2"/>
    </w:lvl>
  </w:abstractNum>
  <w:abstractNum w:abstractNumId="43">
    <w:nsid w:val="312167AD"/>
    <w:multiLevelType w:val="hybridMultilevel"/>
    <w:lvl w:ilvl="0">
      <w:lvlJc w:val="left"/>
      <w:lvlText w:val="(%1)"/>
      <w:numFmt w:val="lowerLetter"/>
      <w:start w:val="1"/>
    </w:lvl>
    <w:lvl w:ilvl="1">
      <w:lvlJc w:val="left"/>
      <w:lvlText w:val="(%2)"/>
      <w:numFmt w:val="lowerRoman"/>
      <w:start w:val="1"/>
    </w:lvl>
  </w:abstractNum>
  <w:abstractNum w:abstractNumId="44">
    <w:nsid w:val="631B64D4"/>
    <w:multiLevelType w:val="hybridMultilevel"/>
    <w:lvl w:ilvl="0">
      <w:lvlJc w:val="left"/>
      <w:lvlText w:val="(%1)"/>
      <w:numFmt w:val="lowerRoman"/>
      <w:start w:val="10"/>
    </w:lvl>
  </w:abstractNum>
  <w:abstractNum w:abstractNumId="45">
    <w:nsid w:val="78B5E776"/>
    <w:multiLevelType w:val="hybridMultilevel"/>
    <w:lvl w:ilvl="0">
      <w:lvlJc w:val="left"/>
      <w:lvlText w:val="(%1)"/>
      <w:numFmt w:val="lowerRoman"/>
      <w:start w:val="20"/>
    </w:lvl>
  </w:abstractNum>
  <w:abstractNum w:abstractNumId="46">
    <w:nsid w:val="75486E47"/>
    <w:multiLevelType w:val="hybridMultilevel"/>
    <w:lvl w:ilvl="0">
      <w:lvlJc w:val="left"/>
      <w:lvlText w:val="%1"/>
      <w:numFmt w:val="lowerLetter"/>
      <w:start w:val="1"/>
    </w:lvl>
    <w:lvl w:ilvl="1">
      <w:lvlJc w:val="left"/>
      <w:lvlText w:val="(%2)"/>
      <w:numFmt w:val="lowerLetter"/>
      <w:start w:val="1"/>
    </w:lvl>
  </w:abstractNum>
  <w:abstractNum w:abstractNumId="47">
    <w:nsid w:val="6E534CDE"/>
    <w:multiLevelType w:val="hybridMultilevel"/>
    <w:lvl w:ilvl="0">
      <w:lvlJc w:val="left"/>
      <w:lvlText w:val="(%1)"/>
      <w:numFmt w:val="lowerLetter"/>
      <w:start w:val="35"/>
    </w:lvl>
    <w:lvl w:ilvl="1">
      <w:lvlJc w:val="left"/>
      <w:lvlText w:val="(%2)"/>
      <w:numFmt w:val="lowerLetter"/>
      <w:start w:val="2"/>
    </w:lvl>
  </w:abstractNum>
  <w:abstractNum w:abstractNumId="48">
    <w:nsid w:val="1A0DDE32"/>
    <w:multiLevelType w:val="hybridMultilevel"/>
    <w:lvl w:ilvl="0">
      <w:lvlJc w:val="left"/>
      <w:lvlText w:val="(%1)"/>
      <w:numFmt w:val="lowerLetter"/>
      <w:start w:val="1"/>
    </w:lvl>
  </w:abstractNum>
  <w:abstractNum w:abstractNumId="49">
    <w:nsid w:val="65968C1C"/>
    <w:multiLevelType w:val="hybridMultilevel"/>
    <w:lvl w:ilvl="0">
      <w:lvlJc w:val="left"/>
      <w:lvlText w:val="(%1)"/>
      <w:numFmt w:val="lowerLetter"/>
      <w:start w:val="1"/>
    </w:lvl>
  </w:abstractNum>
  <w:abstractNum w:abstractNumId="50">
    <w:nsid w:val="46263DEC"/>
    <w:multiLevelType w:val="hybridMultilevel"/>
    <w:lvl w:ilvl="0">
      <w:lvlJc w:val="left"/>
      <w:lvlText w:val="(%1)"/>
      <w:numFmt w:val="lowerLetter"/>
      <w:start w:val="2"/>
    </w:lvl>
  </w:abstractNum>
  <w:abstractNum w:abstractNumId="51">
    <w:nsid w:val="260D8C4A"/>
    <w:multiLevelType w:val="hybridMultilevel"/>
    <w:lvl w:ilvl="0">
      <w:lvlJc w:val="left"/>
      <w:lvlText w:val="(%1)"/>
      <w:numFmt w:val="lowerLetter"/>
      <w:start w:val="5"/>
    </w:lvl>
  </w:abstractNum>
  <w:abstractNum w:abstractNumId="52">
    <w:nsid w:val="73D4D3C4"/>
    <w:multiLevelType w:val="hybridMultilevel"/>
    <w:lvl w:ilvl="0">
      <w:lvlJc w:val="left"/>
      <w:lvlText w:val="(%1)"/>
      <w:numFmt w:val="lowerLetter"/>
      <w:start w:val="1"/>
    </w:lvl>
  </w:abstractNum>
  <w:abstractNum w:abstractNumId="53">
    <w:nsid w:val="746F2E30"/>
    <w:multiLevelType w:val="hybridMultilevel"/>
    <w:lvl w:ilvl="0">
      <w:lvlJc w:val="left"/>
      <w:lvlText w:val="(%1)"/>
      <w:numFmt w:val="lowerLetter"/>
      <w:start w:val="1"/>
    </w:lvl>
  </w:abstractNum>
  <w:abstractNum w:abstractNumId="54">
    <w:nsid w:val="6FDE8AF6"/>
    <w:multiLevelType w:val="hybridMultilevel"/>
    <w:lvl w:ilvl="0">
      <w:lvlJc w:val="left"/>
      <w:lvlText w:val="(%1)"/>
      <w:numFmt w:val="lowerLetter"/>
      <w:start w:val="1"/>
    </w:lvl>
  </w:abstractNum>
  <w:abstractNum w:abstractNumId="55">
    <w:nsid w:val="3FC32E20"/>
    <w:multiLevelType w:val="hybridMultilevel"/>
    <w:lvl w:ilvl="0">
      <w:lvlJc w:val="left"/>
      <w:lvlText w:val="(%1)"/>
      <w:numFmt w:val="lowerLetter"/>
      <w:start w:val="1"/>
    </w:lvl>
  </w:abstractNum>
  <w:abstractNum w:abstractNumId="56">
    <w:nsid w:val="49C0E823"/>
    <w:multiLevelType w:val="hybridMultilevel"/>
    <w:lvl w:ilvl="0">
      <w:lvlJc w:val="left"/>
      <w:lvlText w:val="(%1)"/>
      <w:numFmt w:val="lowerLetter"/>
      <w:start w:val="2"/>
    </w:lvl>
  </w:abstractNum>
  <w:abstractNum w:abstractNumId="57">
    <w:nsid w:val="14D53685"/>
    <w:multiLevelType w:val="hybridMultilevel"/>
    <w:lvl w:ilvl="0">
      <w:lvlJc w:val="left"/>
      <w:lvlText w:val="(%1)"/>
      <w:numFmt w:val="lowerLetter"/>
      <w:start w:val="1"/>
    </w:lvl>
  </w:abstractNum>
  <w:abstractNum w:abstractNumId="58">
    <w:nsid w:val="230F856C"/>
    <w:multiLevelType w:val="hybridMultilevel"/>
    <w:lvl w:ilvl="0">
      <w:lvlJc w:val="left"/>
      <w:lvlText w:val="(%1)"/>
      <w:numFmt w:val="lowerLetter"/>
      <w:start w:val="3"/>
    </w:lvl>
  </w:abstractNum>
  <w:abstractNum w:abstractNumId="59">
    <w:nsid w:val="6EAA85FB"/>
    <w:multiLevelType w:val="hybridMultilevel"/>
    <w:lvl w:ilvl="0">
      <w:lvlJc w:val="left"/>
      <w:lvlText w:val="(%1)"/>
      <w:numFmt w:val="lowerLetter"/>
      <w:start w:val="1"/>
    </w:lvl>
  </w:abstractNum>
  <w:abstractNum w:abstractNumId="60">
    <w:nsid w:val="3F06ECB2"/>
    <w:multiLevelType w:val="hybridMultilevel"/>
    <w:lvl w:ilvl="0">
      <w:lvlJc w:val="left"/>
      <w:lvlText w:val="(%1)"/>
      <w:numFmt w:val="lowerLetter"/>
      <w:start w:val="2"/>
    </w:lvl>
  </w:abstractNum>
  <w:abstractNum w:abstractNumId="61">
    <w:nsid w:val="3B594807"/>
    <w:multiLevelType w:val="hybridMultilevel"/>
    <w:lvl w:ilvl="0">
      <w:lvlJc w:val="left"/>
      <w:lvlText w:val="(%1)"/>
      <w:numFmt w:val="lowerLetter"/>
      <w:start w:val="4"/>
    </w:lvl>
  </w:abstractNum>
  <w:abstractNum w:abstractNumId="62">
    <w:nsid w:val="6CAA2304"/>
    <w:multiLevelType w:val="hybridMultilevel"/>
    <w:lvl w:ilvl="0">
      <w:lvlJc w:val="left"/>
      <w:lvlText w:val="(%1)"/>
      <w:numFmt w:val="lowerLetter"/>
      <w:start w:val="1"/>
    </w:lvl>
  </w:abstractNum>
  <w:abstractNum w:abstractNumId="63">
    <w:nsid w:val="3F7C2FF4"/>
    <w:multiLevelType w:val="hybridMultilevel"/>
    <w:lvl w:ilvl="0">
      <w:lvlJc w:val="left"/>
      <w:lvlText w:val="(%1)"/>
      <w:numFmt w:val="lowerLetter"/>
      <w:start w:val="3"/>
    </w:lvl>
  </w:abstractNum>
  <w:abstractNum w:abstractNumId="64">
    <w:nsid w:val="25413BEC"/>
    <w:multiLevelType w:val="hybridMultilevel"/>
    <w:lvl w:ilvl="0">
      <w:lvlJc w:val="left"/>
      <w:lvlText w:val="(%1)"/>
      <w:numFmt w:val="lowerLetter"/>
      <w:start w:val="15"/>
    </w:lvl>
  </w:abstractNum>
  <w:abstractNum w:abstractNumId="65">
    <w:nsid w:val="17180B0B"/>
    <w:multiLevelType w:val="hybridMultilevel"/>
    <w:lvl w:ilvl="0">
      <w:lvlJc w:val="left"/>
      <w:lvlText w:val="(%1)"/>
      <w:numFmt w:val="lowerLetter"/>
      <w:start w:val="1"/>
    </w:lvl>
  </w:abstractNum>
  <w:abstractNum w:abstractNumId="66">
    <w:nsid w:val="579328B9"/>
    <w:multiLevelType w:val="hybridMultilevel"/>
    <w:lvl w:ilvl="0">
      <w:lvlJc w:val="left"/>
      <w:lvlText w:val="(%1)"/>
      <w:numFmt w:val="lowerLetter"/>
      <w:start w:val="8"/>
    </w:lvl>
  </w:abstractNum>
  <w:abstractNum w:abstractNumId="67">
    <w:nsid w:val="5D205E20"/>
    <w:multiLevelType w:val="hybridMultilevel"/>
    <w:lvl w:ilvl="0">
      <w:lvlJc w:val="left"/>
      <w:lvlText w:val="(%1)"/>
      <w:numFmt w:val="lowerLetter"/>
      <w:start w:val="10"/>
    </w:lvl>
  </w:abstractNum>
  <w:abstractNum w:abstractNumId="68">
    <w:nsid w:val="11CCA8BA"/>
    <w:multiLevelType w:val="hybridMultilevel"/>
    <w:lvl w:ilvl="0">
      <w:lvlJc w:val="left"/>
      <w:lvlText w:val="(%1)"/>
      <w:numFmt w:val="lowerLetter"/>
      <w:start w:val="1"/>
    </w:lvl>
  </w:abstractNum>
  <w:abstractNum w:abstractNumId="69">
    <w:nsid w:val="4D32AB86"/>
    <w:multiLevelType w:val="hybridMultilevel"/>
    <w:lvl w:ilvl="0">
      <w:lvlJc w:val="left"/>
      <w:lvlText w:val="(%1)"/>
      <w:numFmt w:val="lowerLetter"/>
      <w:start w:val="2"/>
    </w:lvl>
  </w:abstractNum>
  <w:abstractNum w:abstractNumId="70">
    <w:nsid w:val="3F07ACC3"/>
    <w:multiLevelType w:val="hybridMultilevel"/>
    <w:lvl w:ilvl="0">
      <w:lvlJc w:val="left"/>
      <w:lvlText w:val="(%1)"/>
      <w:numFmt w:val="lowerLetter"/>
      <w:start w:val="5"/>
    </w:lvl>
  </w:abstractNum>
  <w:abstractNum w:abstractNumId="71">
    <w:nsid w:val="6B47F63E"/>
    <w:multiLevelType w:val="hybridMultilevel"/>
    <w:lvl w:ilvl="0">
      <w:lvlJc w:val="left"/>
      <w:lvlText w:val="(%1)"/>
      <w:numFmt w:val="lowerLetter"/>
      <w:start w:val="1"/>
    </w:lvl>
  </w:abstractNum>
  <w:abstractNum w:abstractNumId="72">
    <w:nsid w:val="5CB44A05"/>
    <w:multiLevelType w:val="hybridMultilevel"/>
    <w:lvl w:ilvl="0">
      <w:lvlJc w:val="left"/>
      <w:lvlText w:val="(%1)"/>
      <w:numFmt w:val="lowerLetter"/>
      <w:start w:val="4"/>
    </w:lvl>
  </w:abstractNum>
  <w:abstractNum w:abstractNumId="73">
    <w:nsid w:val="16CF80F1"/>
    <w:multiLevelType w:val="hybridMultilevel"/>
    <w:lvl w:ilvl="0">
      <w:lvlJc w:val="left"/>
      <w:lvlText w:val="(%1)"/>
      <w:numFmt w:val="lowerLetter"/>
      <w:start w:val="1"/>
    </w:lvl>
  </w:abstractNum>
  <w:abstractNum w:abstractNumId="74">
    <w:nsid w:val="1C695DEC"/>
    <w:multiLevelType w:val="hybridMultilevel"/>
    <w:lvl w:ilvl="0">
      <w:lvlJc w:val="left"/>
      <w:lvlText w:val="(%1)"/>
      <w:numFmt w:val="lowerLetter"/>
      <w:start w:val="7"/>
    </w:lvl>
  </w:abstractNum>
  <w:abstractNum w:abstractNumId="75">
    <w:nsid w:val="3FCFAED9"/>
    <w:multiLevelType w:val="hybridMultilevel"/>
    <w:lvl w:ilvl="0">
      <w:lvlJc w:val="left"/>
      <w:lvlText w:val="(%1)"/>
      <w:numFmt w:val="lowerLetter"/>
      <w:start w:val="1"/>
    </w:lvl>
  </w:abstractNum>
  <w:abstractNum w:abstractNumId="76">
    <w:nsid w:val="F856867"/>
    <w:multiLevelType w:val="hybridMultilevel"/>
    <w:lvl w:ilvl="0">
      <w:lvlJc w:val="left"/>
      <w:lvlText w:val="(%1)"/>
      <w:numFmt w:val="lowerLetter"/>
      <w:start w:val="1"/>
    </w:lvl>
  </w:abstractNum>
  <w:abstractNum w:abstractNumId="77">
    <w:nsid w:val="11B1CC33"/>
    <w:multiLevelType w:val="hybridMultilevel"/>
    <w:lvl w:ilvl="0">
      <w:lvlJc w:val="left"/>
      <w:lvlText w:val="(%1)"/>
      <w:numFmt w:val="lowerLetter"/>
      <w:start w:val="1"/>
    </w:lvl>
  </w:abstractNum>
  <w:abstractNum w:abstractNumId="78">
    <w:nsid w:val="2E22FBB7"/>
    <w:multiLevelType w:val="hybridMultilevel"/>
    <w:lvl w:ilvl="0">
      <w:lvlJc w:val="left"/>
      <w:lvlText w:val="(%1)"/>
      <w:numFmt w:val="lowerLetter"/>
      <w:start w:val="1"/>
    </w:lvl>
  </w:abstractNum>
  <w:abstractNum w:abstractNumId="79">
    <w:nsid w:val="299346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0">
    <w:nsid w:val="77485850"/>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abstractNum>
  <w:abstractNum w:abstractNumId="81">
    <w:nsid w:val="744939A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2">
    <w:nsid w:val="4FA0D2E3"/>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83">
    <w:nsid w:val="6B1D2C14"/>
    <w:multiLevelType w:val="hybridMultilevel"/>
    <w:lvl w:ilvl="0">
      <w:lvlJc w:val="left"/>
      <w:lvlText w:val="%1."/>
      <w:numFmt w:val="decimal"/>
      <w:start w:val="3"/>
    </w:lvl>
    <w:lvl w:ilvl="1">
      <w:lvlJc w:val="left"/>
      <w:lvlText w:val="(%2)"/>
      <w:numFmt w:val="lowerLetter"/>
      <w:start w:val="1"/>
    </w:lvl>
  </w:abstractNum>
  <w:abstractNum w:abstractNumId="84">
    <w:nsid w:val="68B867D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85">
    <w:nsid w:val="3F7F5DD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6">
    <w:nsid w:val="2AE05A3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87">
    <w:nsid w:val="32794FF7"/>
    <w:multiLevelType w:val="hybridMultilevel"/>
    <w:lvl w:ilvl="0">
      <w:lvlJc w:val="left"/>
      <w:lvlText w:val="%1."/>
      <w:numFmt w:val="decimal"/>
      <w:start w:val="5"/>
    </w:lvl>
  </w:abstractNum>
  <w:abstractNum w:abstractNumId="88">
    <w:nsid w:val="5454945E"/>
    <w:multiLevelType w:val="hybridMultilevel"/>
    <w:lvl w:ilvl="0">
      <w:lvlJc w:val="left"/>
      <w:lvlText w:val="%1."/>
      <w:numFmt w:val="decimal"/>
      <w:start w:val="8"/>
    </w:lvl>
  </w:abstractNum>
  <w:abstractNum w:abstractNumId="89">
    <w:nsid w:val="4DEFDFA0"/>
    <w:multiLevelType w:val="hybridMultilevel"/>
    <w:lvl w:ilvl="0">
      <w:lvlJc w:val="left"/>
      <w:lvlText w:val="%1."/>
      <w:numFmt w:val="decimal"/>
      <w:start w:val="1"/>
    </w:lvl>
  </w:abstractNum>
  <w:abstractNum w:abstractNumId="90">
    <w:nsid w:val="2123D5F2"/>
    <w:multiLevelType w:val="hybridMultilevel"/>
    <w:lvl w:ilvl="0">
      <w:lvlJc w:val="left"/>
      <w:lvlText w:val="%1."/>
      <w:numFmt w:val="decimal"/>
      <w:start w:val="1"/>
    </w:lvl>
  </w:abstractNum>
  <w:abstractNum w:abstractNumId="91">
    <w:nsid w:val="135B811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2">
    <w:nsid w:val="9492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93">
    <w:nsid w:val="DCDF8F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4">
    <w:nsid w:val="52D7B105"/>
    <w:multiLevelType w:val="hybridMultilevel"/>
    <w:lvl w:ilvl="0">
      <w:lvlJc w:val="left"/>
      <w:lvlText w:val="(%1)"/>
      <w:numFmt w:val="lowerLetter"/>
      <w:start w:val="5"/>
    </w:lvl>
  </w:abstractNum>
  <w:abstractNum w:abstractNumId="95">
    <w:nsid w:val="2E8A6394"/>
    <w:multiLevelType w:val="hybridMultilevel"/>
    <w:lvl w:ilvl="0">
      <w:lvlJc w:val="left"/>
      <w:lvlText w:val="%1"/>
      <w:numFmt w:val="decimal"/>
      <w:start w:val="1"/>
    </w:lvl>
    <w:lvl w:ilvl="1">
      <w:lvlJc w:val="left"/>
      <w:lvlText w:val="(%2)"/>
      <w:numFmt w:val="lowerLetter"/>
      <w:start w:val="9"/>
    </w:lvl>
  </w:abstractNum>
  <w:abstractNum w:abstractNumId="96">
    <w:nsid w:val="24E60401"/>
    <w:multiLevelType w:val="hybridMultilevel"/>
    <w:lvl w:ilvl="0">
      <w:lvlJc w:val="left"/>
      <w:lvlText w:val="%1."/>
      <w:numFmt w:val="decimal"/>
      <w:start w:val="6"/>
    </w:lvl>
    <w:lvl w:ilvl="1">
      <w:lvlJc w:val="left"/>
      <w:lvlText w:val="(%2)"/>
      <w:numFmt w:val="lowerLetter"/>
      <w:start w:val="1"/>
    </w:lvl>
  </w:abstractNum>
  <w:abstractNum w:abstractNumId="97">
    <w:nsid w:val="2A6AD9BE"/>
    <w:multiLevelType w:val="hybridMultilevel"/>
    <w:lvl w:ilvl="0">
      <w:lvlJc w:val="left"/>
      <w:lvlText w:val="(%1)"/>
      <w:numFmt w:val="lowerLetter"/>
      <w:start w:val="2"/>
    </w:lvl>
  </w:abstractNum>
  <w:abstractNum w:abstractNumId="98">
    <w:nsid w:val="BAAC1B4"/>
    <w:multiLevelType w:val="hybridMultilevel"/>
    <w:lvl w:ilvl="0">
      <w:lvlJc w:val="left"/>
      <w:lvlText w:val="(%1)"/>
      <w:numFmt w:val="lowerLetter"/>
      <w:start w:val="8"/>
    </w:lvl>
  </w:abstractNum>
  <w:abstractNum w:abstractNumId="99">
    <w:nsid w:val="36B2ACB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4"/>
    </w:lvl>
  </w:abstractNum>
  <w:abstractNum w:abstractNumId="100">
    <w:nsid w:val="779D8544"/>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01">
    <w:nsid w:val="4AB26E78"/>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102">
    <w:nsid w:val="21FAA2FA"/>
    <w:multiLevelType w:val="hybridMultilevel"/>
    <w:lvl w:ilvl="0">
      <w:lvlJc w:val="left"/>
      <w:lvlText w:val="(%1)"/>
      <w:numFmt w:val="lowerLetter"/>
      <w:start w:val="2"/>
    </w:lvl>
  </w:abstractNum>
  <w:abstractNum w:abstractNumId="103">
    <w:nsid w:val="5451CF49"/>
    <w:multiLevelType w:val="hybridMultilevel"/>
    <w:lvl w:ilvl="0">
      <w:lvlJc w:val="left"/>
      <w:lvlText w:val="(%1)"/>
      <w:numFmt w:val="lowerLetter"/>
      <w:start w:val="3"/>
    </w:lvl>
  </w:abstractNum>
  <w:abstractNum w:abstractNumId="104">
    <w:nsid w:val="6181EF69"/>
    <w:multiLevelType w:val="hybridMultilevel"/>
    <w:lvl w:ilvl="0">
      <w:lvlJc w:val="left"/>
      <w:lvlText w:val="%1"/>
      <w:numFmt w:val="decimal"/>
      <w:start w:val="1"/>
    </w:lvl>
    <w:lvl w:ilvl="1">
      <w:lvlJc w:val="left"/>
      <w:lvlText w:val="(%2)"/>
      <w:numFmt w:val="lowerLetter"/>
      <w:start w:val="6"/>
    </w:lvl>
  </w:abstractNum>
  <w:abstractNum w:abstractNumId="105">
    <w:nsid w:val="3E6400E6"/>
    <w:multiLevelType w:val="hybridMultilevel"/>
    <w:lvl w:ilvl="0">
      <w:lvlJc w:val="left"/>
      <w:lvlText w:val="%1."/>
      <w:numFmt w:val="decimal"/>
      <w:start w:val="8"/>
    </w:lvl>
    <w:lvl w:ilvl="1">
      <w:lvlJc w:val="left"/>
      <w:lvlText w:val="%2"/>
      <w:numFmt w:val="lowerLetter"/>
      <w:start w:val="1"/>
    </w:lvl>
  </w:abstractNum>
  <w:abstractNum w:abstractNumId="106">
    <w:nsid w:val="14217E23"/>
    <w:multiLevelType w:val="hybridMultilevel"/>
    <w:lvl w:ilvl="0">
      <w:lvlJc w:val="left"/>
      <w:lvlText w:val="%1."/>
      <w:numFmt w:val="decimal"/>
      <w:start w:val="9"/>
    </w:lvl>
    <w:lvl w:ilvl="1">
      <w:lvlJc w:val="left"/>
      <w:lvlText w:val="(%2)"/>
      <w:numFmt w:val="lowerLetter"/>
      <w:start w:val="1"/>
    </w:lvl>
  </w:abstractNum>
  <w:abstractNum w:abstractNumId="107">
    <w:nsid w:val="710757D0"/>
    <w:multiLevelType w:val="hybridMultilevel"/>
    <w:lvl w:ilvl="0">
      <w:lvlJc w:val="left"/>
      <w:lvlText w:val="(%1)"/>
      <w:numFmt w:val="lowerLetter"/>
      <w:start w:val="6"/>
    </w:lvl>
  </w:abstractNum>
  <w:abstractNum w:abstractNumId="108">
    <w:nsid w:val="5015CD1A"/>
    <w:multiLevelType w:val="hybridMultilevel"/>
    <w:lvl w:ilvl="0">
      <w:lvlJc w:val="left"/>
      <w:lvlText w:val="(%1)"/>
      <w:numFmt w:val="lowerLetter"/>
      <w:start w:val="13"/>
    </w:lvl>
  </w:abstractNum>
  <w:abstractNum w:abstractNumId="109">
    <w:nsid w:val="424479DA"/>
    <w:multiLevelType w:val="hybridMultilevel"/>
    <w:lvl w:ilvl="0">
      <w:lvlJc w:val="left"/>
      <w:lvlText w:val="%1."/>
      <w:numFmt w:val="decimal"/>
      <w:start w:val="11"/>
    </w:lvl>
  </w:abstractNum>
  <w:abstractNum w:abstractNumId="110">
    <w:nsid w:val="1A9A9E69"/>
    <w:multiLevelType w:val="hybridMultilevel"/>
    <w:lvl w:ilvl="0">
      <w:lvlJc w:val="left"/>
      <w:lvlText w:val="%1."/>
      <w:numFmt w:val="upperLetter"/>
      <w:start w:val="1"/>
    </w:lvl>
  </w:abstractNum>
  <w:abstractNum w:abstractNumId="111">
    <w:nsid w:val="475E256A"/>
    <w:multiLevelType w:val="hybridMultilevel"/>
    <w:lvl w:ilvl="0">
      <w:lvlJc w:val="left"/>
      <w:lvlText w:val="%1."/>
      <w:numFmt w:val="decimal"/>
      <w:start w:val="1"/>
    </w:lvl>
  </w:abstractNum>
  <w:abstractNum w:abstractNumId="112">
    <w:nsid w:val="368DB37E"/>
    <w:multiLevelType w:val="hybridMultilevel"/>
    <w:lvl w:ilvl="0">
      <w:lvlJc w:val="left"/>
      <w:lvlText w:val="☐"/>
      <w:numFmt w:val="bullet"/>
      <w:start w:val="1"/>
    </w:lvl>
  </w:abstractNum>
  <w:abstractNum w:abstractNumId="113">
    <w:nsid w:val="6A3B714C"/>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114">
    <w:nsid w:val="327B517E"/>
    <w:multiLevelType w:val="hybridMultilevel"/>
    <w:lvl w:ilvl="0">
      <w:lvlJc w:val="left"/>
      <w:lvlText w:val="%1."/>
      <w:numFmt w:val="decimal"/>
      <w:start w:val="1"/>
    </w:lvl>
  </w:abstractNum>
  <w:abstractNum w:abstractNumId="115">
    <w:nsid w:val="1F461B51"/>
    <w:multiLevelType w:val="hybridMultilevel"/>
    <w:lvl w:ilvl="0">
      <w:lvlJc w:val="left"/>
      <w:lvlText w:val="☐"/>
      <w:numFmt w:val="bullet"/>
      <w:start w:val="1"/>
    </w:lvl>
  </w:abstractNum>
  <w:abstractNum w:abstractNumId="116">
    <w:nsid w:val="29BACF25"/>
    <w:multiLevelType w:val="hybridMultilevel"/>
    <w:lvl w:ilvl="0">
      <w:lvlJc w:val="left"/>
      <w:lvlText w:val="%1."/>
      <w:numFmt w:val="decimal"/>
      <w:start w:val="1"/>
    </w:lvl>
  </w:abstractNum>
  <w:abstractNum w:abstractNumId="117">
    <w:nsid w:val="5D5BABB3"/>
    <w:multiLevelType w:val="hybridMultilevel"/>
    <w:lvl w:ilvl="0">
      <w:lvlJc w:val="left"/>
      <w:lvlText w:val="%1."/>
      <w:numFmt w:val="decimal"/>
      <w:start w:val="3"/>
    </w:lvl>
    <w:lvl w:ilvl="1">
      <w:lvlJc w:val="left"/>
      <w:lvlText w:val="(%2)"/>
      <w:numFmt w:val="lowerLetter"/>
      <w:start w:val="1"/>
    </w:lvl>
  </w:abstractNum>
  <w:abstractNum w:abstractNumId="118">
    <w:nsid w:val="51BF6B48"/>
    <w:multiLevelType w:val="hybridMultilevel"/>
    <w:lvl w:ilvl="0">
      <w:lvlJc w:val="left"/>
      <w:lvlText w:val="(%1)"/>
      <w:numFmt w:val="lowerLetter"/>
      <w:start w:val="2"/>
    </w:lvl>
  </w:abstractNum>
  <w:abstractNum w:abstractNumId="119">
    <w:nsid w:val="7E0F6384"/>
    <w:multiLevelType w:val="hybridMultilevel"/>
    <w:lvl w:ilvl="0">
      <w:lvlJc w:val="left"/>
      <w:lvlText w:val="(%1)"/>
      <w:numFmt w:val="lowerLetter"/>
      <w:start w:val="3"/>
    </w:lvl>
  </w:abstractNum>
  <w:abstractNum w:abstractNumId="120">
    <w:nsid w:val="2B4B8B53"/>
    <w:multiLevelType w:val="hybridMultilevel"/>
    <w:lvl w:ilvl="0">
      <w:lvlJc w:val="left"/>
      <w:lvlText w:val="%1."/>
      <w:numFmt w:val="decimal"/>
      <w:start w:val="1"/>
    </w:lvl>
  </w:abstractNum>
  <w:abstractNum w:abstractNumId="121">
    <w:nsid w:val="72E3413A"/>
    <w:multiLevelType w:val="hybridMultilevel"/>
    <w:lvl w:ilvl="0">
      <w:lvlJc w:val="left"/>
      <w:lvlText w:val="%1."/>
      <w:numFmt w:val="decimal"/>
      <w:start w:val="3"/>
    </w:lvl>
  </w:abstractNum>
  <w:abstractNum w:abstractNumId="122">
    <w:nsid w:val="116AE494"/>
    <w:multiLevelType w:val="hybridMultilevel"/>
    <w:lvl w:ilvl="0">
      <w:lvlJc w:val="left"/>
      <w:lvlText w:val="%1."/>
      <w:numFmt w:val="decimal"/>
      <w:start w:val="5"/>
    </w:lvl>
  </w:abstractNum>
  <w:abstractNum w:abstractNumId="123">
    <w:nsid w:val="3494B2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24">
    <w:nsid w:val="B13A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25">
    <w:nsid w:val="6442959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6">
    <w:nsid w:val="631F1690"/>
    <w:multiLevelType w:val="hybridMultilevel"/>
    <w:lvl w:ilvl="0">
      <w:lvlJc w:val="left"/>
      <w:lvlText w:val="%1"/>
      <w:numFmt w:val="decimal"/>
      <w:start w:val="1"/>
    </w:lvl>
    <w:lvl w:ilvl="1">
      <w:lvlJc w:val="left"/>
      <w:lvlText w:val="(%2)"/>
      <w:numFmt w:val="lowerLetter"/>
      <w:start w:val="2"/>
    </w:lvl>
  </w:abstractNum>
  <w:abstractNum w:abstractNumId="127">
    <w:nsid w:val="25973E32"/>
    <w:multiLevelType w:val="hybridMultilevel"/>
    <w:lvl w:ilvl="0">
      <w:lvlJc w:val="left"/>
      <w:lvlText w:val="%1."/>
      <w:numFmt w:val="decimal"/>
      <w:start w:val="5"/>
    </w:lvl>
    <w:lvl w:ilvl="1">
      <w:lvlJc w:val="left"/>
      <w:lvlText w:val="(%2)"/>
      <w:numFmt w:val="lowerLetter"/>
      <w:start w:val="1"/>
    </w:lvl>
  </w:abstractNum>
  <w:abstractNum w:abstractNumId="128">
    <w:nsid w:val="EAD6F57"/>
    <w:multiLevelType w:val="hybridMultilevel"/>
    <w:lvl w:ilvl="0">
      <w:lvlJc w:val="left"/>
      <w:lvlText w:val="%1."/>
      <w:numFmt w:val="decimal"/>
      <w:start w:val="7"/>
    </w:lvl>
    <w:lvl w:ilvl="1">
      <w:lvlJc w:val="left"/>
      <w:lvlText w:val="(%2)"/>
      <w:numFmt w:val="lowerLetter"/>
      <w:start w:val="1"/>
    </w:lvl>
  </w:abstractNum>
  <w:abstractNum w:abstractNumId="129">
    <w:nsid w:val="6EC9D844"/>
    <w:multiLevelType w:val="hybridMultilevel"/>
    <w:lvl w:ilvl="0">
      <w:lvlJc w:val="left"/>
      <w:lvlText w:val="%1."/>
      <w:numFmt w:val="decimal"/>
      <w:start w:val="9"/>
    </w:lvl>
  </w:abstractNum>
  <w:abstractNum w:abstractNumId="130">
    <w:nsid w:val="5C49EAEE"/>
    <w:multiLevelType w:val="hybridMultilevel"/>
    <w:lvl w:ilvl="0">
      <w:lvlJc w:val="left"/>
      <w:lvlText w:val="%1."/>
      <w:numFmt w:val="decimal"/>
      <w:start w:val="10"/>
    </w:lvl>
  </w:abstractNum>
  <w:abstractNum w:abstractNumId="131">
    <w:nsid w:val="64AF49B"/>
    <w:multiLevelType w:val="hybridMultilevel"/>
    <w:lvl w:ilvl="0">
      <w:lvlJc w:val="left"/>
      <w:lvlText w:val="%1"/>
      <w:numFmt w:val="decimal"/>
      <w:start w:val="1"/>
    </w:lvl>
    <w:lvl w:ilvl="1">
      <w:lvlJc w:val="left"/>
      <w:lvlText w:val="(%2)"/>
      <w:numFmt w:val="lowerLetter"/>
      <w:start w:val="1"/>
    </w:lvl>
  </w:abstractNum>
  <w:abstractNum w:abstractNumId="132">
    <w:nsid w:val="397C46BC"/>
    <w:multiLevelType w:val="hybridMultilevel"/>
    <w:lvl w:ilvl="0">
      <w:lvlJc w:val="left"/>
      <w:lvlText w:val="%1."/>
      <w:numFmt w:val="decimal"/>
      <w:start w:val="11"/>
    </w:lvl>
    <w:lvl w:ilvl="1">
      <w:lvlJc w:val="left"/>
      <w:lvlText w:val="%2"/>
      <w:numFmt w:val="lowerLetter"/>
      <w:start w:val="1"/>
    </w:lvl>
  </w:abstractNum>
  <w:abstractNum w:abstractNumId="133">
    <w:nsid w:val="7E448DE9"/>
    <w:multiLevelType w:val="hybridMultilevel"/>
    <w:lvl w:ilvl="0">
      <w:lvlJc w:val="left"/>
      <w:lvlText w:val="%1."/>
      <w:numFmt w:val="decimal"/>
      <w:start w:val="1"/>
    </w:lvl>
  </w:abstractNum>
  <w:abstractNum w:abstractNumId="134">
    <w:nsid w:val="5A9CC3E5"/>
    <w:multiLevelType w:val="hybridMultilevel"/>
    <w:lvl w:ilvl="0">
      <w:lvlJc w:val="left"/>
      <w:lvlText w:val="1"/>
      <w:numFmt w:val="bullet"/>
      <w:start w:val="1"/>
    </w:lvl>
  </w:abstractNum>
  <w:abstractNum w:abstractNumId="135">
    <w:nsid w:val="1AFE3625"/>
    <w:multiLevelType w:val="hybridMultilevel"/>
    <w:lvl w:ilvl="0">
      <w:lvlJc w:val="left"/>
      <w:lvlText w:val="(%1)"/>
      <w:numFmt w:val="lowerRoman"/>
      <w:start w:val="1"/>
    </w:lvl>
  </w:abstractNum>
  <w:abstractNum w:abstractNumId="136">
    <w:nsid w:val="3CA88ECF"/>
    <w:multiLevelType w:val="hybridMultilevel"/>
    <w:lvl w:ilvl="0">
      <w:lvlJc w:val="left"/>
      <w:lvlText w:val="2"/>
      <w:numFmt w:val="bullet"/>
      <w:start w:val="1"/>
    </w:lvl>
  </w:abstractNum>
  <w:abstractNum w:abstractNumId="137">
    <w:nsid w:val="6EBE4208"/>
    <w:multiLevelType w:val="hybridMultilevel"/>
    <w:lvl w:ilvl="0">
      <w:lvlJc w:val="left"/>
      <w:lvlText w:val="(%1)"/>
      <w:numFmt w:val="lowerLetter"/>
      <w:start w:val="2"/>
    </w:lvl>
  </w:abstractNum>
  <w:abstractNum w:abstractNumId="138">
    <w:nsid w:val="C058DF5"/>
    <w:multiLevelType w:val="hybridMultilevel"/>
    <w:lvl w:ilvl="0">
      <w:lvlJc w:val="left"/>
      <w:lvlText w:val="3"/>
      <w:numFmt w:val="bullet"/>
      <w:start w:val="1"/>
    </w:lvl>
  </w:abstractNum>
  <w:abstractNum w:abstractNumId="139">
    <w:nsid w:val="CBE5BE9"/>
    <w:multiLevelType w:val="hybridMultilevel"/>
    <w:lvl w:ilvl="0">
      <w:lvlJc w:val="left"/>
      <w:lvlText w:val="4"/>
      <w:numFmt w:val="bullet"/>
      <w:start w:val="1"/>
    </w:lvl>
  </w:abstractNum>
  <w:abstractNum w:abstractNumId="140">
    <w:nsid w:val="3102BBE2"/>
    <w:multiLevelType w:val="hybridMultilevel"/>
    <w:lvl w:ilvl="0">
      <w:lvlJc w:val="left"/>
      <w:lvlText w:val="5"/>
      <w:numFmt w:val="bullet"/>
      <w:start w:val="1"/>
    </w:lvl>
  </w:abstractNum>
  <w:abstractNum w:abstractNumId="141">
    <w:nsid w:val="26A02C5E"/>
    <w:multiLevelType w:val="hybridMultilevel"/>
    <w:lvl w:ilvl="0">
      <w:lvlJc w:val="left"/>
      <w:lvlText w:val="6"/>
      <w:numFmt w:val="bullet"/>
      <w:start w:val="1"/>
    </w:lvl>
  </w:abstractNum>
  <w:abstractNum w:abstractNumId="142">
    <w:nsid w:val="541C8153"/>
    <w:multiLevelType w:val="hybridMultilevel"/>
    <w:lvl w:ilvl="0">
      <w:lvlJc w:val="left"/>
      <w:lvlText w:val="7"/>
      <w:numFmt w:val="bullet"/>
      <w:start w:val="1"/>
    </w:lvl>
  </w:abstractNum>
  <w:abstractNum w:abstractNumId="143">
    <w:nsid w:val="67906F60"/>
    <w:multiLevelType w:val="hybridMultilevel"/>
    <w:lvl w:ilvl="0">
      <w:lvlJc w:val="left"/>
      <w:lvlText w:val="8"/>
      <w:numFmt w:val="bullet"/>
      <w:start w:val="1"/>
    </w:lvl>
  </w:abstractNum>
  <w:abstractNum w:abstractNumId="144">
    <w:nsid w:val="10DB9DAA"/>
    <w:multiLevelType w:val="hybridMultilevel"/>
    <w:lvl w:ilvl="0">
      <w:lvlJc w:val="left"/>
      <w:lvlText w:val="(%1)"/>
      <w:numFmt w:val="decimal"/>
      <w:start w:val="10"/>
    </w:lvl>
  </w:abstractNum>
  <w:abstractNum w:abstractNumId="145">
    <w:nsid w:val="697D2D2"/>
    <w:multiLevelType w:val="hybridMultilevel"/>
    <w:lvl w:ilvl="0">
      <w:lvlJc w:val="left"/>
      <w:lvlText w:val="(%1)"/>
      <w:numFmt w:val="lowerLetter"/>
      <w:start w:val="1"/>
    </w:lvl>
  </w:abstractNum>
  <w:abstractNum w:abstractNumId="146">
    <w:nsid w:val="6D68AB2"/>
    <w:multiLevelType w:val="hybridMultilevel"/>
    <w:lvl w:ilvl="0">
      <w:lvlJc w:val="left"/>
      <w:lvlText w:val="(%1)"/>
      <w:numFmt w:val="upperLetter"/>
      <w:start w:val="1"/>
    </w:lvl>
  </w:abstractNum>
  <w:abstractNum w:abstractNumId="147">
    <w:nsid w:val="3A966CD0"/>
    <w:multiLevelType w:val="hybridMultilevel"/>
    <w:lvl w:ilvl="0">
      <w:lvlJc w:val="left"/>
      <w:lvlText w:val="%1."/>
      <w:numFmt w:val="decimal"/>
      <w:start w:val="1"/>
    </w:lvl>
  </w:abstractNum>
  <w:abstractNum w:abstractNumId="148">
    <w:nsid w:val="63F37E85"/>
    <w:multiLevelType w:val="hybridMultilevel"/>
    <w:lvl w:ilvl="0">
      <w:lvlJc w:val="left"/>
      <w:lvlText w:val="(%1)"/>
      <w:numFmt w:val="lowerRoman"/>
      <w:start w:val="1"/>
    </w:lvl>
  </w:abstractNum>
  <w:abstractNum w:abstractNumId="149">
    <w:nsid w:val="5895F5FA"/>
    <w:multiLevelType w:val="hybridMultilevel"/>
    <w:lvl w:ilvl="0">
      <w:lvlJc w:val="left"/>
      <w:lvlText w:val="(%1)"/>
      <w:numFmt w:val="lowerLetter"/>
      <w:start w:val="1"/>
    </w:lvl>
  </w:abstractNum>
  <w:abstractNum w:abstractNumId="150">
    <w:nsid w:val="38A5D054"/>
    <w:multiLevelType w:val="hybridMultilevel"/>
    <w:lvl w:ilvl="0">
      <w:lvlJc w:val="left"/>
      <w:lvlText w:val="%1"/>
      <w:numFmt w:val="upperLetter"/>
      <w:start w:val="1"/>
    </w:lvl>
    <w:lvl w:ilvl="1">
      <w:lvlJc w:val="left"/>
      <w:lvlText w:val="(%2)"/>
      <w:numFmt w:val="lowerLetter"/>
      <w:start w:val="2"/>
    </w:lvl>
  </w:abstractNum>
  <w:abstractNum w:abstractNumId="151">
    <w:nsid w:val="F3F09D8"/>
    <w:multiLevelType w:val="hybridMultilevel"/>
    <w:lvl w:ilvl="0">
      <w:lvlJc w:val="left"/>
      <w:lvlText w:val="%1."/>
      <w:numFmt w:val="upperLetter"/>
      <w:start w:val="2"/>
    </w:lvl>
    <w:lvl w:ilvl="1">
      <w:lvlJc w:val="left"/>
      <w:lvlText w:val="%2"/>
      <w:numFmt w:val="lowerLetter"/>
      <w:start w:val="1"/>
    </w:lvl>
  </w:abstractNum>
  <w:abstractNum w:abstractNumId="152">
    <w:nsid w:val="4B793735"/>
    <w:multiLevelType w:val="hybridMultilevel"/>
    <w:lvl w:ilvl="0">
      <w:lvlJc w:val="left"/>
      <w:lvlText w:val="%1."/>
      <w:numFmt w:val="decimal"/>
      <w:start w:val="1"/>
    </w:lvl>
  </w:abstractNum>
  <w:abstractNum w:abstractNumId="153">
    <w:nsid w:val="4A10B4E8"/>
    <w:multiLevelType w:val="hybridMultilevel"/>
    <w:lvl w:ilvl="0">
      <w:lvlJc w:val="left"/>
      <w:lvlText w:val="[●]"/>
      <w:numFmt w:val="bullet"/>
      <w:start w:val="1"/>
    </w:lvl>
    <w:lvl w:ilvl="1">
      <w:lvlJc w:val="left"/>
      <w:lvlText w:val="%2."/>
      <w:numFmt w:val="decimal"/>
      <w:start w:val="1"/>
    </w:lvl>
  </w:abstractNum>
  <w:abstractNum w:abstractNumId="154">
    <w:nsid w:val="43D3BCD4"/>
    <w:multiLevelType w:val="hybridMultilevel"/>
    <w:lvl w:ilvl="0">
      <w:lvlJc w:val="left"/>
      <w:lvlText w:val="%1."/>
      <w:numFmt w:val="decimal"/>
      <w:start w:val="4"/>
    </w:lvl>
  </w:abstractNum>
  <w:abstractNum w:abstractNumId="155">
    <w:nsid w:val="4C2A7166"/>
    <w:multiLevelType w:val="hybridMultilevel"/>
    <w:lvl w:ilvl="0">
      <w:lvlJc w:val="left"/>
      <w:lvlText w:val="%1."/>
      <w:numFmt w:val="decimal"/>
      <w:start w:val="1"/>
    </w:lvl>
  </w:abstractNum>
  <w:abstractNum w:abstractNumId="156">
    <w:nsid w:val="2E534A82"/>
    <w:multiLevelType w:val="hybridMultilevel"/>
    <w:lvl w:ilvl="0">
      <w:lvlJc w:val="left"/>
      <w:lvlText w:val="%1."/>
      <w:numFmt w:val="decimal"/>
      <w:start w:val="3"/>
    </w:lvl>
  </w:abstractNum>
  <w:abstractNum w:abstractNumId="157">
    <w:nsid w:val="26F2D364"/>
    <w:multiLevelType w:val="hybridMultilevel"/>
    <w:lvl w:ilvl="0">
      <w:lvlJc w:val="left"/>
      <w:lvlText w:val="%1."/>
      <w:numFmt w:val="decimal"/>
      <w:start w:val="1"/>
    </w:lvl>
  </w:abstractNum>
  <w:abstractNum w:abstractNumId="158">
    <w:nsid w:val="71C1AF98"/>
    <w:multiLevelType w:val="hybridMultilevel"/>
    <w:lvl w:ilvl="0">
      <w:lvlJc w:val="left"/>
      <w:lvlText w:val="%1."/>
      <w:numFmt w:val="decimal"/>
      <w:start w:val="1"/>
    </w:lvl>
  </w:abstractNum>
  <w:abstractNum w:abstractNumId="159">
    <w:nsid w:val="3D00B9D9"/>
    <w:multiLevelType w:val="hybridMultilevel"/>
    <w:lvl w:ilvl="0">
      <w:lvlJc w:val="left"/>
      <w:lvlText w:val="(%1)"/>
      <w:numFmt w:val="lowerLetter"/>
      <w:start w:val="1"/>
    </w:lvl>
  </w:abstractNum>
  <w:abstractNum w:abstractNumId="160">
    <w:nsid w:val="15BCABA8"/>
    <w:multiLevelType w:val="hybridMultilevel"/>
    <w:lvl w:ilvl="0">
      <w:lvlJc w:val="left"/>
      <w:lvlText w:val="(%1)"/>
      <w:numFmt w:val="decimal"/>
      <w:start w:val="1"/>
    </w:lvl>
  </w:abstractNum>
  <w:abstractNum w:abstractNumId="161">
    <w:nsid w:val="4E0B9A87"/>
    <w:multiLevelType w:val="hybridMultilevel"/>
    <w:lvl w:ilvl="0">
      <w:lvlJc w:val="left"/>
      <w:lvlText w:val="(%1)"/>
      <w:numFmt w:val="decimal"/>
      <w:start w:val="2"/>
    </w:lvl>
    <w:lvl w:ilvl="1">
      <w:lvlJc w:val="left"/>
      <w:lvlText w:val="(%2)"/>
      <w:numFmt w:val="lowerRoman"/>
      <w:start w:val="4"/>
    </w:lvl>
    <w:lvl w:ilvl="2">
      <w:lvlJc w:val="left"/>
      <w:lvlText w:val="(%3)"/>
      <w:numFmt w:val="upperLetter"/>
      <w:start w:val="1"/>
    </w:lvl>
  </w:abstractNum>
  <w:abstractNum w:abstractNumId="162">
    <w:nsid w:val="434BAE75"/>
    <w:multiLevelType w:val="hybridMultilevel"/>
    <w:lvl w:ilvl="0">
      <w:lvlJc w:val="left"/>
      <w:lvlText w:val="%1"/>
      <w:numFmt w:val="decimal"/>
      <w:start w:val="1"/>
    </w:lvl>
    <w:lvl w:ilvl="1">
      <w:lvlJc w:val="left"/>
      <w:lvlText w:val="(%2)"/>
      <w:numFmt w:val="lowerRoman"/>
      <w:start w:val="7"/>
    </w:lvl>
    <w:lvl w:ilvl="2">
      <w:lvlJc w:val="left"/>
      <w:lvlText w:val="(%3)"/>
      <w:numFmt w:val="upperLetter"/>
      <w:start w:val="2"/>
    </w:lvl>
  </w:abstractNum>
  <w:abstractNum w:abstractNumId="163">
    <w:nsid w:val="4F38F265"/>
    <w:multiLevelType w:val="hybridMultilevel"/>
    <w:lvl w:ilvl="0">
      <w:lvlJc w:val="left"/>
      <w:lvlText w:val="(%1)"/>
      <w:numFmt w:val="upperLetter"/>
      <w:start w:val="3"/>
    </w:lvl>
  </w:abstractNum>
  <w:abstractNum w:abstractNumId="164">
    <w:nsid w:val="4C502870"/>
    <w:multiLevelType w:val="hybridMultilevel"/>
    <w:lvl w:ilvl="0">
      <w:lvlJc w:val="left"/>
      <w:lvlText w:val="%1"/>
      <w:numFmt w:val="decimal"/>
      <w:start w:val="1"/>
    </w:lvl>
    <w:lvl w:ilvl="1">
      <w:lvlJc w:val="left"/>
      <w:lvlText w:val="(%2)"/>
      <w:numFmt w:val="decimal"/>
      <w:start w:val="3"/>
    </w:lvl>
  </w:abstractNum>
  <w:abstractNum w:abstractNumId="165">
    <w:nsid w:val="1DE8725A"/>
    <w:multiLevelType w:val="hybridMultilevel"/>
    <w:lvl w:ilvl="0">
      <w:lvlJc w:val="left"/>
      <w:lvlText w:val="(%1)"/>
      <w:numFmt w:val="decimal"/>
      <w:start w:val="10"/>
    </w:lvl>
    <w:lvl w:ilvl="1">
      <w:lvlJc w:val="left"/>
      <w:lvlText w:val="(%2)"/>
      <w:numFmt w:val="decimal"/>
      <w:start w:val="4"/>
    </w:lvl>
  </w:abstractNum>
  <w:abstractNum w:abstractNumId="166">
    <w:nsid w:val="6A37288A"/>
    <w:multiLevelType w:val="hybridMultilevel"/>
    <w:lvl w:ilvl="0">
      <w:lvlJc w:val="left"/>
      <w:lvlText w:val="(%1)"/>
      <w:numFmt w:val="lowerLetter"/>
      <w:start w:val="2"/>
    </w:lvl>
  </w:abstractNum>
  <w:abstractNum w:abstractNumId="167">
    <w:nsid w:val="8F8B73F"/>
    <w:multiLevelType w:val="hybridMultilevel"/>
    <w:lvl w:ilvl="0">
      <w:lvlJc w:val="left"/>
      <w:lvlText w:val="(%1)"/>
      <w:numFmt w:val="decimal"/>
      <w:start w:val="1"/>
    </w:lvl>
  </w:abstractNum>
  <w:abstractNum w:abstractNumId="168">
    <w:nsid w:val="CA6B462"/>
    <w:multiLevelType w:val="hybridMultilevel"/>
    <w:lvl w:ilvl="0">
      <w:lvlJc w:val="left"/>
      <w:lvlText w:val="(%1)"/>
      <w:numFmt w:val="decimal"/>
      <w:start w:val="2"/>
    </w:lvl>
  </w:abstractNum>
  <w:abstractNum w:abstractNumId="169">
    <w:nsid w:val="763CB680"/>
    <w:multiLevelType w:val="hybridMultilevel"/>
    <w:lvl w:ilvl="0">
      <w:lvlJc w:val="left"/>
      <w:lvlText w:val="(%1)"/>
      <w:numFmt w:val="lowerLetter"/>
      <w:start w:val="3"/>
    </w:lvl>
  </w:abstractNum>
  <w:abstractNum w:abstractNumId="170">
    <w:nsid w:val="15B71329"/>
    <w:multiLevelType w:val="hybridMultilevel"/>
    <w:lvl w:ilvl="0">
      <w:lvlJc w:val="left"/>
      <w:lvlText w:val="%1"/>
      <w:numFmt w:val="lowerLetter"/>
      <w:start w:val="1"/>
    </w:lvl>
    <w:lvl w:ilvl="1">
      <w:lvlJc w:val="left"/>
      <w:lvlText w:val="(%2)"/>
      <w:numFmt w:val="lowerLetter"/>
      <w:start w:val="1"/>
    </w:lvl>
  </w:abstractNum>
  <w:abstractNum w:abstractNumId="171">
    <w:nsid w:val="3DA97044"/>
    <w:multiLevelType w:val="hybridMultilevel"/>
    <w:lvl w:ilvl="0">
      <w:lvlJc w:val="left"/>
      <w:lvlText w:val="(%1)"/>
      <w:numFmt w:val="lowerLetter"/>
      <w:start w:val="35"/>
    </w:lvl>
    <w:lvl w:ilvl="1">
      <w:lvlJc w:val="left"/>
      <w:lvlText w:val="%2"/>
      <w:numFmt w:val="lowerLetter"/>
      <w:start w:val="1"/>
    </w:lvl>
  </w:abstractNum>
  <w:abstractNum w:abstractNumId="172">
    <w:nsid w:val="1CDCE2DE"/>
    <w:multiLevelType w:val="hybridMultilevel"/>
    <w:lvl w:ilvl="0">
      <w:lvlJc w:val="left"/>
      <w:lvlText w:val="(%1)"/>
      <w:numFmt w:val="lowerRoman"/>
      <w:start w:val="2"/>
    </w:lvl>
  </w:abstractNum>
  <w:abstractNum w:abstractNumId="173">
    <w:nsid w:val="69D3947C"/>
    <w:multiLevelType w:val="hybridMultilevel"/>
    <w:lvl w:ilvl="0">
      <w:lvlJc w:val="left"/>
      <w:lvlText w:val="(%1)"/>
      <w:numFmt w:val="lowerLetter"/>
      <w:start w:val="1"/>
    </w:lvl>
  </w:abstractNum>
  <w:abstractNum w:abstractNumId="174">
    <w:nsid w:val="2539DFA5"/>
    <w:multiLevelType w:val="hybridMultilevel"/>
    <w:lvl w:ilvl="0">
      <w:lvlJc w:val="left"/>
      <w:lvlText w:val="(%1)"/>
      <w:numFmt w:val="lowerLetter"/>
      <w:start w:val="5"/>
    </w:lvl>
  </w:abstractNum>
  <w:abstractNum w:abstractNumId="175">
    <w:nsid w:val="2DB88089"/>
    <w:multiLevelType w:val="hybridMultilevel"/>
    <w:lvl w:ilvl="0">
      <w:lvlJc w:val="left"/>
      <w:lvlText w:val="(%1)"/>
      <w:numFmt w:val="lowerLetter"/>
      <w:start w:val="1"/>
    </w:lvl>
    <w:lvl w:ilvl="1">
      <w:lvlJc w:val="left"/>
      <w:lvlText w:val="(%2)"/>
      <w:numFmt w:val="decimal"/>
      <w:start w:val="1"/>
    </w:lvl>
  </w:abstractNum>
  <w:abstractNum w:abstractNumId="176">
    <w:nsid w:val="706B674E"/>
    <w:multiLevelType w:val="hybridMultilevel"/>
    <w:lvl w:ilvl="0">
      <w:lvlJc w:val="left"/>
      <w:lvlText w:val="(%1)"/>
      <w:numFmt w:val="decimal"/>
      <w:start w:val="3"/>
    </w:lvl>
  </w:abstractNum>
  <w:abstractNum w:abstractNumId="177">
    <w:nsid w:val="2C106A57"/>
    <w:multiLevelType w:val="hybridMultilevel"/>
    <w:lvl w:ilvl="0">
      <w:lvlJc w:val="left"/>
      <w:lvlText w:val="(%1)"/>
      <w:numFmt w:val="lowerLetter"/>
      <w:start w:val="1"/>
    </w:lvl>
  </w:abstractNum>
  <w:abstractNum w:abstractNumId="178">
    <w:nsid w:val="684EED59"/>
    <w:multiLevelType w:val="hybridMultilevel"/>
    <w:lvl w:ilvl="0">
      <w:lvlJc w:val="left"/>
      <w:lvlText w:val="(%1)"/>
      <w:numFmt w:val="lowerLetter"/>
      <w:start w:val="1"/>
    </w:lvl>
  </w:abstractNum>
  <w:abstractNum w:abstractNumId="179">
    <w:nsid w:val="545EE5D3"/>
    <w:multiLevelType w:val="hybridMultilevel"/>
    <w:lvl w:ilvl="0">
      <w:lvlJc w:val="left"/>
      <w:lvlText w:val="(%1)"/>
      <w:numFmt w:val="lowerLetter"/>
      <w:start w:val="1"/>
    </w:lvl>
  </w:abstractNum>
  <w:abstractNum w:abstractNumId="180">
    <w:nsid w:val="4A66051"/>
    <w:multiLevelType w:val="hybridMultilevel"/>
    <w:lvl w:ilvl="0">
      <w:lvlJc w:val="left"/>
      <w:lvlText w:val="(%1)"/>
      <w:numFmt w:val="lowerLetter"/>
      <w:start w:val="2"/>
    </w:lvl>
  </w:abstractNum>
  <w:abstractNum w:abstractNumId="181">
    <w:nsid w:val="20F4BDAD"/>
    <w:multiLevelType w:val="hybridMultilevel"/>
    <w:lvl w:ilvl="0">
      <w:lvlJc w:val="left"/>
      <w:lvlText w:val="(%1)"/>
      <w:numFmt w:val="lowerLetter"/>
      <w:start w:val="1"/>
    </w:lvl>
  </w:abstractNum>
  <w:abstractNum w:abstractNumId="182">
    <w:nsid w:val="639DEFAC"/>
    <w:multiLevelType w:val="hybridMultilevel"/>
    <w:lvl w:ilvl="0">
      <w:lvlJc w:val="left"/>
      <w:lvlText w:val="(%1)"/>
      <w:numFmt w:val="lowerLetter"/>
      <w:start w:val="1"/>
    </w:lvl>
    <w:lvl w:ilvl="1">
      <w:lvlJc w:val="left"/>
      <w:lvlText w:val="(%2)"/>
      <w:numFmt w:val="lowerRoman"/>
      <w:start w:val="1"/>
    </w:lvl>
  </w:abstractNum>
  <w:abstractNum w:abstractNumId="183">
    <w:nsid w:val="501F9786"/>
    <w:multiLevelType w:val="hybridMultilevel"/>
    <w:lvl w:ilvl="0">
      <w:lvlJc w:val="left"/>
      <w:lvlText w:val="(%1)"/>
      <w:numFmt w:val="lowerLetter"/>
      <w:start w:val="3"/>
    </w:lvl>
  </w:abstractNum>
  <w:abstractNum w:abstractNumId="184">
    <w:nsid w:val="6B057295"/>
    <w:multiLevelType w:val="hybridMultilevel"/>
    <w:lvl w:ilvl="0">
      <w:lvlJc w:val="left"/>
      <w:lvlText w:val="%1"/>
      <w:numFmt w:val="lowerLetter"/>
      <w:start w:val="1"/>
    </w:lvl>
    <w:lvl w:ilvl="1">
      <w:lvlJc w:val="left"/>
      <w:lvlText w:val="(%2)"/>
      <w:numFmt w:val="lowerLetter"/>
      <w:start w:val="1"/>
    </w:lvl>
  </w:abstractNum>
  <w:abstractNum w:abstractNumId="185">
    <w:nsid w:val="2771AC80"/>
    <w:multiLevelType w:val="hybridMultilevel"/>
    <w:lvl w:ilvl="0">
      <w:lvlJc w:val="left"/>
      <w:lvlText w:val="(%1)"/>
      <w:numFmt w:val="lowerLetter"/>
      <w:start w:val="35"/>
    </w:lvl>
    <w:lvl w:ilvl="1">
      <w:lvlJc w:val="left"/>
      <w:lvlText w:val="%2"/>
      <w:numFmt w:val="lowerLetter"/>
      <w:start w:val="1"/>
    </w:lvl>
  </w:abstractNum>
  <w:abstractNum w:abstractNumId="186">
    <w:nsid w:val="1C4A08EC"/>
    <w:multiLevelType w:val="hybridMultilevel"/>
    <w:lvl w:ilvl="0">
      <w:lvlJc w:val="left"/>
      <w:lvlText w:val="9"/>
      <w:numFmt w:val="bullet"/>
      <w:start w:val="1"/>
    </w:lvl>
  </w:abstractNum>
  <w:abstractNum w:abstractNumId="187">
    <w:nsid w:val="1958BD17"/>
    <w:multiLevelType w:val="hybridMultilevel"/>
    <w:lvl w:ilvl="0">
      <w:lvlJc w:val="left"/>
      <w:lvlText w:val="(%1)"/>
      <w:numFmt w:val="lowerLetter"/>
      <w:start w:val="3"/>
    </w:lvl>
  </w:abstractNum>
  <w:abstractNum w:abstractNumId="188">
    <w:nsid w:val="4E647FE4"/>
    <w:multiLevelType w:val="hybridMultilevel"/>
    <w:lvl w:ilvl="0">
      <w:lvlJc w:val="left"/>
      <w:lvlText w:val="(%1)"/>
      <w:numFmt w:val="lowerLetter"/>
      <w:start w:val="1"/>
    </w:lvl>
  </w:abstractNum>
  <w:abstractNum w:abstractNumId="189">
    <w:nsid w:val="E0BB885"/>
    <w:multiLevelType w:val="hybridMultilevel"/>
    <w:lvl w:ilvl="0">
      <w:lvlJc w:val="left"/>
      <w:lvlText w:val="(%1)"/>
      <w:numFmt w:val="lowerLetter"/>
      <w:start w:val="2"/>
    </w:lvl>
    <w:lvl w:ilvl="1">
      <w:lvlJc w:val="left"/>
      <w:lvlText w:val="(%2)"/>
      <w:numFmt w:val="lowerRoman"/>
      <w:start w:val="1"/>
    </w:lvl>
  </w:abstractNum>
  <w:abstractNum w:abstractNumId="190">
    <w:nsid w:val="565976F1"/>
    <w:multiLevelType w:val="hybridMultilevel"/>
    <w:lvl w:ilvl="0">
      <w:lvlJc w:val="left"/>
      <w:lvlText w:val="(%1)"/>
      <w:numFmt w:val="lowerLetter"/>
      <w:start w:val="6"/>
    </w:lvl>
  </w:abstractNum>
  <w:abstractNum w:abstractNumId="191">
    <w:nsid w:val="64212B8C"/>
    <w:multiLevelType w:val="hybridMultilevel"/>
    <w:lvl w:ilvl="0">
      <w:lvlJc w:val="left"/>
      <w:lvlText w:val="(%1)"/>
      <w:numFmt w:val="lowerLetter"/>
      <w:start w:val="1"/>
    </w:lvl>
  </w:abstractNum>
  <w:abstractNum w:abstractNumId="192">
    <w:nsid w:val="5C17530C"/>
    <w:multiLevelType w:val="hybridMultilevel"/>
    <w:lvl w:ilvl="0">
      <w:lvlJc w:val="left"/>
      <w:lvlText w:val="(%1)"/>
      <w:numFmt w:val="lowerLetter"/>
      <w:start w:val="1"/>
    </w:lvl>
  </w:abstractNum>
  <w:abstractNum w:abstractNumId="193">
    <w:nsid w:val="19A52566"/>
    <w:multiLevelType w:val="hybridMultilevel"/>
    <w:lvl w:ilvl="0">
      <w:lvlJc w:val="left"/>
      <w:lvlText w:val="(%1)"/>
      <w:numFmt w:val="lowerLetter"/>
      <w:start w:val="3"/>
    </w:lvl>
  </w:abstractNum>
  <w:abstractNum w:abstractNumId="194">
    <w:nsid w:val="335A1DF1"/>
    <w:multiLevelType w:val="hybridMultilevel"/>
    <w:lvl w:ilvl="0">
      <w:lvlJc w:val="left"/>
      <w:lvlText w:val="(%1)"/>
      <w:numFmt w:val="lowerLetter"/>
      <w:start w:val="1"/>
    </w:lvl>
  </w:abstractNum>
  <w:abstractNum w:abstractNumId="195">
    <w:nsid w:val="28677B7C"/>
    <w:multiLevelType w:val="hybridMultilevel"/>
    <w:lvl w:ilvl="0">
      <w:lvlJc w:val="left"/>
      <w:lvlText w:val="(%1)"/>
      <w:numFmt w:val="lowerLetter"/>
      <w:start w:val="3"/>
    </w:lvl>
  </w:abstractNum>
  <w:abstractNum w:abstractNumId="196">
    <w:nsid w:val="378D97C0"/>
    <w:multiLevelType w:val="hybridMultilevel"/>
    <w:lvl w:ilvl="0">
      <w:lvlJc w:val="left"/>
      <w:lvlText w:val="(%1)"/>
      <w:numFmt w:val="lowerLetter"/>
      <w:start w:val="1"/>
    </w:lvl>
  </w:abstractNum>
  <w:abstractNum w:abstractNumId="197">
    <w:nsid w:val="1D91467C"/>
    <w:multiLevelType w:val="hybridMultilevel"/>
    <w:lvl w:ilvl="0">
      <w:lvlJc w:val="left"/>
      <w:lvlText w:val="(%1)"/>
      <w:numFmt w:val="lowerLetter"/>
      <w:start w:val="1"/>
    </w:lvl>
  </w:abstractNum>
  <w:abstractNum w:abstractNumId="198">
    <w:nsid w:val="316032BB"/>
    <w:multiLevelType w:val="hybridMultilevel"/>
    <w:lvl w:ilvl="0">
      <w:lvlJc w:val="left"/>
      <w:lvlText w:val="(%1)"/>
      <w:numFmt w:val="lowerLetter"/>
      <w:start w:val="1"/>
    </w:lvl>
  </w:abstractNum>
  <w:abstractNum w:abstractNumId="199">
    <w:nsid w:val="44344C22"/>
    <w:multiLevelType w:val="hybridMultilevel"/>
    <w:lvl w:ilvl="0">
      <w:lvlJc w:val="left"/>
      <w:lvlText w:val="(%1)"/>
      <w:numFmt w:val="lowerLetter"/>
      <w:start w:val="1"/>
    </w:lvl>
    <w:lvl w:ilvl="1">
      <w:lvlJc w:val="left"/>
      <w:lvlText w:val="(%2)"/>
      <w:numFmt w:val="lowerRoman"/>
      <w:start w:val="1"/>
    </w:lvl>
  </w:abstractNum>
  <w:abstractNum w:abstractNumId="200">
    <w:nsid w:val="13CDFCFC"/>
    <w:multiLevelType w:val="hybridMultilevel"/>
    <w:lvl w:ilvl="0">
      <w:lvlJc w:val="left"/>
      <w:lvlText w:val="(%1)"/>
      <w:numFmt w:val="lowerLetter"/>
      <w:start w:val="1"/>
    </w:lvl>
  </w:abstractNum>
  <w:abstractNum w:abstractNumId="201">
    <w:nsid w:val="471745E4"/>
    <w:multiLevelType w:val="hybridMultilevel"/>
    <w:lvl w:ilvl="0">
      <w:lvlJc w:val="left"/>
      <w:lvlText w:val="(%1)"/>
      <w:numFmt w:val="lowerLetter"/>
      <w:start w:val="6"/>
    </w:lvl>
  </w:abstractNum>
  <w:abstractNum w:abstractNumId="202">
    <w:nsid w:val="1DDBC66"/>
    <w:multiLevelType w:val="hybridMultilevel"/>
    <w:lvl w:ilvl="0">
      <w:lvlJc w:val="left"/>
      <w:lvlText w:val="%1."/>
      <w:numFmt w:val="decimal"/>
      <w:start w:val="1"/>
    </w:lvl>
  </w:abstractNum>
  <w:abstractNum w:abstractNumId="203">
    <w:nsid w:val="30AADFDA"/>
    <w:multiLevelType w:val="hybridMultilevel"/>
    <w:lvl w:ilvl="0">
      <w:lvlJc w:val="left"/>
      <w:lvlText w:val="(%1)"/>
      <w:numFmt w:val="lowerLetter"/>
      <w:start w:val="1"/>
    </w:lvl>
  </w:abstractNum>
  <w:abstractNum w:abstractNumId="204">
    <w:nsid w:val="30EADA61"/>
    <w:multiLevelType w:val="hybridMultilevel"/>
    <w:lvl w:ilvl="0">
      <w:lvlJc w:val="left"/>
      <w:lvlText w:val="(%1)"/>
      <w:numFmt w:val="lowerLetter"/>
      <w:start w:val="1"/>
    </w:lvl>
  </w:abstractNum>
  <w:abstractNum w:abstractNumId="205">
    <w:nsid w:val="27179C0B"/>
    <w:multiLevelType w:val="hybridMultilevel"/>
    <w:lvl w:ilvl="0">
      <w:lvlJc w:val="left"/>
      <w:lvlText w:val="(%1)"/>
      <w:numFmt w:val="lowerLetter"/>
      <w:start w:val="3"/>
    </w:lvl>
  </w:abstractNum>
  <w:abstractNum w:abstractNumId="206">
    <w:nsid w:val="5E636063"/>
    <w:multiLevelType w:val="hybridMultilevel"/>
    <w:lvl w:ilvl="0">
      <w:lvlJc w:val="left"/>
      <w:lvlText w:val="(%1)"/>
      <w:numFmt w:val="lowerLetter"/>
      <w:start w:val="1"/>
    </w:lvl>
  </w:abstractNum>
  <w:abstractNum w:abstractNumId="207">
    <w:nsid w:val="215641AF"/>
    <w:multiLevelType w:val="hybridMultilevel"/>
    <w:lvl w:ilvl="0">
      <w:lvlJc w:val="left"/>
      <w:lvlText w:val="(%1)"/>
      <w:numFmt w:val="lowerLetter"/>
      <w:start w:val="2"/>
    </w:lvl>
  </w:abstractNum>
  <w:abstractNum w:abstractNumId="208">
    <w:nsid w:val="53280662"/>
    <w:multiLevelType w:val="hybridMultilevel"/>
    <w:lvl w:ilvl="0">
      <w:lvlJc w:val="left"/>
      <w:lvlText w:val="%1"/>
      <w:numFmt w:val="decimal"/>
      <w:start w:val="10"/>
    </w:lvl>
  </w:abstractNum>
  <w:abstractNum w:abstractNumId="209">
    <w:nsid w:val="46B24DBC"/>
    <w:multiLevelType w:val="hybridMultilevel"/>
    <w:lvl w:ilvl="0">
      <w:lvlJc w:val="left"/>
      <w:lvlText w:val="%1."/>
      <w:numFmt w:val="decimal"/>
      <w:start w:val="1"/>
    </w:lvl>
  </w:abstractNum>
  <w:abstractNum w:abstractNumId="210">
    <w:nsid w:val="75B5278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1">
    <w:nsid w:val="57CE66B4"/>
    <w:multiLevelType w:val="hybridMultilevel"/>
    <w:lvl w:ilvl="0">
      <w:lvlJc w:val="left"/>
      <w:lvlText w:val="%1"/>
      <w:numFmt w:val="upperLetter"/>
      <w:start w:val="1"/>
    </w:lvl>
    <w:lvl w:ilvl="1">
      <w:lvlJc w:val="left"/>
      <w:lvlText w:val="%2."/>
      <w:numFmt w:val="lowerLetter"/>
      <w:start w:val="3"/>
    </w:lvl>
  </w:abstractNum>
  <w:abstractNum w:abstractNumId="212">
    <w:nsid w:val="67A70B69"/>
    <w:multiLevelType w:val="hybridMultilevel"/>
    <w:lvl w:ilvl="0">
      <w:lvlJc w:val="left"/>
      <w:lvlText w:val="(%1)"/>
      <w:numFmt w:val="upperLetter"/>
      <w:start w:val="2"/>
    </w:lvl>
    <w:lvl w:ilvl="1">
      <w:lvlJc w:val="left"/>
      <w:lvlText w:val="%2."/>
      <w:numFmt w:val="lowerLetter"/>
      <w:start w:val="5"/>
    </w:lvl>
  </w:abstractNum>
  <w:abstractNum w:abstractNumId="213">
    <w:nsid w:val="5953172F"/>
    <w:multiLevelType w:val="hybridMultilevel"/>
    <w:lvl w:ilvl="0">
      <w:lvlJc w:val="left"/>
      <w:lvlText w:val="%1."/>
      <w:numFmt w:val="lowerLetter"/>
      <w:start w:val="13"/>
    </w:lvl>
  </w:abstractNum>
  <w:abstractNum w:abstractNumId="214">
    <w:nsid w:val="27EDFE3A"/>
    <w:multiLevelType w:val="hybridMultilevel"/>
    <w:lvl w:ilvl="0">
      <w:lvlJc w:val="left"/>
      <w:lvlText w:val="%1."/>
      <w:numFmt w:val="decimal"/>
      <w:start w:val="6"/>
    </w:lvl>
    <w:lvl w:ilvl="1">
      <w:lvlJc w:val="left"/>
      <w:lvlText w:val="%2."/>
      <w:numFmt w:val="lowerLetter"/>
      <w:start w:val="1"/>
    </w:lvl>
  </w:abstractNum>
  <w:abstractNum w:abstractNumId="215">
    <w:nsid w:val="52AC7DFF"/>
    <w:multiLevelType w:val="hybridMultilevel"/>
    <w:lvl w:ilvl="0">
      <w:lvlJc w:val="left"/>
      <w:lvlText w:val="%1."/>
      <w:numFmt w:val="lowerLetter"/>
      <w:start w:val="13"/>
    </w:lvl>
  </w:abstractNum>
  <w:abstractNum w:abstractNumId="216">
    <w:nsid w:val="C4C3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8"/>
    </w:lvl>
  </w:abstractNum>
  <w:abstractNum w:abstractNumId="217">
    <w:nsid w:val="44380727"/>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218">
    <w:nsid w:val="6C053B16"/>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219">
    <w:nsid w:val="4F294393"/>
    <w:multiLevelType w:val="hybridMultilevel"/>
    <w:lvl w:ilvl="0">
      <w:lvlJc w:val="left"/>
      <w:lvlText w:val="%1."/>
      <w:numFmt w:val="lowerLetter"/>
      <w:start w:val="3"/>
    </w:lvl>
  </w:abstractNum>
  <w:abstractNum w:abstractNumId="220">
    <w:nsid w:val="5243BFAC"/>
    <w:multiLevelType w:val="hybridMultilevel"/>
    <w:lvl w:ilvl="0">
      <w:lvlJc w:val="left"/>
      <w:lvlText w:val="%1."/>
      <w:numFmt w:val="lowerLetter"/>
      <w:start w:val="5"/>
    </w:lvl>
  </w:abstractNum>
  <w:abstractNum w:abstractNumId="221">
    <w:nsid w:val="425EB207"/>
    <w:multiLevelType w:val="hybridMultilevel"/>
    <w:lvl w:ilvl="0">
      <w:lvlJc w:val="left"/>
      <w:lvlText w:val="%1."/>
      <w:numFmt w:val="decimal"/>
      <w:start w:val="8"/>
    </w:lvl>
    <w:lvl w:ilvl="1">
      <w:lvlJc w:val="left"/>
      <w:lvlText w:val="%2."/>
      <w:numFmt w:val="lowerLetter"/>
      <w:start w:val="1"/>
    </w:lvl>
  </w:abstractNum>
  <w:abstractNum w:abstractNumId="222">
    <w:nsid w:val="334A6F1F"/>
    <w:multiLevelType w:val="hybridMultilevel"/>
    <w:lvl w:ilvl="0">
      <w:lvlJc w:val="left"/>
      <w:lvlText w:val="%1."/>
      <w:numFmt w:val="lowerLetter"/>
      <w:start w:val="5"/>
    </w:lvl>
  </w:abstractNum>
  <w:abstractNum w:abstractNumId="223">
    <w:nsid w:val="2E5B12B8"/>
    <w:multiLevelType w:val="hybridMultilevel"/>
    <w:lvl w:ilvl="0">
      <w:lvlJc w:val="left"/>
      <w:lvlText w:val="%1."/>
      <w:numFmt w:val="lowerLetter"/>
      <w:start w:val="6"/>
    </w:lvl>
  </w:abstractNum>
  <w:abstractNum w:abstractNumId="224">
    <w:nsid w:val="5C03D76D"/>
    <w:multiLevelType w:val="hybridMultilevel"/>
    <w:lvl w:ilvl="0">
      <w:lvlJc w:val="left"/>
      <w:lvlText w:val="%1."/>
      <w:numFmt w:val="lowerLetter"/>
      <w:start w:val="13"/>
    </w:lvl>
  </w:abstractNum>
  <w:abstractNum w:abstractNumId="225">
    <w:nsid w:val="66A48D11"/>
    <w:multiLevelType w:val="hybridMultilevel"/>
    <w:lvl w:ilvl="0">
      <w:lvlJc w:val="left"/>
      <w:lvlText w:val="%1."/>
      <w:numFmt w:val="decimal"/>
      <w:start w:val="11"/>
    </w:lvl>
  </w:abstractNum>
  <w:abstractNum w:abstractNumId="226">
    <w:nsid w:val="56C28E34"/>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227">
    <w:nsid w:val="13916F2D"/>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228">
    <w:nsid w:val="435D38D"/>
    <w:multiLevelType w:val="hybridMultilevel"/>
    <w:lvl w:ilvl="0">
      <w:lvlJc w:val="left"/>
      <w:lvlText w:val="%1."/>
      <w:numFmt w:val="decimal"/>
      <w:start w:val="1"/>
    </w:lvl>
  </w:abstractNum>
  <w:abstractNum w:abstractNumId="229">
    <w:nsid w:val="822C0EF"/>
    <w:multiLevelType w:val="hybridMultilevel"/>
    <w:lvl w:ilvl="0">
      <w:lvlJc w:val="left"/>
      <w:lvlText w:val="☐"/>
      <w:numFmt w:val="bullet"/>
      <w:start w:val="1"/>
    </w:lvl>
  </w:abstractNum>
  <w:abstractNum w:abstractNumId="230">
    <w:nsid w:val="57C5BB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1">
    <w:nsid w:val="1803D089"/>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abstractNum>
  <w:abstractNum w:abstractNumId="232">
    <w:nsid w:val="4F3A06D4"/>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33">
    <w:nsid w:val="59A377B6"/>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234">
    <w:nsid w:val="48AEB063"/>
    <w:multiLevelType w:val="hybridMultilevel"/>
    <w:lvl w:ilvl="0">
      <w:lvlJc w:val="left"/>
      <w:lvlText w:val="%1."/>
      <w:numFmt w:val="decimal"/>
      <w:start w:val="3"/>
    </w:lvl>
    <w:lvl w:ilvl="1">
      <w:lvlJc w:val="left"/>
      <w:lvlText w:val="(%2)"/>
      <w:numFmt w:val="lowerLetter"/>
      <w:start w:val="1"/>
    </w:lvl>
  </w:abstractNum>
  <w:abstractNum w:abstractNumId="235">
    <w:nsid w:val="24E13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236">
    <w:nsid w:val="BB13C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37">
    <w:nsid w:val="271210C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38">
    <w:nsid w:val="217B22E4"/>
    <w:multiLevelType w:val="hybridMultilevel"/>
    <w:lvl w:ilvl="0">
      <w:lvlJc w:val="left"/>
      <w:lvlText w:val="%1."/>
      <w:numFmt w:val="decimal"/>
      <w:start w:val="5"/>
    </w:lvl>
  </w:abstractNum>
  <w:abstractNum w:abstractNumId="239">
    <w:nsid w:val="53E31A24"/>
    <w:multiLevelType w:val="hybridMultilevel"/>
    <w:lvl w:ilvl="0">
      <w:lvlJc w:val="left"/>
      <w:lvlText w:val="%1."/>
      <w:numFmt w:val="decimal"/>
      <w:start w:val="8"/>
    </w:lvl>
  </w:abstractNum>
  <w:abstractNum w:abstractNumId="240">
    <w:nsid w:val="6DC45E83"/>
    <w:multiLevelType w:val="hybridMultilevel"/>
    <w:lvl w:ilvl="0">
      <w:lvlJc w:val="left"/>
      <w:lvlText w:val="%1."/>
      <w:numFmt w:val="decimal"/>
      <w:start w:val="1"/>
    </w:lvl>
  </w:abstractNum>
  <w:abstractNum w:abstractNumId="241">
    <w:nsid w:val="17304A67"/>
    <w:multiLevelType w:val="hybridMultilevel"/>
    <w:lvl w:ilvl="0">
      <w:lvlJc w:val="left"/>
      <w:lvlText w:val="%1."/>
      <w:numFmt w:val="decimal"/>
      <w:start w:val="1"/>
    </w:lvl>
  </w:abstractNum>
  <w:abstractNum w:abstractNumId="242">
    <w:nsid w:val="2BB180D8"/>
    <w:multiLevelType w:val="hybridMultilevel"/>
    <w:lvl w:ilvl="0">
      <w:lvlJc w:val="left"/>
      <w:lvlText w:val="%1."/>
      <w:numFmt w:val="decimal"/>
      <w:start w:val="2"/>
    </w:lvl>
  </w:abstractNum>
  <w:abstractNum w:abstractNumId="243">
    <w:nsid w:val="556B69ED"/>
    <w:multiLevelType w:val="hybridMultilevel"/>
    <w:lvl w:ilvl="0">
      <w:lvlJc w:val="left"/>
      <w:lvlText w:val="(%1)"/>
      <w:numFmt w:val="lowerLetter"/>
      <w:start w:val="1"/>
    </w:lvl>
  </w:abstractNum>
  <w:abstractNum w:abstractNumId="244">
    <w:nsid w:val="70836196"/>
    <w:multiLevelType w:val="hybridMultilevel"/>
    <w:lvl w:ilvl="0">
      <w:lvlJc w:val="left"/>
      <w:lvlText w:val="(%1)"/>
      <w:numFmt w:val="lowerLetter"/>
      <w:start w:val="3"/>
    </w:lvl>
  </w:abstractNum>
  <w:abstractNum w:abstractNumId="245">
    <w:nsid w:val="539F7F12"/>
    <w:multiLevelType w:val="hybridMultilevel"/>
    <w:lvl w:ilvl="0">
      <w:lvlJc w:val="left"/>
      <w:lvlText w:val="%1."/>
      <w:numFmt w:val="decimal"/>
      <w:start w:val="6"/>
    </w:lvl>
  </w:abstractNum>
  <w:abstractNum w:abstractNumId="246">
    <w:nsid w:val="2817E7EC"/>
    <w:multiLevelType w:val="hybridMultilevel"/>
    <w:lvl w:ilvl="0">
      <w:lvlJc w:val="left"/>
      <w:lvlText w:val="(%1)"/>
      <w:numFmt w:val="lowerLetter"/>
      <w:start w:val="1"/>
    </w:lvl>
  </w:abstractNum>
  <w:abstractNum w:abstractNumId="247">
    <w:nsid w:val="71482545"/>
    <w:multiLevelType w:val="hybridMultilevel"/>
    <w:lvl w:ilvl="0">
      <w:lvlJc w:val="left"/>
      <w:lvlText w:val="(%1)"/>
      <w:numFmt w:val="lowerLetter"/>
      <w:start w:val="3"/>
    </w:lvl>
  </w:abstractNum>
  <w:abstractNum w:abstractNumId="248">
    <w:nsid w:val="17D7863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2020-10-20T05:09:12Z</dcterms:created>
  <dcterms:modified xsi:type="dcterms:W3CDTF">2020-10-20T05:09:12Z</dcterms:modified>
</cp:coreProperties>
</file>