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20"/>
        <w:spacing w:after="0"/>
        <w:rPr>
          <w:sz w:val="20"/>
          <w:szCs w:val="20"/>
          <w:color w:val="auto"/>
        </w:rPr>
      </w:pPr>
      <w:r>
        <w:rPr>
          <w:rFonts w:ascii="Arial" w:cs="Arial" w:eastAsia="Arial" w:hAnsi="Arial"/>
          <w:sz w:val="18"/>
          <w:szCs w:val="18"/>
          <w:b w:val="1"/>
          <w:bCs w:val="1"/>
          <w:color w:val="auto"/>
        </w:rPr>
        <w:t>Gemini Therapeutics, Inc.</w:t>
      </w:r>
    </w:p>
    <w:p>
      <w:pPr>
        <w:ind w:left="4280"/>
        <w:spacing w:after="0" w:line="205" w:lineRule="auto"/>
        <w:rPr>
          <w:sz w:val="20"/>
          <w:szCs w:val="20"/>
          <w:color w:val="auto"/>
        </w:rPr>
      </w:pPr>
      <w:r>
        <w:rPr>
          <w:rFonts w:ascii="Arial" w:cs="Arial" w:eastAsia="Arial" w:hAnsi="Arial"/>
          <w:sz w:val="18"/>
          <w:szCs w:val="18"/>
          <w:b w:val="1"/>
          <w:bCs w:val="1"/>
          <w:color w:val="auto"/>
        </w:rPr>
        <w:t>300 One Kendall Square, 3</w:t>
      </w:r>
      <w:r>
        <w:rPr>
          <w:rFonts w:ascii="Arial" w:cs="Arial" w:eastAsia="Arial" w:hAnsi="Arial"/>
          <w:sz w:val="29"/>
          <w:szCs w:val="29"/>
          <w:b w:val="1"/>
          <w:bCs w:val="1"/>
          <w:color w:val="auto"/>
          <w:vertAlign w:val="superscript"/>
        </w:rPr>
        <w:t>rd</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Cambridge, MA 02139</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April 26,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Transmission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Gemini Therapeutics, Inc.: Registration Statement on Form S-1/A filed March 29, 2021 (File No. 333-253175)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ind w:firstLine="648"/>
        <w:spacing w:after="0" w:line="303" w:lineRule="auto"/>
        <w:rPr>
          <w:sz w:val="20"/>
          <w:szCs w:val="20"/>
          <w:color w:val="auto"/>
        </w:rPr>
      </w:pPr>
      <w:r>
        <w:rPr>
          <w:rFonts w:ascii="Arial" w:cs="Arial" w:eastAsia="Arial" w:hAnsi="Arial"/>
          <w:sz w:val="16"/>
          <w:szCs w:val="16"/>
          <w:color w:val="auto"/>
        </w:rPr>
        <w:t>Pursuant to Rule 461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Gemini Therapeutics, Inc. (the “</w:t>
      </w:r>
      <w:r>
        <w:rPr>
          <w:rFonts w:ascii="Arial" w:cs="Arial" w:eastAsia="Arial" w:hAnsi="Arial"/>
          <w:sz w:val="16"/>
          <w:szCs w:val="16"/>
          <w:b w:val="1"/>
          <w:bCs w:val="1"/>
          <w:color w:val="auto"/>
        </w:rPr>
        <w:t>Company</w:t>
      </w:r>
      <w:r>
        <w:rPr>
          <w:rFonts w:ascii="Arial" w:cs="Arial" w:eastAsia="Arial" w:hAnsi="Arial"/>
          <w:sz w:val="16"/>
          <w:szCs w:val="16"/>
          <w:color w:val="auto"/>
        </w:rPr>
        <w:t>”) hereby requests that the effective date of the above-referenced registration statement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be accelerated to April 28, 2021, at 4:01 pm Eastern Time, or as soon thereafter as practicable, unless we or our outside counsel, Goodwin Procter LLP, request by telephone that such Registration Statement be declared effective at some other time. In making this acceleration request, the Company acknowledges that it is aware of its responsibilities under the Act.</w:t>
      </w:r>
    </w:p>
    <w:p>
      <w:pPr>
        <w:spacing w:after="0" w:line="15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If you have any questions regarding this request, please contact Laurie Burlingame of Goodwin Procter LLP at (617) 570-1879.</w:t>
      </w:r>
    </w:p>
    <w:p>
      <w:pPr>
        <w:spacing w:after="0" w:line="225"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Gemini Therapeutics, Inc.</w:t>
      </w:r>
    </w:p>
    <w:p>
      <w:pPr>
        <w:spacing w:after="0" w:line="225"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/s/ Jason Meyenburg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Jason Meyenburg</w:t>
      </w:r>
    </w:p>
    <w:p>
      <w:pPr>
        <w:spacing w:after="0" w:line="23"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4"/>
          <w:szCs w:val="24"/>
          <w:color w:val="auto"/>
        </w:rPr>
      </w:pPr>
    </w:p>
    <w:p>
      <w:pPr>
        <w:ind w:left="660" w:right="7100" w:hanging="652"/>
        <w:spacing w:after="0" w:line="311"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Brian Piekos, </w:t>
      </w:r>
      <w:r>
        <w:rPr>
          <w:rFonts w:ascii="Arial" w:cs="Arial" w:eastAsia="Arial" w:hAnsi="Arial"/>
          <w:sz w:val="16"/>
          <w:szCs w:val="16"/>
          <w:i w:val="1"/>
          <w:iCs w:val="1"/>
          <w:color w:val="auto"/>
        </w:rPr>
        <w:t>Gemini Therapeutics, Inc.</w:t>
      </w:r>
      <w:r>
        <w:rPr>
          <w:rFonts w:ascii="Arial" w:cs="Arial" w:eastAsia="Arial" w:hAnsi="Arial"/>
          <w:sz w:val="16"/>
          <w:szCs w:val="16"/>
          <w:color w:val="auto"/>
        </w:rPr>
        <w:t xml:space="preserve"> Mitchell Bloom, Esq., </w:t>
      </w:r>
      <w:r>
        <w:rPr>
          <w:rFonts w:ascii="Arial" w:cs="Arial" w:eastAsia="Arial" w:hAnsi="Arial"/>
          <w:sz w:val="16"/>
          <w:szCs w:val="16"/>
          <w:i w:val="1"/>
          <w:iCs w:val="1"/>
          <w:color w:val="auto"/>
        </w:rPr>
        <w:t>Goodwin Procter LLP</w:t>
      </w:r>
      <w:r>
        <w:rPr>
          <w:rFonts w:ascii="Arial" w:cs="Arial" w:eastAsia="Arial" w:hAnsi="Arial"/>
          <w:sz w:val="16"/>
          <w:szCs w:val="16"/>
          <w:color w:val="auto"/>
        </w:rPr>
        <w:t xml:space="preserve"> Laurie Burlingame, Esq., </w:t>
      </w:r>
      <w:r>
        <w:rPr>
          <w:rFonts w:ascii="Arial" w:cs="Arial" w:eastAsia="Arial" w:hAnsi="Arial"/>
          <w:sz w:val="16"/>
          <w:szCs w:val="16"/>
          <w:i w:val="1"/>
          <w:iCs w:val="1"/>
          <w:color w:val="auto"/>
        </w:rPr>
        <w:t>Goodwin Procter LLP</w:t>
      </w:r>
    </w:p>
    <w:sectPr>
      <w:pgSz w:w="11900" w:h="16838" w:orient="portrait"/>
      <w:cols w:equalWidth="0" w:num="1">
        <w:col w:w="11220"/>
      </w:cols>
      <w:pgMar w:left="320" w:top="47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2021-05-26T23:06:50Z</dcterms:created>
  <dcterms:modified xsi:type="dcterms:W3CDTF">2021-05-26T23:06:50Z</dcterms:modified>
</cp:coreProperties>
</file>