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_____________________ to _____________________</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001-39438</w:t>
      </w:r>
    </w:p>
    <w:p>
      <w:pPr>
        <w:spacing w:after="0" w:line="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5"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6660" w:type="dxa"/>
            <w:vAlign w:val="bottom"/>
            <w:gridSpan w:val="3"/>
          </w:tcPr>
          <w:p>
            <w:pPr>
              <w:ind w:left="24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bottom w:val="single" w:sz="8" w:color="auto"/>
            </w:tcBorders>
          </w:tcPr>
          <w:p>
            <w:pPr>
              <w:spacing w:after="0"/>
              <w:rPr>
                <w:sz w:val="5"/>
                <w:szCs w:val="5"/>
                <w:color w:val="auto"/>
              </w:rPr>
            </w:pPr>
          </w:p>
        </w:tc>
        <w:tc>
          <w:tcPr>
            <w:tcW w:w="1080" w:type="dxa"/>
            <w:vAlign w:val="bottom"/>
            <w:vMerge w:val="restart"/>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85-1612845</w:t>
            </w: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660" w:type="dxa"/>
            <w:vAlign w:val="bottom"/>
            <w:gridSpan w:val="3"/>
          </w:tcPr>
          <w:p>
            <w:pPr>
              <w:jc w:val="center"/>
              <w:ind w:right="33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1100" w:type="dxa"/>
            <w:vAlign w:val="bottom"/>
          </w:tcPr>
          <w:p>
            <w:pPr>
              <w:jc w:val="center"/>
              <w:ind w:left="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47"/>
        </w:trPr>
        <w:tc>
          <w:tcPr>
            <w:tcW w:w="6660" w:type="dxa"/>
            <w:vAlign w:val="bottom"/>
            <w:gridSpan w:val="3"/>
          </w:tcPr>
          <w:p>
            <w:pPr>
              <w:jc w:val="center"/>
              <w:ind w:right="3340"/>
              <w:spacing w:after="0" w:line="147"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00" w:type="dxa"/>
            <w:vAlign w:val="bottom"/>
          </w:tcPr>
          <w:p>
            <w:pPr>
              <w:jc w:val="center"/>
              <w:ind w:left="46"/>
              <w:spacing w:after="0" w:line="147"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8"/>
        </w:trPr>
        <w:tc>
          <w:tcPr>
            <w:tcW w:w="6660" w:type="dxa"/>
            <w:vAlign w:val="bottom"/>
            <w:gridSpan w:val="3"/>
          </w:tcPr>
          <w:p>
            <w:pPr>
              <w:jc w:val="center"/>
              <w:ind w:right="3340"/>
              <w:spacing w:after="0" w:line="239" w:lineRule="exact"/>
              <w:rPr>
                <w:sz w:val="20"/>
                <w:szCs w:val="20"/>
                <w:color w:val="auto"/>
              </w:rPr>
            </w:pPr>
            <w:r>
              <w:rPr>
                <w:rFonts w:ascii="Times New Roman" w:cs="Times New Roman" w:eastAsia="Times New Roman" w:hAnsi="Times New Roman"/>
                <w:sz w:val="18"/>
                <w:szCs w:val="18"/>
                <w:b w:val="1"/>
                <w:bCs w:val="1"/>
                <w:color w:val="auto"/>
                <w:w w:val="99"/>
              </w:rPr>
              <w:t>297 Boston Post Road #248, Wayland, MA</w:t>
            </w:r>
            <w:r>
              <w:rPr>
                <w:rFonts w:ascii="Times New Roman" w:cs="Times New Roman" w:eastAsia="Times New Roman" w:hAnsi="Times New Roman"/>
                <w:sz w:val="24"/>
                <w:szCs w:val="24"/>
                <w:b w:val="1"/>
                <w:bCs w:val="1"/>
                <w:color w:val="auto"/>
                <w:w w:val="99"/>
                <w:vertAlign w:val="superscript"/>
              </w:rPr>
              <w:t>1</w:t>
            </w:r>
          </w:p>
        </w:tc>
        <w:tc>
          <w:tcPr>
            <w:tcW w:w="11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01778</w:t>
            </w:r>
          </w:p>
        </w:tc>
        <w:tc>
          <w:tcPr>
            <w:tcW w:w="0" w:type="dxa"/>
            <w:vAlign w:val="bottom"/>
          </w:tcPr>
          <w:p>
            <w:pPr>
              <w:spacing w:after="0"/>
              <w:rPr>
                <w:sz w:val="1"/>
                <w:szCs w:val="1"/>
                <w:color w:val="auto"/>
              </w:rPr>
            </w:pPr>
          </w:p>
        </w:tc>
      </w:tr>
      <w:tr>
        <w:trPr>
          <w:trHeight w:val="166"/>
        </w:trPr>
        <w:tc>
          <w:tcPr>
            <w:tcW w:w="6660" w:type="dxa"/>
            <w:vAlign w:val="bottom"/>
            <w:gridSpan w:val="3"/>
          </w:tcPr>
          <w:p>
            <w:pPr>
              <w:jc w:val="center"/>
              <w:ind w:right="334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0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GMTX</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509"/>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44" w:lineRule="exact"/>
        <w:rPr>
          <w:sz w:val="24"/>
          <w:szCs w:val="24"/>
          <w:color w:val="auto"/>
        </w:rPr>
      </w:pPr>
    </w:p>
    <w:p>
      <w:pPr>
        <w:ind w:right="180" w:firstLine="50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jc w:val="both"/>
        <w:ind w:right="300" w:firstLine="509"/>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2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April 29, 2022, the registrant had 43,227,159 shares of common stock, $0.0001 par value per share, outstanding.</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1</w:t>
      </w:r>
      <w:r>
        <w:rPr>
          <w:rFonts w:ascii="Times New Roman" w:cs="Times New Roman" w:eastAsia="Times New Roman" w:hAnsi="Times New Roman"/>
          <w:sz w:val="16"/>
          <w:szCs w:val="16"/>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which are made pursuant to the safe harbor provisions of Section 27A of the Securities Act of 1933, as amended, and Section 21E of the Securities Exchange Act of 1934, as amended (the “Exchange Act”). These forward-looking statements relate to expectations for future financial performance, business strategies or expectations for our business. 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 Specifically, forward-looking statements may include, but are not limited to, statements relating to or about:</w:t>
      </w:r>
    </w:p>
    <w:p>
      <w:pPr>
        <w:spacing w:after="0" w:line="200" w:lineRule="exact"/>
        <w:rPr>
          <w:sz w:val="20"/>
          <w:szCs w:val="20"/>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regarding our strategic alternative review process and the timing and success of such process regarding a potential transaction;</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restructuring, and the savings benefits we except to receive from the restructuring;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changes required in, our current officers, key employees or directors;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1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and any available data therefrom to demonstrate acceptable safety and efficacy of our product candidates, including GEM103, our lead product candidate;</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any clinical trials for GEM103 and our other product candidates, to the extent relevant, including statements regarding the timing of initiation and completion of studies or trials and related preparatory work,</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if any, will become available, and our research and development programs;</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21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approvals of our product candidates and to meet existing or future regulatory standards or comply with post-approval requirements, to the extent relevant;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expectations regarding our ability to obtain and maintain intellectual property protection;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government regulations;</w:t>
      </w:r>
    </w:p>
    <w:p>
      <w:pPr>
        <w:spacing w:after="0" w:line="21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expectations regarding developments and projections relating to our competitors and any competing therapies that are or become available;</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our competitors and industry;</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executive, financial and strategic alternatives teams;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profitability and, to the extent we continue to operate our business, the need for additional capital;</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business related expenditures;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 or the negative of these terms, are intended to identify forward-looking statements, although not all forward-looking statements contain these identifying words.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or all forward-looking statements may turn out to be incorrect.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6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strategic alternative process disrupts current plans and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any strategic alternative process or a potential strategic transaction;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strategic alternative process or a potential strategic transaction;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loss of key employees disrupts our operations and our ability to achieve our plans and strategy;</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geopolitical, business, and/or competitive factors; and</w:t>
      </w:r>
    </w:p>
    <w:p>
      <w:pPr>
        <w:spacing w:after="0" w:line="21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of our 2021 Annual Report on Form 10-K entitled “Risk Factors” and our other filings with the U.S. Securities and Exchange Commission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1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563C1"/>
              <w:bottom w:val="single" w:sz="8" w:color="0563C1"/>
            </w:tcBorders>
            <w:gridSpan w:val="8"/>
          </w:tcPr>
          <w:p>
            <w:pPr>
              <w:spacing w:after="0" w:line="182" w:lineRule="exact"/>
              <w:rPr>
                <w:sz w:val="20"/>
                <w:szCs w:val="20"/>
                <w:color w:val="auto"/>
              </w:rPr>
            </w:pPr>
            <w:r>
              <w:rPr>
                <w:rFonts w:ascii="Times New Roman" w:cs="Times New Roman" w:eastAsia="Times New Roman" w:hAnsi="Times New Roman"/>
                <w:sz w:val="18"/>
                <w:szCs w:val="18"/>
                <w:color w:val="0563C1"/>
                <w:w w:val="92"/>
              </w:rPr>
              <w:t>Financial Statements (Unaudited)</w:t>
            </w:r>
          </w:p>
        </w:tc>
        <w:tc>
          <w:tcPr>
            <w:tcW w:w="80" w:type="dxa"/>
            <w:vAlign w:val="bottom"/>
            <w:tcBorders>
              <w:bottom w:val="single" w:sz="8" w:color="0563C1"/>
            </w:tcBorders>
          </w:tcPr>
          <w:p>
            <w:pPr>
              <w:spacing w:after="0"/>
              <w:rPr>
                <w:sz w:val="15"/>
                <w:szCs w:val="15"/>
                <w:color w:val="auto"/>
              </w:rPr>
            </w:pPr>
          </w:p>
        </w:tc>
        <w:tc>
          <w:tcPr>
            <w:tcW w:w="80" w:type="dxa"/>
            <w:vAlign w:val="bottom"/>
            <w:tcBorders>
              <w:bottom w:val="single" w:sz="8" w:color="0563C1"/>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563C1"/>
                <w:w w:val="99"/>
              </w:rPr>
              <w:t>Condensed Consolidated Balance</w:t>
            </w:r>
          </w:p>
        </w:tc>
        <w:tc>
          <w:tcPr>
            <w:tcW w:w="6880" w:type="dxa"/>
            <w:vAlign w:val="bottom"/>
            <w:gridSpan w:val="9"/>
          </w:tcPr>
          <w:p>
            <w:pPr>
              <w:ind w:left="60"/>
              <w:spacing w:after="0" w:line="182" w:lineRule="exact"/>
              <w:rPr>
                <w:sz w:val="20"/>
                <w:szCs w:val="20"/>
                <w:color w:val="auto"/>
              </w:rPr>
            </w:pPr>
            <w:r>
              <w:rPr>
                <w:rFonts w:ascii="Times New Roman" w:cs="Times New Roman" w:eastAsia="Times New Roman" w:hAnsi="Times New Roman"/>
                <w:sz w:val="18"/>
                <w:szCs w:val="18"/>
                <w:color w:val="0563C1"/>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563C1"/>
            </w:tcBorders>
            <w:gridSpan w:val="11"/>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w:t>
            </w:r>
          </w:p>
        </w:tc>
        <w:tc>
          <w:tcPr>
            <w:tcW w:w="63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563C1"/>
              </w:rPr>
              <w:t>Operations and Comprehensive Loss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tcBorders>
              <w:top w:val="single" w:sz="8" w:color="0563C1"/>
            </w:tcBorders>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Stockholders’ Equity</w:t>
            </w: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0" w:type="dxa"/>
            <w:vAlign w:val="bottom"/>
            <w:tcBorders>
              <w:top w:val="single" w:sz="8" w:color="0563C1"/>
            </w:tcBorders>
            <w:gridSpan w:val="15"/>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40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563C1"/>
            </w:tcBorders>
            <w:gridSpan w:val="16"/>
          </w:tcPr>
          <w:p>
            <w:pPr>
              <w:spacing w:after="0" w:line="182" w:lineRule="exact"/>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50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563C1"/>
            </w:tcBorders>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3"/>
              </w:rPr>
              <w:t>OTHER INFORMATION</w:t>
            </w:r>
          </w:p>
        </w:tc>
        <w:tc>
          <w:tcPr>
            <w:tcW w:w="100" w:type="dxa"/>
            <w:vAlign w:val="bottom"/>
            <w:tcBorders>
              <w:bottom w:val="single" w:sz="8" w:color="0563C1"/>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563C1"/>
              </w:rPr>
              <w:t>Legal Proceedings</w:t>
            </w: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563C1"/>
            </w:tcBorders>
            <w:gridSpan w:val="4"/>
          </w:tcPr>
          <w:p>
            <w:pPr>
              <w:spacing w:after="0" w:line="182" w:lineRule="exact"/>
              <w:rPr>
                <w:sz w:val="20"/>
                <w:szCs w:val="20"/>
                <w:color w:val="auto"/>
              </w:rPr>
            </w:pPr>
            <w:r>
              <w:rPr>
                <w:rFonts w:ascii="Times New Roman" w:cs="Times New Roman" w:eastAsia="Times New Roman" w:hAnsi="Times New Roman"/>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20" w:type="dxa"/>
            <w:vAlign w:val="bottom"/>
            <w:tcBorders>
              <w:top w:val="single" w:sz="8" w:color="0563C1"/>
            </w:tcBorders>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6"/>
              </w:rPr>
              <w:t>Unregistered</w:t>
            </w:r>
          </w:p>
        </w:tc>
        <w:tc>
          <w:tcPr>
            <w:tcW w:w="8380" w:type="dxa"/>
            <w:vAlign w:val="bottom"/>
            <w:gridSpan w:val="17"/>
          </w:tcPr>
          <w:p>
            <w:pPr>
              <w:ind w:left="60"/>
              <w:spacing w:after="0" w:line="182" w:lineRule="exact"/>
              <w:rPr>
                <w:sz w:val="20"/>
                <w:szCs w:val="20"/>
                <w:color w:val="auto"/>
              </w:rPr>
            </w:pPr>
            <w:r>
              <w:rPr>
                <w:rFonts w:ascii="Times New Roman" w:cs="Times New Roman" w:eastAsia="Times New Roman" w:hAnsi="Times New Roman"/>
                <w:sz w:val="18"/>
                <w:szCs w:val="18"/>
                <w:color w:val="0563C1"/>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563C1"/>
            </w:tcBorders>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563C1"/>
            </w:tcBorders>
            <w:gridSpan w:val="9"/>
          </w:tcPr>
          <w:p>
            <w:pPr>
              <w:spacing w:after="0" w:line="182" w:lineRule="exact"/>
              <w:rPr>
                <w:sz w:val="20"/>
                <w:szCs w:val="20"/>
                <w:color w:val="auto"/>
              </w:rPr>
            </w:pPr>
            <w:r>
              <w:rPr>
                <w:rFonts w:ascii="Times New Roman" w:cs="Times New Roman" w:eastAsia="Times New Roman" w:hAnsi="Times New Roman"/>
                <w:sz w:val="18"/>
                <w:szCs w:val="18"/>
                <w:color w:val="0563C1"/>
              </w:rPr>
              <w:t>Mine Safety Disclosures</w:t>
            </w:r>
          </w:p>
        </w:tc>
        <w:tc>
          <w:tcPr>
            <w:tcW w:w="696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rPr>
              <w:t>Other Information</w:t>
            </w:r>
          </w:p>
        </w:tc>
        <w:tc>
          <w:tcPr>
            <w:tcW w:w="75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line="182" w:lineRule="exact"/>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119,064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140,100</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124,285</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140,437</w:t>
            </w: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1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r>
      <w:tr>
        <w:trPr>
          <w:trHeight w:val="210"/>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1"/>
        </w:trPr>
        <w:tc>
          <w:tcPr>
            <w:tcW w:w="76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as of March 31, 2022 and December 31, 2021</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71"/>
        </w:trPr>
        <w:tc>
          <w:tcPr>
            <w:tcW w:w="76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250,000,000 shares authorized; 43,227,159 and</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66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43,208,159 shares issued and outstanding as of March 31, 2022 and December 31,</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7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2021, respectively</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309,527</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(199,921 )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(184,690 )</w:t>
            </w:r>
          </w:p>
        </w:tc>
      </w:tr>
      <w:tr>
        <w:trPr>
          <w:trHeight w:val="210"/>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111,611</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124,841</w:t>
            </w:r>
          </w:p>
        </w:tc>
        <w:tc>
          <w:tcPr>
            <w:tcW w:w="80" w:type="dxa"/>
            <w:vAlign w:val="bottom"/>
            <w:tcBorders>
              <w:top w:val="single" w:sz="8" w:color="CFF0FC"/>
            </w:tcBorders>
          </w:tcPr>
          <w:p>
            <w:pPr>
              <w:spacing w:after="0"/>
              <w:rPr>
                <w:sz w:val="18"/>
                <w:szCs w:val="18"/>
                <w:color w:val="auto"/>
              </w:rPr>
            </w:pPr>
          </w:p>
        </w:tc>
      </w:tr>
      <w:tr>
        <w:trPr>
          <w:trHeight w:val="209"/>
        </w:trPr>
        <w:tc>
          <w:tcPr>
            <w:tcW w:w="7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124,285</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140,437</w:t>
            </w: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-3899535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-3899535</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-3342640</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-3342640</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-1645285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-1645285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-453390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-453390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8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8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(0.35 )</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(0.59 )</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43,212,803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32,027,161</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-1422400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-1422400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-299720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-282575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160" w:type="dxa"/>
            <w:vAlign w:val="bottom"/>
          </w:tcPr>
          <w:p>
            <w:pPr>
              <w:spacing w:after="0"/>
              <w:rPr>
                <w:sz w:val="3"/>
                <w:szCs w:val="3"/>
                <w:color w:val="auto"/>
              </w:rPr>
            </w:pPr>
          </w:p>
        </w:tc>
        <w:tc>
          <w:tcPr>
            <w:tcW w:w="18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020" w:type="dxa"/>
            <w:vAlign w:val="bottom"/>
            <w:gridSpan w:val="3"/>
            <w:vMerge w:val="restart"/>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Old Gemini</w:t>
            </w: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3"/>
                <w:szCs w:val="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3"/>
                <w:szCs w:val="3"/>
                <w:color w:val="auto"/>
              </w:rPr>
            </w:pP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line="20" w:lineRule="exact"/>
              <w:rPr>
                <w:sz w:val="1"/>
                <w:szCs w:val="1"/>
                <w:color w:val="auto"/>
              </w:rPr>
            </w:pPr>
          </w:p>
        </w:tc>
      </w:tr>
      <w:tr>
        <w:trPr>
          <w:trHeight w:val="115"/>
        </w:trPr>
        <w:tc>
          <w:tcPr>
            <w:tcW w:w="216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380" w:type="dxa"/>
            <w:vAlign w:val="bottom"/>
            <w:gridSpan w:val="3"/>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74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Convertible Preferred Stock</w:t>
            </w:r>
          </w:p>
        </w:tc>
        <w:tc>
          <w:tcPr>
            <w:tcW w:w="1760" w:type="dxa"/>
            <w:vAlign w:val="bottom"/>
            <w:tcBorders>
              <w:right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Convertible Preferred Stock</w:t>
            </w: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2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w:t>
            </w:r>
          </w:p>
        </w:tc>
        <w:tc>
          <w:tcPr>
            <w:tcW w:w="0" w:type="dxa"/>
            <w:vAlign w:val="bottom"/>
          </w:tcPr>
          <w:p>
            <w:pPr>
              <w:spacing w:after="0"/>
              <w:rPr>
                <w:sz w:val="1"/>
                <w:szCs w:val="1"/>
                <w:color w:val="auto"/>
              </w:rPr>
            </w:pPr>
          </w:p>
        </w:tc>
      </w:tr>
      <w:tr>
        <w:trPr>
          <w:trHeight w:val="155"/>
        </w:trPr>
        <w:tc>
          <w:tcPr>
            <w:tcW w:w="216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right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3"/>
                <w:szCs w:val="13"/>
                <w:color w:val="auto"/>
              </w:rPr>
            </w:pPr>
          </w:p>
        </w:tc>
        <w:tc>
          <w:tcPr>
            <w:tcW w:w="7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1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3"/>
                <w:szCs w:val="13"/>
                <w:color w:val="auto"/>
              </w:rPr>
            </w:pPr>
          </w:p>
        </w:tc>
        <w:tc>
          <w:tcPr>
            <w:tcW w:w="6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08"/>
        </w:trPr>
        <w:tc>
          <w:tcPr>
            <w:tcW w:w="21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(as previously reported)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39,722,088</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47,113</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24,790,938</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33,336</w:t>
            </w:r>
          </w:p>
        </w:tc>
        <w:tc>
          <w:tcPr>
            <w:tcW w:w="140" w:type="dxa"/>
            <w:vAlign w:val="bottom"/>
            <w:tcBorders>
              <w:right w:val="single" w:sz="8" w:color="auto"/>
            </w:tcBorders>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6,900,493</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(112,821 )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(102,310 )</w:t>
            </w: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Retroactive application of the</w:t>
            </w: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3"/>
                <w:szCs w:val="13"/>
                <w:color w:val="auto"/>
              </w:rPr>
              <w:t>recapitalization due to the Business</w:t>
            </w: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(39,722,088 )</w:t>
            </w:r>
          </w:p>
        </w:tc>
        <w:tc>
          <w:tcPr>
            <w:tcW w:w="120" w:type="dxa"/>
            <w:vAlign w:val="bottom"/>
            <w:shd w:val="clear" w:color="auto" w:fill="CFF0FC"/>
          </w:tcPr>
          <w:p>
            <w:pPr>
              <w:spacing w:after="0"/>
              <w:rPr>
                <w:sz w:val="10"/>
                <w:szCs w:val="10"/>
                <w:color w:val="auto"/>
              </w:rPr>
            </w:pPr>
          </w:p>
        </w:tc>
        <w:tc>
          <w:tcPr>
            <w:tcW w:w="8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(47,113 )</w:t>
            </w:r>
          </w:p>
        </w:tc>
        <w:tc>
          <w:tcPr>
            <w:tcW w:w="9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(24,790,938 )</w:t>
            </w:r>
          </w:p>
        </w:tc>
        <w:tc>
          <w:tcPr>
            <w:tcW w:w="120" w:type="dxa"/>
            <w:vAlign w:val="bottom"/>
            <w:shd w:val="clear" w:color="auto" w:fill="CFF0FC"/>
          </w:tcPr>
          <w:p>
            <w:pPr>
              <w:spacing w:after="0"/>
              <w:rPr>
                <w:sz w:val="10"/>
                <w:szCs w:val="10"/>
                <w:color w:val="auto"/>
              </w:rPr>
            </w:pPr>
          </w:p>
        </w:tc>
        <w:tc>
          <w:tcPr>
            <w:tcW w:w="740" w:type="dxa"/>
            <w:vAlign w:val="bottom"/>
            <w:tcBorders>
              <w:right w:val="single" w:sz="8" w:color="auto"/>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(33,336 )</w:t>
            </w: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(6,900,493 )</w:t>
            </w:r>
          </w:p>
        </w:tc>
        <w:tc>
          <w:tcPr>
            <w:tcW w:w="8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(7 )</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15,565,380</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2</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80,454</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Combination (Note 2)</w:t>
            </w: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9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right w:val="single" w:sz="8" w:color="auto"/>
            </w:tcBorders>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tcBorders>
              <w:top w:val="single" w:sz="8" w:color="CFF0FC"/>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Balance at December 31, 2020, effect</w:t>
            </w: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15,565,380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90,958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(112,821 )</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(21,861 )</w:t>
            </w:r>
          </w:p>
        </w:tc>
        <w:tc>
          <w:tcPr>
            <w:tcW w:w="0" w:type="dxa"/>
            <w:vAlign w:val="bottom"/>
          </w:tcPr>
          <w:p>
            <w:pPr>
              <w:spacing w:after="0"/>
              <w:rPr>
                <w:sz w:val="1"/>
                <w:szCs w:val="1"/>
                <w:color w:val="auto"/>
              </w:rPr>
            </w:pPr>
          </w:p>
        </w:tc>
      </w:tr>
      <w:tr>
        <w:trPr>
          <w:trHeight w:val="171"/>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Business Combination (Note 2)</w:t>
            </w: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3"/>
                <w:szCs w:val="13"/>
                <w:color w:val="auto"/>
              </w:rPr>
              <w:t>Business</w:t>
            </w: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60" w:type="dxa"/>
            <w:vAlign w:val="bottom"/>
            <w:shd w:val="clear" w:color="auto" w:fill="CFF0FC"/>
          </w:tcPr>
          <w:p>
            <w:pPr>
              <w:ind w:left="120"/>
              <w:spacing w:after="0" w:line="131" w:lineRule="exact"/>
              <w:rPr>
                <w:sz w:val="20"/>
                <w:szCs w:val="20"/>
                <w:color w:val="auto"/>
              </w:rPr>
            </w:pPr>
            <w:r>
              <w:rPr>
                <w:rFonts w:ascii="Times New Roman" w:cs="Times New Roman" w:eastAsia="Times New Roman" w:hAnsi="Times New Roman"/>
                <w:sz w:val="13"/>
                <w:szCs w:val="13"/>
                <w:color w:val="auto"/>
              </w:rPr>
              <w:t>Combination, net of issuance costs</w:t>
            </w: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(Note 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25,041,150</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195,880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Conversion of promissory notes (Note</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2,341,316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3"/>
                <w:szCs w:val="13"/>
                <w:color w:val="auto"/>
              </w:rPr>
              <w:t>exercise of</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 (Note 2)</w:t>
            </w:r>
          </w:p>
        </w:tc>
        <w:tc>
          <w:tcPr>
            <w:tcW w:w="7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700" w:type="dxa"/>
            <w:vAlign w:val="bottom"/>
            <w:tcBorders>
              <w:right w:val="single" w:sz="8" w:color="CFF0FC"/>
            </w:tcBorders>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tcBorders>
              <w:right w:val="single" w:sz="8" w:color="CFF0FC"/>
            </w:tcBorders>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right w:val="single" w:sz="8" w:color="CFF0FC"/>
            </w:tcBorders>
            <w:vMerge w:val="continue"/>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3"/>
                <w:szCs w:val="13"/>
                <w:color w:val="auto"/>
              </w:rPr>
              <w:t>exercise of</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0"/>
                <w:szCs w:val="10"/>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options</w:t>
            </w:r>
          </w:p>
        </w:tc>
        <w:tc>
          <w:tcPr>
            <w:tcW w:w="70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700" w:type="dxa"/>
            <w:vAlign w:val="bottom"/>
            <w:tcBorders>
              <w:right w:val="single" w:sz="8" w:color="CFF0FC"/>
            </w:tcBorders>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tcBorders>
              <w:right w:val="single" w:sz="8" w:color="CFF0FC"/>
            </w:tcBorders>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right w:val="single" w:sz="8" w:color="CFF0FC"/>
            </w:tcBorders>
            <w:vMerge w:val="continue"/>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(19,048 )</w:t>
            </w: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(19,048 )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43,002,144</w:t>
            </w:r>
          </w:p>
        </w:tc>
        <w:tc>
          <w:tcPr>
            <w:tcW w:w="140" w:type="dxa"/>
            <w:vAlign w:val="bottom"/>
          </w:tcPr>
          <w:p>
            <w:pPr>
              <w:spacing w:after="0"/>
              <w:rPr>
                <w:sz w:val="13"/>
                <w:szCs w:val="13"/>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1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303,026</w:t>
            </w:r>
          </w:p>
        </w:tc>
        <w:tc>
          <w:tcPr>
            <w:tcW w:w="1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(131,869 )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Pr>
          <w:p>
            <w:pPr>
              <w:spacing w:after="0"/>
              <w:rPr>
                <w:sz w:val="15"/>
                <w:szCs w:val="15"/>
                <w:color w:val="auto"/>
              </w:rPr>
            </w:pPr>
          </w:p>
        </w:tc>
        <w:tc>
          <w:tcPr>
            <w:tcW w:w="18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020" w:type="dxa"/>
            <w:vAlign w:val="bottom"/>
            <w:gridSpan w:val="3"/>
            <w:vMerge w:val="restart"/>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Old Gemini</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5"/>
                <w:szCs w:val="15"/>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5"/>
        </w:trPr>
        <w:tc>
          <w:tcPr>
            <w:tcW w:w="216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160" w:type="dxa"/>
            <w:vAlign w:val="bottom"/>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74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Convertible Preferred Stock</w:t>
            </w:r>
          </w:p>
        </w:tc>
        <w:tc>
          <w:tcPr>
            <w:tcW w:w="1760" w:type="dxa"/>
            <w:vAlign w:val="bottom"/>
            <w:tcBorders>
              <w:right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Convertible Preferred Stock</w:t>
            </w:r>
          </w:p>
        </w:tc>
        <w:tc>
          <w:tcPr>
            <w:tcW w:w="16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380" w:type="dxa"/>
            <w:vAlign w:val="bottom"/>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2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1"/>
              </w:rPr>
              <w:t>s'</w:t>
            </w: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right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3"/>
                <w:szCs w:val="13"/>
                <w:color w:val="auto"/>
              </w:rPr>
            </w:pPr>
          </w:p>
        </w:tc>
        <w:tc>
          <w:tcPr>
            <w:tcW w:w="7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17"/>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3"/>
                <w:szCs w:val="13"/>
                <w:color w:val="auto"/>
              </w:rPr>
            </w:pPr>
          </w:p>
        </w:tc>
        <w:tc>
          <w:tcPr>
            <w:tcW w:w="6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5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3"/>
                <w:szCs w:val="13"/>
                <w:color w:val="auto"/>
              </w:rPr>
            </w:pP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43,208,159</w:t>
            </w:r>
          </w:p>
        </w:tc>
        <w:tc>
          <w:tcPr>
            <w:tcW w:w="14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1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309,527</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(184,690</w:t>
            </w:r>
          </w:p>
        </w:tc>
        <w:tc>
          <w:tcPr>
            <w:tcW w:w="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options</w:t>
            </w: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(15,231 )</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(15,231 )</w:t>
            </w:r>
          </w:p>
        </w:tc>
        <w:tc>
          <w:tcPr>
            <w:tcW w:w="0" w:type="dxa"/>
            <w:vAlign w:val="bottom"/>
          </w:tcPr>
          <w:p>
            <w:pPr>
              <w:spacing w:after="0"/>
              <w:rPr>
                <w:sz w:val="1"/>
                <w:szCs w:val="1"/>
                <w:color w:val="auto"/>
              </w:rPr>
            </w:pPr>
          </w:p>
        </w:tc>
      </w:tr>
      <w:tr>
        <w:trPr>
          <w:trHeight w:val="195"/>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43,227,159</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311,528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(199,921</w:t>
            </w: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-3007995</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-3007995</wp:posOffset>
            </wp:positionV>
            <wp:extent cx="43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-3007995</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-3007995</wp:posOffset>
            </wp:positionV>
            <wp:extent cx="34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-3007995</wp:posOffset>
            </wp:positionV>
            <wp:extent cx="34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-3007995</wp:posOffset>
            </wp:positionV>
            <wp:extent cx="34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-3007995</wp:posOffset>
            </wp:positionV>
            <wp:extent cx="25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-3007995</wp:posOffset>
            </wp:positionV>
            <wp:extent cx="25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-3007995</wp:posOffset>
            </wp:positionV>
            <wp:extent cx="25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-3007995</wp:posOffset>
            </wp:positionV>
            <wp:extent cx="3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-3007995</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-1353820</wp:posOffset>
            </wp:positionV>
            <wp:extent cx="43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-1353820</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-1353820</wp:posOffset>
            </wp:positionV>
            <wp:extent cx="431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-1353820</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-1353820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-1353820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-1353820</wp:posOffset>
            </wp:positionV>
            <wp:extent cx="25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-1353820</wp:posOffset>
            </wp:positionV>
            <wp:extent cx="25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-1353820</wp:posOffset>
            </wp:positionV>
            <wp:extent cx="25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-1353820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-1353820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-24765</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-7620</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-24765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-7620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-24765</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2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25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25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2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25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25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25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25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34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7" w:name="page8"/>
    <w:bookmarkEnd w:id="7"/>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580" w:type="dxa"/>
            <w:vAlign w:val="bottom"/>
            <w:gridSpan w:val="6"/>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6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(15,231 )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(19,048 )</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convertible notes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(1,430 )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(3,057 )</w:t>
            </w:r>
          </w:p>
        </w:tc>
      </w:tr>
      <w:tr>
        <w:trPr>
          <w:trHeight w:val="216"/>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16"/>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(3,868 )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09"/>
        </w:trPr>
        <w:tc>
          <w:tcPr>
            <w:tcW w:w="7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Business Combination, net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196,319</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(1,250 )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(833 )</w:t>
            </w:r>
          </w:p>
        </w:tc>
      </w:tr>
      <w:tr>
        <w:trPr>
          <w:trHeight w:val="20"/>
        </w:trPr>
        <w:tc>
          <w:tcPr>
            <w:tcW w:w="76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(1,225 )</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195,490</w:t>
            </w:r>
          </w:p>
        </w:tc>
        <w:tc>
          <w:tcPr>
            <w:tcW w:w="8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180,483</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136,950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119,387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185,309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 to Series B preferred stock</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197"/>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Exercise of warrants</w:t>
            </w:r>
          </w:p>
        </w:tc>
        <w:tc>
          <w:tcPr>
            <w:tcW w:w="1000" w:type="dxa"/>
            <w:vAlign w:val="bottom"/>
            <w:tcBorders>
              <w:bottom w:val="single" w:sz="8" w:color="auto"/>
            </w:tcBorders>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Unpaid issuance costs in accounts payable and accrued expenses and other current liabilities</w:t>
            </w:r>
          </w:p>
        </w:tc>
        <w:tc>
          <w:tcPr>
            <w:tcW w:w="100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-2357120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-2357120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-1799590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-1799590</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-1224915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-1207770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-1224915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-1207770</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-350520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-333375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62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Gemini Therapeutics, Inc. (the “Company” or “Gemini”) is a clinical-stage precision medicine company developing novel therapeutic compounds to treat genetically defined, age-related macular degeneration. The Company was founded on March 3, 2015.</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its product candidates. In January 2022, the Company discontinued both of its Phase 2a clinical trials for GEM103. The Company's other product candidate, GEM307, is in the preclinical stage of development.</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2022, the Company announced a corporate restructuring and that it initiated a process to evaluate strategic alternatives. The Company expects to devote substantial time and resources to exploring strategic alternatives that its board of directors believes will maximize shareholder value. Despite devoting significant efforts to identify and evaluate potential strategic alternatives, there can be no assurance that this strategic review process will result in the Company pursuing any transaction or that any transaction, if pursued, will be completed on attractive terms or at all. The Company has not set a timetable for completion of this strategic review process, and its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the Company will make any additional cash distributions to its stockholders.</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refer to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condensed consolidated financial statements.</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ongoing and evolving novel coronavirus disease (“COVID-19”) pandemic. If the Company does not successfully commercialize any of its product candidates, it will be unable to generate recurring product revenue or achieve profitability.</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8"/>
          <w:szCs w:val="18"/>
          <w:color w:val="auto"/>
        </w:rPr>
        <w:t>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Prior to the Business Combination, the Company primarily financed its operations through the sale of convertible preferred stock, borrowings under convertible promissory notes and borrowings under loan agreements. The Company believes that its $119.1 million of cash and cash equivalents as of March 31, 2022 will enable it to fund its planned operations for at least twelve months from the issuance date of these condensed consolidated financial statements, though the Company may raise additional capital through a combination of equity offerings, debt financings, collaborations, strategic alliances and marketing, distribution or licensing arrangements.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Furthermore, the operating plan could materially change depending on the outcome of our ongoing strategic alternative review process, including to the extent we identify and enter into any potential strategic transaction. If adequate funds are not available to the Company on a timely basis, on acceptable terms or at all,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The Company cannot predict the future progression or full impact of the outbreak and its effects on the Company’s business and operations.</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ongoing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first quarter of 2022, the full extent to which the ongoing COVID-19 pandemic may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March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Summary of Net Proceeds</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9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 FSDC Trust Account and cash (net of redemptions)</w:t>
            </w:r>
          </w:p>
        </w:tc>
        <w:tc>
          <w:tcPr>
            <w:tcW w:w="7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121,782</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95,060</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Equity issuance costs and other costs paid</w:t>
            </w:r>
          </w:p>
        </w:tc>
        <w:tc>
          <w:tcPr>
            <w:tcW w:w="7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(20,960 )</w:t>
            </w:r>
          </w:p>
        </w:tc>
      </w:tr>
      <w:tr>
        <w:trPr>
          <w:trHeight w:val="210"/>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195,882</w:t>
            </w:r>
          </w:p>
        </w:tc>
        <w:tc>
          <w:tcPr>
            <w:tcW w:w="10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Shares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15,535,150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25,041,150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26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Total shares of the Company's common stock outstanding immediately following</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42,998,664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2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the Business Combination</w:t>
            </w:r>
          </w:p>
        </w:tc>
        <w:tc>
          <w:tcPr>
            <w:tcW w:w="1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right="7680" w:firstLine="8"/>
        <w:spacing w:after="0" w:line="44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2022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18"/>
          <w:szCs w:val="18"/>
          <w:color w:val="auto"/>
        </w:rPr>
        <w:t>2021 are not necessarily indicative of the results for the entire fiscal year or any other period. The condensed consolidated financial information for the three months ended March 31, 2022 and 2021 have been prepared on the same basis as and should be read in conjunction with the audited financial statements and notes thereto for the year ended December 31, 2021 included in the Company’s Annual Report on Form 10-K as filed with the SEC on March 10, 2022.</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condensed consolidated financial statements.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unaudited condensed consolidated financial statements for the three months ended March 31, 2022 are consistent with those discussed in Note 3 to the consolidated financial statements in the Company’s 2021 Annual Report on Form 10-K and are updated below as necessary.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Amendments to the FASB Accounting Standards Codification (</w:t>
      </w:r>
      <w:r>
        <w:rPr>
          <w:rFonts w:ascii="Times New Roman" w:cs="Times New Roman" w:eastAsia="Times New Roman" w:hAnsi="Times New Roman"/>
          <w:sz w:val="17"/>
          <w:szCs w:val="17"/>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Company adopted ASU 2016-02 on January 1, 2022 using the modified retrospective approach. The Company elected the package of practical expedients which allows entities to not reassess (i) whether an arrangement is or contains a lease, (ii) the classification of its leases, and (iii) the accounting for initial direct costs. Further, the Company elected, by class of underlying asset, the short-term lease exception for leases with terms of twelve months or less. In doing so, the Company did not recognize a lease liability or right-of-use asset on its consolidated balance sheets for such short-term leases. Finally, the Company elected, by class of underlying asset, the practical expedient to not separate lease and non-lease components. The Company terminated its lease agreement on December 31, 2021 for its office and laboratory space. The Company does not have any other leases within the scope of ASU 2016-02. Therefore, the adoption of ASU 2016-02 did not have an impact on the Company's condensed consolidated financial statements and related disclosures.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Company adopted ASU 2019-12 on January 1, 2022. The adoption did not have a material effect on the Company’s condensed consolidated financial statements.</w:t>
      </w:r>
    </w:p>
    <w:p>
      <w:pPr>
        <w:spacing w:after="0" w:line="14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 xml:space="preserve">In November 2021, the FASB issued ASU No.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This standard increases the transparency of transactions with the government that are accounted for by applying a grant or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model, and aims to reduce diversity that currently exists in the recognition, measurement, presentation, and disclosure of government assistance received by business entities due to the lack of specific authoritative guidance in GAAP. This standard requires an entity to provide information regarding the nature of the transaction with a government and the related accounting policy used to account for this transaction, the line item on the condensed consolidated balance sheet and condensed consolidated statement of operations and comprehensive loss that are affected by the transaction and the amounts applicable to each financial statement line item, and the significant terms and conditions of the transaction, including commitments and contingencies. The Company adopted ASU 2021-10 on January 1, 2022 using the prospective approach. The adoption did not have a material effect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Restricted cash amounted to $0.3 million as of March 31, 2022 and December 31, 2021, which consists of $0.1 million to collateralize the Company’s credit card and $0.2 million to collateralize its irrevocable standby letter of credit for its facility lease arrangement. The letter of credit is in the name of the landlord and was required to fulfill lease requirements in the event the Company should default on its lease obligation. The facility lease arrangement was terminated on December 31,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condensed consolidated balance sheets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statements of cash flows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r>
      <w:tr>
        <w:trPr>
          <w:trHeight w:val="238"/>
        </w:trPr>
        <w:tc>
          <w:tcPr>
            <w:tcW w:w="7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119,064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6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119,387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 election, the condensed consolidated financial statements may not be comparable to companies that comply with public company FASB standards’ effective dates.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62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118,064</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118,064</w:t>
            </w:r>
          </w:p>
        </w:tc>
        <w:tc>
          <w:tcPr>
            <w:tcW w:w="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4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135,631</w:t>
            </w:r>
          </w:p>
        </w:tc>
        <w:tc>
          <w:tcPr>
            <w:tcW w:w="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March 31, 2022 and December 31, 2021, cash equivalents were comprised of funds in money market accounts. There were no transfers or reclassifications between Level 1, Level 2 and Level 3 during the three months ended March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4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2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1,756</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term charge for Term Loan</w:t>
            </w:r>
          </w:p>
        </w:tc>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28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3,405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8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Corporate restructuring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2021, the Company announced a restructuring plan that resulted in a reduction of the Company’s workforce by 11 positions, or approximately 26% of the Company’s then workforce. A majority of these employees’ separation from the Company occurred in mid-October 2021, and the remaining affected employees transitioned by the end of 2021. As a result, the Company incurred costs of $1.4 million during the year ended December 31, 2021 related to severance benefits for the affected employees.</w:t>
      </w:r>
    </w:p>
    <w:p>
      <w:pPr>
        <w:spacing w:after="0" w:line="1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2022, the Company announced an additional restructuring plan to reduce the Company's operations to preserve financial resources, resulting in a reduction of the Company’s workforce by up to 24 positions, or approximately 80% of the Company’s then workforce, by the end of the second quarter of 2022. As a result, the Company incurred costs of $1.7 million during the three months ended March 31, 2022 related to severance benefits for the affected employees.</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severance benefits for both restructuring plans include severance payments, limited reimbursement of medical insurance premiums, outplacement services and other restructuring costs and expenses. Each affected employee’s eligibility for the severance benefits is contingent upon such employee’s execution (without revocation, as applicable) of a separation agreement, which includes a general release of claims against the Company. The October 2021 restructuring plan was completed by the end of 2021. The February 2022 restructuring plan is ongoing and expected to be completed by the end of the second quarter of 2022.</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Of the $1.7 million in costs recognized related to the February 2022 restructuring plan, $1.0 million and $0.7 million have been charged to research and development and general and administrative expenses, respectively, in the accompanying condensed consolidated statement of operations and comprehensive loss for the three months ended March 31, 2022. During the three months ended March 31, 2022, the Company paid $1.1 million in severance benefits to separating employees related to the restructuring plans, with $0.9 million related to the October 2021 restructuring plan and $0.2 million related to the February 2022 restructuring. As of March 31, 2022 and December 31, 2021, unpaid severance costs of $1.5 million and $0.9 million, respectively, are included in accrued expenses and other current liabilities in the accompanying condensed consolidated balance sheet for each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2019,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As of March 31, 2022 and December 31, 2021, the Company had $4.2 million and $5.4 million, respectively, in principal outstanding under the Term Loan.</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entered into in February 2019, between the Company and SVB (the “SVB Loan Agreement”). The SVB Loan Agreement provided for two separate tranches under which the Company could borrow. In April 2019, the Company borrowed $7.5 million under the first tranche, and in December 2019, the Company borrowed $2.5 million under the second tranche.</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Term Loan initially matured in July 2022 and accrues interest at a floating rate per annum equal to the greater of 3.75% or the prime rate minus 1.5% (2.0% as of March 31, 2022). The Term Loan initially provided for monthly interest-only payments until July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in January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Company did not record any adjustments to the Company’s condensed consolidated financial statements related to this deferral.</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March 31, 2022 and December 31, 2021, the Company had a liability related to the end of term charge of $0.4 million, which has been classified within accrued expenses and other current liabilities as of March 31, 2022 and other long-term liabilities as of December 31, 2021.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jc w:val="both"/>
        <w:spacing w:after="0" w:line="250"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March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2022, scheduled principal payments for the Term Loan are as follows (in thousands):</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8"/>
                <w:szCs w:val="18"/>
                <w:color w:val="auto"/>
              </w:rPr>
            </w:pP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w:t>
            </w: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w:t>
            </w:r>
          </w:p>
        </w:tc>
        <w:tc>
          <w:tcPr>
            <w:tcW w:w="7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7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7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(4,159 )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$0.1 million for each of the three months ended March 31, 2022 and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promissory notes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August 2020, Old Gemini entered into a purchase agreement with various investors to issue $14.0 million in convertible promissory notes (the “Notes”). The Notes accrued simple interest at 8% per annum. The Company determined that a beneficial conversion feature (“BCF”) existed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 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a loss on conversion of convertible notes of $0.7 million for the difference between the reacquisition price of the Notes and the net carrying amount of the Notes in the condensed consolidated statements of operations and comprehensive loss for the three months ended March 31,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 and $1.7 million for the three months ended March 31,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condensed consolidated statement of stockholders’ equity has been retroactively adjusted for all periods presented to reflect the Business Combination and reverse recapitalization as defined in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closing of the Business Combination and pursuant to the terms of the Company's Amended and Restated Certificate of Incorporation entered into on February 5, 2021 (the “Certificate of Incorporation”),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March 31, 2022.</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Company's Certificate of Incorporation, the Company authorized 250,000,000 shares of common stock with a par value of $0.0001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line="268"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No dividends have been declared to date.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Old Gemini Equity Incentive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options vest on the first anniversary of the grant date and the remaining options vest equally each month for three years thereafter.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Business Combination, the Company ceased granting awards under the 2017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Awards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Closing Date, the 10,567,508 options and 163,157 restricted stock units (“RSUs”) outstanding under the 2017 Plan and 2015 Plan were converted into 2,303,309 options and 35,561 RSUs, respectively, upon completion of the Business Combination after the effect of the Conversion Ratio. This effect of the Conversion Ratio has been retroactively adjusted throughout the Company’s unaudited condensed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Gemini Equity Incentive Plan</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 Subject to this provision, the Company added 1,728,326 shares available for grant to the 2021 Plan effective January 1, 2022. As of March 31, 2022, 1,347,961 shares remained available for future issuance under the 2021 Plan.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granted under the 2021 Plan will be 100% of the fair market value of the underlying stock subject to the award, determined as of the date of the grant, or such higher amount as the plan administrator may determine in connection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grant, and the term of stock option may not be greater than ten years. The vesting and other restrictions are determined at the discretion of the plan administrator.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Inducement Plan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February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March 31, 2022, 868,949 shares were available for issuance under the 2021 Inducement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July 2021, the Company’s board of directors approved the 2021 Employee Stock Purchase Plan (“2021 ESPP”). The first offering period under the 2021 ESPP began on December 1, 2021. The Company has not yet issued any shares under the 2021 ESPP. The Company recorded $16 thousand of stock-based compensation expense related to the 2021 ESPP during the three months ended March 31, 2022. As of March 31, 2022, 430,551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430,551 shares of common stock, or (c) such number of shares determined by the Company’s board of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condensed consolidated statements of operations and comprehensive loss (in thousands):</w:t>
      </w:r>
    </w:p>
    <w:p>
      <w:pPr>
        <w:spacing w:after="0" w:line="158"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58"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43,212,803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32,027,161</w:t>
            </w:r>
          </w:p>
        </w:tc>
        <w:tc>
          <w:tcPr>
            <w:tcW w:w="8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-316865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unvested restricted stock and common stock options outstanding,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following potential common shares from the computation of diluted net loss per share attributable to common stockholders for the periods indicated because including them would have had an anti-dilutive effect: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4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7680" w:type="dxa"/>
            <w:vAlign w:val="bottom"/>
          </w:tcPr>
          <w:p>
            <w:pPr>
              <w:spacing w:after="0"/>
              <w:rPr>
                <w:sz w:val="18"/>
                <w:szCs w:val="18"/>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1,347,449</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5,404,684</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5,602,935</w:t>
            </w:r>
          </w:p>
        </w:tc>
        <w:tc>
          <w:tcPr>
            <w:tcW w:w="6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6,752,133</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5,602,935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ind w:right="8460" w:firstLine="8"/>
        <w:spacing w:after="0" w:line="440"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debt obligations, license agreements and other purchase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(“Sanquin”) (the “2017 License Agreement”) to develop antibodies that bind and enhance the activity of CFH. As consideration for the license, the Company paid a one-time, non-refundable upfront payment of $0.1 million.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On March 7, 2022, the Company entered into an amendment to the 2017 License Agreement (the “2022 Amendment”) to clarify that certain patent rights directed to CFH potentiating antibodies are jointly owned by the Company and Sanquin. Under the 2022 Amendment, Sanquin granted the Company an exclusive (even as to Sanquin) royalty-bearing license, with the right to sublicense through multiple tiers, to the portion of these patent rights owned by Sanquin. The condensed consolidated financial statements as of March 31, 2022 do not include liabilities with respect to this agreement as the Company has not yet generated revenue and the achievement of certain milestones is not deemed probable.</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$0.1 million. In addition, an annual non-refundable, non-creditable development fee of $0.1 million is due on each anniversary date. The 2018 License Agreement includes additional consideration of $0.3 million contingent upon future commercialization of each licensed product. The condensed consolidated financial statements as of March 31, 2022 do not include a liability with respect to the additional consideration under this agreement as the Company has not yet generated revenue.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In October 2021, the Company terminated the 2019 License Agreement. As consideration for the license, the Company paid a one-time, non-refundable, non-creditable initial license fee of $0.1 million. In addition, an annual non-refundable, non-creditable development fee of $0.1 million was due on each anniversary date, beginning on the second anniversary date. The 2019 License Agreement included additional consideration of $0.4 million contingent upon future commercialization of each licensed product. The condensed consolidated financial statements as of March 31, 2022 do not include a liability with respect to the additional consideration under this agreement as the Company has not yet generated revenue.</w:t>
      </w:r>
    </w:p>
    <w:p>
      <w:pPr>
        <w:spacing w:after="0" w:line="1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for affinity purification of biopharmaceuticals. As consideration for the license, the Company paid an upfront license fee of $0.2 million. In addition, an annual license fee of $0.1 million is due on each anniversary date. The 2018 Master License Agreement includes additional consideration upon the achievement of certain development, commercial and sales milestones totaling up to $0.7 million, $2.2 million and $7.0 million, respectively. Finally, the Company is required to make royalty payments of 1.25% of net product sales if commercialization is achieved. The condensed consolidated financial statements as of March 31, 2022 do not include liabilities with respect to additional consideration under this agreement as the Company has not yet generated revenue and the achievement of certain milestones is not deemed probable.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jc w:val="both"/>
        <w:spacing w:after="0" w:line="235" w:lineRule="auto"/>
        <w:rPr>
          <w:sz w:val="20"/>
          <w:szCs w:val="20"/>
          <w:color w:val="auto"/>
        </w:rPr>
      </w:pPr>
      <w:r>
        <w:rPr>
          <w:rFonts w:ascii="Times New Roman" w:cs="Times New Roman" w:eastAsia="Times New Roman" w:hAnsi="Times New Roman"/>
          <w:sz w:val="18"/>
          <w:szCs w:val="18"/>
          <w:color w:val="auto"/>
        </w:rPr>
        <w:t>Company is required to make one-time milestone payments totaling up to $1.3 million in aggregate, as well as a contingent annual fee upon commercialization (1% of net sales, or $0.1 million, whichever is greater) and other fees after certain milestones are reached. Certain milestone payments may be waived if Catalent manufactures &gt;50% of the total product required for the relevant clinical trial. The condensed consolidated financial statements as of March 31, 2022 do not include liabilities with respect to this agreement as the Company has not yet generated revenue and the achievement of certain milestones is not deemed probable.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March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March 31, 2022, the Company was not a party to any material legal matters or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three months ended March 31, 2022 and 2021, the costs incurred under this arrangement totaled $0 and $0.1 million, respectively, of which $0.1 million was recorded in stockholders’ equity as a reduction to additional paid-in capital as a result of the Business Combination and $10 thousand was recorded as general and administrative expense in the accompanying condensed consolidated statements of operations and comprehensive loss for the three months ended March 31, 2021. There were no amounts owed under this arrangement as of March 31, 2022 and December 31, 2021. The executive of the Company associated with this firm resigned from the Company in February 2021.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we announced that we discontinued both of our Phase 2a clinical trials of GEM103, the ReGAtta study and the GEM103 as an Add-On to Anti-VEGF Therapy for the Treatment of Wet-AMD study.</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2022, we announced a corporate restructuring and that we have initiated a process to evaluate strategic alternatives. We expect to devote substantial time and resources to exploring strategic alternatives that our board of directors believes will maximize shareholder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1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extent we continue to pursue clinical development of GEM103 or any other product candidate,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working to advance GEM307, that could be effective for treatment of systemic diseases, towards IND filing.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Restructuring and Process to Evaluate Strategic Alternatives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February 28, 2022, we announced a restructuring plan to reduce our operations to preserve financial resources, resulting in a reduction of our workforce by up to 24 positions, or approximately 80% of our then workforce, by the end of the second quarter of 2022. As a result, we incurred costs of $1.7 million related to severance benefits for the affected employees and other restructuring costs and expenses. The restructuring plan is expected to be completed by the end of the second quarter of 2022. Additionally, we have initiated a process to evaluate strategic alternatives in order to maximize shareholder value. There can be no assurance that this strategic review process will result in us pursuing any transaction or that any transaction, if pursued, will be completed on attractive terms or at all.</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effective as of February 28, 2022, Georges Gemayel, Ph.D., our current Executive Chair, was appointed as interim President and Chief Executive Officer to succeed Jason Meyenburg, who transitioned from his roles as President, CEO and Director and continues to serve as an advisor to the Company. Dr. Gemayel continues to serve as the Chair of our Board.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outbreak a pandemic. The ongoing COVID-19 pandemic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ongoing COVID-19 pandemic and related impacts have resulted in and will likely continue to result in significant disruptions to the global economy and capital markets around the world. We cannot predict the future progression or full impact of the outbreak and its effects on our business and operations.</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not incurred impairment losses in the carrying values of our assets as a result of the ongoing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first quarter of 2022, the full extent to which the ongoing COVID-19 pandemic may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2021, FSDC consummated a previously announced business combination pursuant to the terms of the Agreement and Plan of Merger, dated as of October 15, 2020 (as amended, supplemented or otherwise modified from time to time, the “Merger Agreement”), by and among Old Gemini, Stockholders’ Representative, and Merger Sub (the “Business Combination”).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our company (the “Conversion Ratio”).</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read Note 2,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our unaudited condensed consolidated financial statements included elsewhere in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in the near future, if at all. If our development efforts were to continue and were successful and we were to commercialize any of our product candidates,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clinical development of our product candidates. We expense research and development costs as incurred, which include:</w:t>
      </w:r>
    </w:p>
    <w:p>
      <w:pPr>
        <w:spacing w:after="0" w:line="4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our drug discovery efforts, preclinical studies, and clinical trials;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that are primarily engaged to provide preclinical and clinical drug substance and product for our research and development programs;</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 and</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comply with regulatory requirements.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CMOs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Research and development activities have historically been central to our business model. We anticipate that our research and development expenses will decrease in 2022 compared to 2021 due to our planned reduced clinical efforts in 2022 and recent restructurings announced in connection with our exploration of strategic alternatives. If we were to continue to pursue development efforts and we believe a regulatory approval of a product candidate appears likely, we would anticipate an increase in payroll and other expenses as a result of our preparation of regulatory filings and precommercial activities.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costs of the efforts that would be necessary to complete the preclinical and clinical development of any of our product candidates or when, if ever, material net cash inflows may commence from any of our product candidates. The successful development and commercialization of any of our product candidates is highly uncertain. This uncertainty is due to the numerous risks and uncertainties associated with product development and commercialization, including the uncertainty of the following:</w:t>
      </w:r>
    </w:p>
    <w:p>
      <w:pPr>
        <w:spacing w:after="0" w:line="69" w:lineRule="exact"/>
        <w:rPr>
          <w:sz w:val="20"/>
          <w:szCs w:val="20"/>
          <w:color w:val="auto"/>
        </w:rPr>
      </w:pPr>
    </w:p>
    <w:p>
      <w:pPr>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outcome and costs of any continued preclinical development activities, clinical trials and other related development activities;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suspensions, or other setbacks or interruptions encountered, including as a result of the ongoing COVID-19 pandemic;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3" w:name="page24"/>
    <w:bookmarkEnd w:id="23"/>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any Investigational New Drug application (“IND”) enabling studies and obtaining clearance for future IND applications;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any clinical trials;</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U.S. Food and Drug Administration (“FDA”) and non-U.S. regulatory authorities;</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we or our third-party manufacturers are able to make and scale our products successfully;</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our clinical trials and for commercial launch;</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 of our product candidates.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any of these variables with respect to any of our programs would significantly change the costs, timing and viability associated with that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insurance costs and professional fees for legal, patent, consulting, investor and public relations, accounting and audit services. We expense general and administrative costs as incurred.</w:t>
      </w:r>
    </w:p>
    <w:p>
      <w:pPr>
        <w:spacing w:after="0" w:line="16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2022 as compared to 2021 due to recent restructurings implemented by the Company. If we were to continue product development efforts and at any point in the future we believe a regulatory approval of a product candidate appears likely, we would anticipate an increase in payroll and other expenses as a result of our preparation for commercial operations, especially as it relates to the sales and marketing of that product candidate. Additionally, depending on the outcome of our ongoing strategic alternative review process, including to the extent we identify and enter into any potential strategic transaction, there may be an increase in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accrued on the Term Loan we entered into in February 2019 and, for the three months ended March 31, 2021, interest expense for the Notes, including the accretion of the beneficial conversion feature discount recognized on the issuance date of the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restricted cash.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which requires the recognition of deferred tax assets and liabilities for the expected future tax consequences of events that have been included in the condensed consolidated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file income tax returns in the U.S. federal tax jurisdiction and state jurisdictions and may become subject to income tax audit and adjustments by related tax authorities. Our tax return period for U.S. federal income taxes for the tax years since 2018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may experience ownership changes as a result of subsequent shifts in our stock ownership.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(1,982 )</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(66 )</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(1,848 )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conversion of convertible notes</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(711 )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-1148080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-1148080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-1148080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$9.8 million for the three months ended March 31, 2022, compared to $11.8 million for the three months ended March 31, 2021. The decrease of $2.0 million was primarily due to a decrease in external research costs related to the elimination of our lab space and a decrease in development costs related to lower clinical trial activities of GEM103. In addition,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5" w:name="page26"/>
    <w:bookmarkEnd w:id="2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personnel costs were lower period over period, including stock-based compensation, due to a decrease in headcount in our research and development function in connection with the recent restructurings.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$5.4 million for the three months ended March 31, 2022, compared to $4.7 million for the three months ended March 31, 2021. The increase of $0.7 million was primarily due to higher personnel-related costs, including both severance benefits for the affected employees of the February 2022 restructuring plan and stock-based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was $0.1 million for the three months ended March 31, 2022, compared to $1.8 million for the three months ended March 31, 2021. The decrease of $1.7 million is primarily due to accretion during the three months ended March 31, 2021 of the beneficial conversion feature discount recognized at the issuance date of the Notes in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conversion of convertible notes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loss on conversion of convertible notes was $0 for the three months ended March 31, 2022, compared to $0.7 million for the three months ended March 31, 2021. The decrease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Our net loss was $15.2 million for the three months ended March 31, 2022. As of March 31, 2022, we had an accumulated deficit of $199.9 million.</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we funded our operations primarily with proceeds from the sale of preferred stock, borrowings under convertible promissory notes and borrowings under loan agreements. In January 2020, we received gross proceeds of $20.1 million from the sale of our preferred stock. In August 2020, we received gross proceeds of $14.0 million from borrowings under convertible promissory notes. In February 2021, in connection with the Business Combination, we received net proceeds of $195.9 million.</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2022, we had cash and cash equivalents of $119.1 million. Continued cash generation is highly dependent on our ability to finance our operations through a combination of equity offerings, debt financings, collaboration arrangements and strategic transactions. However, our resource requirements could materially change depending on the outcome of our ongoing strategic alternative review process, including to the extent we identify and enter into any potential strategic transaction.</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2022 and 2021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(1,225 )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195,490</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180,483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15"/>
        </w:trPr>
        <w:tc>
          <w:tcPr>
            <w:tcW w:w="5320" w:type="dxa"/>
            <w:vAlign w:val="bottom"/>
          </w:tcPr>
          <w:p>
            <w:pPr>
              <w:spacing w:after="0"/>
              <w:rPr>
                <w:sz w:val="24"/>
                <w:szCs w:val="24"/>
                <w:color w:val="auto"/>
              </w:rPr>
            </w:pPr>
          </w:p>
        </w:tc>
        <w:tc>
          <w:tcPr>
            <w:tcW w:w="23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-513715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-513715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-496570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2022, we used cash in operating activities of $16.3 million, reflecting a net loss of $15.2 million and a net change of $3.1 million in our operating assets and liabilities, partially offset by non-cash charges of $2.0 million. The non-cash charges consist primarily of $2.0 million of stock-based compensation expense. The net change in our operating assets and liabilities was primarily due to an increase in prepaid expenses and other current currents and a decrease in accrued expenses and other current liabilities, partially offset by an increase in accounts payable.</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During the three months ended March 31, 2021, we used cash in operating activities of $15.0 million, reflecting a net loss of $19.0 million, partially offset by non-cash charges of $4.2 million and a net change of $0.1 million in our operating assets and liabilities. The non-cash charges consist primarily of $1.6 million accretion of the discount on the Notes, $1.6 million of stock-based compensation expense, $0.7 million of expense related to the conversion of the Notes and $0.2 million of non-cash interest expense. The net change in our operating assets and liabilities was primarily due to an increase in prepaid expenses and other current currents, other assets and accounts payable, partially offset by a decrease in deferred offering costs and accrued expenses and other current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net cash used in financing activities was $1.2 million, consisting primarily of principal payments made on our term loan.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net cash provided by financing activities was $195.5 million, consisting primarily of $196.3 million of net proceeds received from the Business Combination, partially offset by principal payments made on our term loan.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related to our research and development activities. However, our resource requirements could materially change depending on the outcome of our ongoing strategic alternative review process, including to the extent we identify and enter into any potential strategic transaction. Cash used to fund operating expenses is impacted by the timing of when we pay these expenses, as reflected in the change in our outstanding accounts payable, accrued expenses and prepaid expenses.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expect our expenses to decrease in 2022 compared to 2021 due to our planned reduced clinical efforts in 2022 and the implementations of the restructurings announced in October 2021 and February 2022. To the extent we continue to pursue the development of our product candidates, the timing and amount of our operating expenditures will depend largely on our ability to:</w:t>
      </w:r>
    </w:p>
    <w:p>
      <w:pPr>
        <w:spacing w:after="0" w:line="150"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our early-stage programs and clinical trials of our product candidates;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our behalf, including sourcing raw materials, our preclinical and clinical drug material and develop processes for late stage and commercial manufacturing;</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protect our intellectual property portfolio;</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our intellectual property rights, including enforcing and defending intellectual property related claims;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anticipated benefits of our restructuring plans.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commercial revenues, if any, would be derived from sales of products that we do not expect to be commercially available for many years, if ever.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obtain substantial additional funds to achieve our business objectives.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March 31, 2022, we had cash and cash equivalents of $119.1 million. We believe that our cash and cash equivalents will enable us to fund our operating expenses and capital expenditure requirements through at least the next twelve months from the filing of this Quarterly Report on Form 10-Q. We have based this estimate on assumptions that may prove to be wrong, and we could utilize our available capital resources sooner than we expect. However, our resource requirements could materially change depending on the outcome of our ongoing strategic alternative review process, including to the extent we identify and enter into any potential strategic transaction.</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Until such time as we can generate substantial product revenue, if ever, and subject to our pursuit of a potential strategic transaction and the consummation of such potential transaction,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 candidates, we are unable to estimate the exact amount of our working capital requirements. Subject to our pursuit of a potential strategic transaction and the consummation of such potential transaction, our future funding requirements will depend on and could increase significantly as a result of many factors, including:</w:t>
      </w:r>
    </w:p>
    <w:p>
      <w:pPr>
        <w:spacing w:after="0" w:line="13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our product candidates to supply our clinical and preclinical development efforts and our clinical trials;</w:t>
      </w:r>
    </w:p>
    <w:p>
      <w:pPr>
        <w:spacing w:after="0" w:line="13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and manufacturing commercial-grade product and necessary inventory to support commercial launch;</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strategic alliances on favorable terms, if at all;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February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March 31, 2022 and December 31, 2021, we had $4.2 million and $5.4 million, respectively, in principal outstanding under the Term Loan.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entered into in February 2019, between Gemini and SVB (the “SVB Loan Agreement”). The SVB Loan Agreement provided for two separate tranches under which we could borrow. In April 2019, we borrowed $7.5 million under the first tranche, and in December 2019, we borrowed $2.5 million under the second tranche.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Term Loan matures in January 2023 and accrues interest at a floating rate per annum equal to the greater of 3.75% or the prime rate minus 1.5% (2.0% as of March 31, 2022).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2023.</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August 2020, we entered into a purchase agreement with existing investors to issue $14.0 million in convertible promissory notes, (the “Notes”). The Notes accrued simple interest at 8% per annum and matured in February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 and manufacturing organizations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of notice. Payments due upon cancellation consist only of payments for services provided or expenses incurred, including noncancelable obligations of our service providers, up to the date of cancellation. We recorded accrued expenses of approximately $0.7 million in our condensed consolidated balance sheet for expenditures incurred by CROs and CMOs as of March 31,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to our critical accounting policies as reported in our 2021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w:t>
      </w:r>
    </w:p>
    <w:p>
      <w:pPr>
        <w:spacing w:after="0" w:line="4" w:lineRule="exact"/>
        <w:rPr>
          <w:sz w:val="20"/>
          <w:szCs w:val="20"/>
          <w:color w:val="auto"/>
        </w:rPr>
      </w:pPr>
    </w:p>
    <w:p>
      <w:pPr>
        <w:jc w:val="both"/>
        <w:ind w:firstLine="8"/>
        <w:spacing w:after="0" w:line="242"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Item 10(f)(1) of Regulation S-K. As such, we are not required to provide the information set forth in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of March 31, 2022, 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March 31, 2022 are effective at a level that provides such reasonable assurances.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Exchange Act Rules 13a-15(f) and 15d-15(f)) that occurred during the three months ended March 31, 2022 that have materially affected, or that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we have little or no control. A number of important risks and uncertainties, including those identified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our Annual Report on Form 10-K for the period ended December 31, 2021 and in subsequent filings, could cause our actual results to differ materially from those in the forward-looking statements. There are no material changes to the risk factors described in our Annual Report on Form 10-K for the period ended December 31, 2021. We may disclose changes to such factors or disclose additional factors from time to time in our future filings with the SEC.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Recent Sales of Unregistered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ind w:right="8200" w:firstLine="8"/>
        <w:spacing w:after="0" w:line="396" w:lineRule="auto"/>
        <w:tabs>
          <w:tab w:leader="none" w:pos="2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b w:val="1"/>
          <w:bCs w:val="1"/>
          <w:color w:val="auto"/>
        </w:rPr>
        <w:t>Registration No. 333-249785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15"/>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8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rFonts w:ascii="Times New Roman" w:cs="Times New Roman" w:eastAsia="Times New Roman" w:hAnsi="Times New Roman"/>
                <w:sz w:val="18"/>
                <w:szCs w:val="18"/>
                <w:color w:val="0563C1"/>
              </w:rPr>
            </w:pPr>
            <w:hyperlink r:id="rId158">
              <w:r>
                <w:rPr>
                  <w:rFonts w:ascii="Times New Roman" w:cs="Times New Roman" w:eastAsia="Times New Roman" w:hAnsi="Times New Roman"/>
                  <w:sz w:val="18"/>
                  <w:szCs w:val="18"/>
                  <w:color w:val="0563C1"/>
                </w:rPr>
                <w:t>Amended and Restated Articles of Incorporation of Gemini Therapeutics, Inc. (incorporated by reference to Annex B to the Registrant’s</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563C1"/>
            </w:tcBorders>
            <w:gridSpan w:val="13"/>
          </w:tcPr>
          <w:p>
            <w:pPr>
              <w:spacing w:after="0" w:line="169" w:lineRule="exact"/>
              <w:rPr>
                <w:rFonts w:ascii="Times New Roman" w:cs="Times New Roman" w:eastAsia="Times New Roman" w:hAnsi="Times New Roman"/>
                <w:sz w:val="18"/>
                <w:szCs w:val="18"/>
                <w:color w:val="0563C1"/>
              </w:rPr>
            </w:pPr>
            <w:hyperlink r:id="rId158">
              <w:r>
                <w:rPr>
                  <w:rFonts w:ascii="Times New Roman" w:cs="Times New Roman" w:eastAsia="Times New Roman" w:hAnsi="Times New Roman"/>
                  <w:sz w:val="18"/>
                  <w:szCs w:val="18"/>
                  <w:color w:val="0563C1"/>
                </w:rPr>
                <w:t>Proxy Statement/Prospectus on Form S-4 (Registration No. 333-249785)).</w:t>
              </w:r>
            </w:hyperlink>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tcBorders>
              <w:top w:val="single" w:sz="8" w:color="0563C1"/>
            </w:tcBorders>
            <w:gridSpan w:val="3"/>
          </w:tcPr>
          <w:p>
            <w:pPr>
              <w:spacing w:after="0" w:line="182" w:lineRule="exact"/>
              <w:rPr>
                <w:rFonts w:ascii="Times New Roman" w:cs="Times New Roman" w:eastAsia="Times New Roman" w:hAnsi="Times New Roman"/>
                <w:sz w:val="18"/>
                <w:szCs w:val="18"/>
                <w:color w:val="0563C1"/>
                <w:w w:val="97"/>
              </w:rPr>
            </w:pPr>
            <w:hyperlink r:id="rId159">
              <w:r>
                <w:rPr>
                  <w:rFonts w:ascii="Times New Roman" w:cs="Times New Roman" w:eastAsia="Times New Roman" w:hAnsi="Times New Roman"/>
                  <w:sz w:val="18"/>
                  <w:szCs w:val="18"/>
                  <w:color w:val="0563C1"/>
                  <w:w w:val="97"/>
                </w:rPr>
                <w:t>Amended and Restated By-laws of Gemini Therapeutics, Inc. (incorporated</w:t>
              </w:r>
            </w:hyperlink>
          </w:p>
        </w:tc>
        <w:tc>
          <w:tcPr>
            <w:tcW w:w="4820" w:type="dxa"/>
            <w:vAlign w:val="bottom"/>
            <w:gridSpan w:val="12"/>
          </w:tcPr>
          <w:p>
            <w:pPr>
              <w:ind w:left="140"/>
              <w:spacing w:after="0" w:line="182" w:lineRule="exact"/>
              <w:rPr>
                <w:rFonts w:ascii="Times New Roman" w:cs="Times New Roman" w:eastAsia="Times New Roman" w:hAnsi="Times New Roman"/>
                <w:sz w:val="18"/>
                <w:szCs w:val="18"/>
                <w:color w:val="0563C1"/>
              </w:rPr>
            </w:pPr>
            <w:hyperlink r:id="rId159">
              <w:r>
                <w:rPr>
                  <w:rFonts w:ascii="Times New Roman" w:cs="Times New Roman" w:eastAsia="Times New Roman" w:hAnsi="Times New Roman"/>
                  <w:sz w:val="18"/>
                  <w:szCs w:val="18"/>
                  <w:color w:val="0563C1"/>
                </w:rPr>
                <w:t>by reference to Annex C to the Registrant’s Proxy</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563C1"/>
              <w:bottom w:val="single" w:sz="8" w:color="0563C1"/>
            </w:tcBorders>
          </w:tcPr>
          <w:p>
            <w:pPr>
              <w:spacing w:after="0" w:line="169" w:lineRule="exact"/>
              <w:rPr>
                <w:rFonts w:ascii="Times New Roman" w:cs="Times New Roman" w:eastAsia="Times New Roman" w:hAnsi="Times New Roman"/>
                <w:sz w:val="18"/>
                <w:szCs w:val="18"/>
                <w:color w:val="0563C1"/>
                <w:w w:val="99"/>
              </w:rPr>
            </w:pPr>
            <w:hyperlink r:id="rId159">
              <w:r>
                <w:rPr>
                  <w:rFonts w:ascii="Times New Roman" w:cs="Times New Roman" w:eastAsia="Times New Roman" w:hAnsi="Times New Roman"/>
                  <w:sz w:val="18"/>
                  <w:szCs w:val="18"/>
                  <w:color w:val="0563C1"/>
                  <w:w w:val="99"/>
                </w:rPr>
                <w:t>Statement/Prospectus on Form S-4 (Registration No. 333-249785)).</w:t>
              </w:r>
            </w:hyperlink>
          </w:p>
        </w:tc>
        <w:tc>
          <w:tcPr>
            <w:tcW w:w="4260" w:type="dxa"/>
            <w:vAlign w:val="bottom"/>
            <w:tcBorders>
              <w:top w:val="single" w:sz="8" w:color="0563C1"/>
            </w:tcBorders>
            <w:gridSpan w:val="7"/>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5"/>
          </w:tcPr>
          <w:p>
            <w:pPr>
              <w:spacing w:after="0" w:line="182" w:lineRule="exact"/>
              <w:rPr>
                <w:rFonts w:ascii="Times New Roman" w:cs="Times New Roman" w:eastAsia="Times New Roman" w:hAnsi="Times New Roman"/>
                <w:sz w:val="18"/>
                <w:szCs w:val="18"/>
                <w:color w:val="0563C1"/>
              </w:rPr>
            </w:pPr>
            <w:hyperlink r:id="rId160">
              <w:r>
                <w:rPr>
                  <w:rFonts w:ascii="Times New Roman" w:cs="Times New Roman" w:eastAsia="Times New Roman" w:hAnsi="Times New Roman"/>
                  <w:sz w:val="18"/>
                  <w:szCs w:val="18"/>
                  <w:color w:val="0563C1"/>
                </w:rPr>
                <w:t>Form of Specimen Common Stock Certificate (incorporated by reference to Exhibit 4.1 to Form S-4/A (Registration No. 333-249785)).</w:t>
              </w:r>
            </w:hyperlink>
          </w:p>
        </w:tc>
        <w:tc>
          <w:tcPr>
            <w:tcW w:w="0" w:type="dxa"/>
            <w:vAlign w:val="bottom"/>
          </w:tcPr>
          <w:p>
            <w:pPr>
              <w:spacing w:after="0"/>
              <w:rPr>
                <w:sz w:val="1"/>
                <w:szCs w:val="1"/>
                <w:color w:val="auto"/>
              </w:rPr>
            </w:pPr>
          </w:p>
        </w:tc>
      </w:tr>
      <w:tr>
        <w:trPr>
          <w:trHeight w:val="183"/>
        </w:trPr>
        <w:tc>
          <w:tcPr>
            <w:tcW w:w="940" w:type="dxa"/>
            <w:vAlign w:val="bottom"/>
          </w:tcPr>
          <w:p>
            <w:pPr>
              <w:jc w:val="right"/>
              <w:ind w:right="432"/>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563C1"/>
            </w:tcBorders>
            <w:gridSpan w:val="12"/>
          </w:tcPr>
          <w:p>
            <w:pPr>
              <w:spacing w:after="0" w:line="182" w:lineRule="exact"/>
              <w:rPr>
                <w:rFonts w:ascii="Times New Roman" w:cs="Times New Roman" w:eastAsia="Times New Roman" w:hAnsi="Times New Roman"/>
                <w:sz w:val="18"/>
                <w:szCs w:val="18"/>
                <w:color w:val="0563C1"/>
              </w:rPr>
            </w:pPr>
            <w:hyperlink r:id="rId161">
              <w:r>
                <w:rPr>
                  <w:rFonts w:ascii="Times New Roman" w:cs="Times New Roman" w:eastAsia="Times New Roman" w:hAnsi="Times New Roman"/>
                  <w:sz w:val="18"/>
                  <w:szCs w:val="18"/>
                  <w:color w:val="0563C1"/>
                </w:rPr>
                <w:t>Registration Rights Agreement, dated February 5, 2021, by and among Gemini Therapeutics, Inc. and the stockholder parties thereto</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563C1"/>
            </w:tcBorders>
            <w:gridSpan w:val="9"/>
          </w:tcPr>
          <w:p>
            <w:pPr>
              <w:spacing w:after="0" w:line="169" w:lineRule="exact"/>
              <w:rPr>
                <w:rFonts w:ascii="Times New Roman" w:cs="Times New Roman" w:eastAsia="Times New Roman" w:hAnsi="Times New Roman"/>
                <w:sz w:val="18"/>
                <w:szCs w:val="18"/>
                <w:color w:val="0563C1"/>
              </w:rPr>
            </w:pPr>
            <w:hyperlink r:id="rId161">
              <w:r>
                <w:rPr>
                  <w:rFonts w:ascii="Times New Roman" w:cs="Times New Roman" w:eastAsia="Times New Roman" w:hAnsi="Times New Roman"/>
                  <w:sz w:val="18"/>
                  <w:szCs w:val="18"/>
                  <w:color w:val="0563C1"/>
                </w:rPr>
                <w:t>(incorporated by reference to Exhibit 10.1 on Form 8-A12B/A filed on February 5, 2021).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top w:val="single" w:sz="8" w:color="0563C1"/>
            </w:tcBorders>
            <w:gridSpan w:val="4"/>
          </w:tcPr>
          <w:p>
            <w:pPr>
              <w:spacing w:after="0" w:line="182" w:lineRule="exact"/>
              <w:rPr>
                <w:rFonts w:ascii="Times New Roman" w:cs="Times New Roman" w:eastAsia="Times New Roman" w:hAnsi="Times New Roman"/>
                <w:sz w:val="18"/>
                <w:szCs w:val="18"/>
                <w:color w:val="0563C1"/>
              </w:rPr>
            </w:pPr>
            <w:hyperlink r:id="rId162">
              <w:r>
                <w:rPr>
                  <w:rFonts w:ascii="Times New Roman" w:cs="Times New Roman" w:eastAsia="Times New Roman" w:hAnsi="Times New Roman"/>
                  <w:sz w:val="18"/>
                  <w:szCs w:val="18"/>
                  <w:color w:val="0563C1"/>
                </w:rPr>
                <w:t>Voting Agreement, dated February 5, 2021, by and among Gemini Therapeutics, Inc. and</w:t>
              </w:r>
            </w:hyperlink>
          </w:p>
        </w:tc>
        <w:tc>
          <w:tcPr>
            <w:tcW w:w="3700" w:type="dxa"/>
            <w:vAlign w:val="bottom"/>
            <w:gridSpan w:val="11"/>
          </w:tcPr>
          <w:p>
            <w:pPr>
              <w:spacing w:after="0" w:line="182" w:lineRule="exact"/>
              <w:rPr>
                <w:rFonts w:ascii="Times New Roman" w:cs="Times New Roman" w:eastAsia="Times New Roman" w:hAnsi="Times New Roman"/>
                <w:sz w:val="18"/>
                <w:szCs w:val="18"/>
                <w:color w:val="0563C1"/>
              </w:rPr>
            </w:pPr>
            <w:hyperlink r:id="rId162">
              <w:r>
                <w:rPr>
                  <w:rFonts w:ascii="Times New Roman" w:cs="Times New Roman" w:eastAsia="Times New Roman" w:hAnsi="Times New Roman"/>
                  <w:sz w:val="18"/>
                  <w:szCs w:val="18"/>
                  <w:color w:val="0563C1"/>
                </w:rPr>
                <w:t>the other parties thereto (incorporated by reference</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top w:val="single" w:sz="8" w:color="0563C1"/>
            </w:tcBorders>
            <w:gridSpan w:val="14"/>
          </w:tcPr>
          <w:p>
            <w:pPr>
              <w:spacing w:after="0" w:line="169" w:lineRule="exact"/>
              <w:rPr>
                <w:rFonts w:ascii="Times New Roman" w:cs="Times New Roman" w:eastAsia="Times New Roman" w:hAnsi="Times New Roman"/>
                <w:sz w:val="18"/>
                <w:szCs w:val="18"/>
                <w:color w:val="0563C1"/>
              </w:rPr>
            </w:pPr>
            <w:hyperlink r:id="rId162">
              <w:r>
                <w:rPr>
                  <w:rFonts w:ascii="Times New Roman" w:cs="Times New Roman" w:eastAsia="Times New Roman" w:hAnsi="Times New Roman"/>
                  <w:sz w:val="18"/>
                  <w:szCs w:val="18"/>
                  <w:color w:val="0563C1"/>
                </w:rPr>
                <w:t>to Exhibit 10.2 to the Registrant’s Current Report on Form 8-K filed on February 11,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20" w:type="dxa"/>
            <w:vAlign w:val="bottom"/>
            <w:tcBorders>
              <w:top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9"/>
              </w:rPr>
              <w:t>Advisory Agreement, dated as of April 15, 2022, by and between Gemini Therapeutics, Inc.</w:t>
            </w:r>
          </w:p>
        </w:tc>
        <w:tc>
          <w:tcPr>
            <w:tcW w:w="3560" w:type="dxa"/>
            <w:vAlign w:val="bottom"/>
            <w:gridSpan w:val="10"/>
          </w:tcPr>
          <w:p>
            <w:pPr>
              <w:ind w:left="60"/>
              <w:spacing w:after="0" w:line="182" w:lineRule="exact"/>
              <w:rPr>
                <w:sz w:val="20"/>
                <w:szCs w:val="20"/>
                <w:color w:val="auto"/>
              </w:rPr>
            </w:pPr>
            <w:r>
              <w:rPr>
                <w:rFonts w:ascii="Times New Roman" w:cs="Times New Roman" w:eastAsia="Times New Roman" w:hAnsi="Times New Roman"/>
                <w:sz w:val="18"/>
                <w:szCs w:val="18"/>
                <w:color w:val="0563C1"/>
              </w:rPr>
              <w:t>and Dr. Samuel Barone.</w:t>
            </w:r>
          </w:p>
        </w:tc>
        <w:tc>
          <w:tcPr>
            <w:tcW w:w="0" w:type="dxa"/>
            <w:vAlign w:val="bottom"/>
          </w:tcPr>
          <w:p>
            <w:pPr>
              <w:spacing w:after="0"/>
              <w:rPr>
                <w:sz w:val="1"/>
                <w:szCs w:val="1"/>
                <w:color w:val="auto"/>
              </w:rPr>
            </w:pPr>
          </w:p>
        </w:tc>
      </w:tr>
      <w:tr>
        <w:trPr>
          <w:trHeight w:val="183"/>
        </w:trPr>
        <w:tc>
          <w:tcPr>
            <w:tcW w:w="940" w:type="dxa"/>
            <w:vAlign w:val="bottom"/>
          </w:tcPr>
          <w:p>
            <w:pPr>
              <w:jc w:val="right"/>
              <w:ind w:right="332"/>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0" w:type="dxa"/>
            <w:vAlign w:val="bottom"/>
            <w:tcBorders>
              <w:top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8"/>
              </w:rPr>
              <w:t>Certification of Principal Executive Officer Pursuant to Rules 13a-14(a) and 15d-14(a) under the Securities Exchange</w:t>
            </w:r>
          </w:p>
        </w:tc>
        <w:tc>
          <w:tcPr>
            <w:tcW w:w="1780" w:type="dxa"/>
            <w:vAlign w:val="bottom"/>
            <w:gridSpan w:val="9"/>
          </w:tcPr>
          <w:p>
            <w:pPr>
              <w:ind w:left="120"/>
              <w:spacing w:after="0" w:line="182" w:lineRule="exact"/>
              <w:rPr>
                <w:sz w:val="20"/>
                <w:szCs w:val="20"/>
                <w:color w:val="auto"/>
              </w:rPr>
            </w:pPr>
            <w:r>
              <w:rPr>
                <w:rFonts w:ascii="Times New Roman" w:cs="Times New Roman" w:eastAsia="Times New Roman" w:hAnsi="Times New Roman"/>
                <w:sz w:val="18"/>
                <w:szCs w:val="18"/>
                <w:color w:val="0563C1"/>
              </w:rPr>
              <w:t>Act of 1934, as</w:t>
            </w: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563C1"/>
            </w:tcBorders>
            <w:gridSpan w:val="11"/>
          </w:tcPr>
          <w:p>
            <w:pPr>
              <w:spacing w:after="0" w:line="169"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 2002.</w:t>
            </w:r>
          </w:p>
        </w:tc>
        <w:tc>
          <w:tcPr>
            <w:tcW w:w="5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2"/>
            <w:shd w:val="clear" w:color="auto" w:fill="0563C1"/>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563C1"/>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563C1"/>
            </w:tcBorders>
            <w:gridSpan w:val="10"/>
          </w:tcPr>
          <w:p>
            <w:pPr>
              <w:spacing w:after="0" w:line="169" w:lineRule="exact"/>
              <w:rPr>
                <w:sz w:val="20"/>
                <w:szCs w:val="20"/>
                <w:color w:val="auto"/>
              </w:rPr>
            </w:pPr>
            <w:r>
              <w:rPr>
                <w:rFonts w:ascii="Times New Roman" w:cs="Times New Roman" w:eastAsia="Times New Roman" w:hAnsi="Times New Roman"/>
                <w:sz w:val="18"/>
                <w:szCs w:val="18"/>
                <w:color w:val="0563C1"/>
              </w:rPr>
              <w:t>Adopted Pursuant to Section 302 of the Sarbanes-Oxley Act of 2002.</w:t>
            </w:r>
          </w:p>
        </w:tc>
        <w:tc>
          <w:tcPr>
            <w:tcW w:w="5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2"/>
            <w:shd w:val="clear" w:color="auto" w:fill="0563C1"/>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563C1"/>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40" w:type="dxa"/>
            <w:vAlign w:val="bottom"/>
            <w:gridSpan w:val="7"/>
            <w:shd w:val="clear" w:color="auto" w:fill="0563C1"/>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ind w:right="300" w:firstLine="8"/>
        <w:spacing w:after="0"/>
        <w:tabs>
          <w:tab w:leader="none" w:pos="1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ind w:left="6860"/>
        <w:spacing w:after="0" w:line="219" w:lineRule="auto"/>
        <w:rPr>
          <w:sz w:val="20"/>
          <w:szCs w:val="20"/>
          <w:color w:val="auto"/>
        </w:rPr>
      </w:pPr>
      <w:r>
        <w:rPr>
          <w:rFonts w:ascii="Times New Roman" w:cs="Times New Roman" w:eastAsia="Times New Roman" w:hAnsi="Times New Roman"/>
          <w:sz w:val="18"/>
          <w:szCs w:val="18"/>
          <w:b w:val="1"/>
          <w:bCs w:val="1"/>
          <w:color w:val="auto"/>
        </w:rPr>
        <w:t>Interim President and 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78"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Brian Piekos</w:t>
      </w:r>
    </w:p>
    <w:p>
      <w:pPr>
        <w:jc w:val="center"/>
        <w:ind w:left="60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ADVISORY AGREEMENT</w:t>
      </w:r>
    </w:p>
    <w:p>
      <w:pPr>
        <w:spacing w:after="0" w:line="21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22"/>
          <w:szCs w:val="22"/>
          <w:color w:val="auto"/>
        </w:rPr>
        <w:t>This Advisory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effective as of April 15, 2022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among Gemini Therapeutics Sub,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Samuel Barone MD, Inc., a Florida corporation (the “</w:t>
      </w:r>
      <w:r>
        <w:rPr>
          <w:rFonts w:ascii="Times New Roman" w:cs="Times New Roman" w:eastAsia="Times New Roman" w:hAnsi="Times New Roman"/>
          <w:sz w:val="22"/>
          <w:szCs w:val="22"/>
          <w:b w:val="1"/>
          <w:bCs w:val="1"/>
          <w:i w:val="1"/>
          <w:iCs w:val="1"/>
          <w:color w:val="auto"/>
        </w:rPr>
        <w:t>Advisor</w:t>
      </w:r>
      <w:r>
        <w:rPr>
          <w:rFonts w:ascii="Times New Roman" w:cs="Times New Roman" w:eastAsia="Times New Roman" w:hAnsi="Times New Roman"/>
          <w:sz w:val="22"/>
          <w:szCs w:val="22"/>
          <w:color w:val="auto"/>
        </w:rPr>
        <w:t>”), and Sam Barone, M.D., in his individual capacity.</w:t>
      </w:r>
    </w:p>
    <w:p>
      <w:pPr>
        <w:spacing w:after="0" w:line="164"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22"/>
          <w:szCs w:val="22"/>
          <w:color w:val="auto"/>
        </w:rPr>
        <w:t>The Company desires to retain the services of the Advisor and the Advisor desires to perform certain services for the Company. In consideration of the mutual covenants and promises contained herein and other good and valuable consideration, the receipt and sufficiency of which is hereby acknowledged by the parties hereto, the parties agree as follows:</w:t>
      </w:r>
    </w:p>
    <w:p>
      <w:pPr>
        <w:spacing w:after="0" w:line="208"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760" w:right="20" w:hanging="317"/>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(as defined below) of this Agreement, the Advisor shall provide services to the Company in exchange for certain consideration, as described below.</w:t>
      </w:r>
    </w:p>
    <w:p>
      <w:pPr>
        <w:spacing w:after="0" w:line="198" w:lineRule="exact"/>
        <w:rPr>
          <w:rFonts w:ascii="Times New Roman" w:cs="Times New Roman" w:eastAsia="Times New Roman" w:hAnsi="Times New Roman"/>
          <w:sz w:val="22"/>
          <w:szCs w:val="22"/>
          <w:color w:val="auto"/>
        </w:rPr>
      </w:pPr>
    </w:p>
    <w:p>
      <w:pPr>
        <w:ind w:left="1500" w:hanging="106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Advisor’s Services</w:t>
      </w:r>
      <w:r>
        <w:rPr>
          <w:rFonts w:ascii="Times New Roman" w:cs="Times New Roman" w:eastAsia="Times New Roman" w:hAnsi="Times New Roman"/>
          <w:sz w:val="22"/>
          <w:szCs w:val="22"/>
          <w:color w:val="auto"/>
        </w:rPr>
        <w:t xml:space="preserve">. The Advisor agrees to perform such consulting, advisory and related services to and for the Company as may be reasonably requested from time to time by the Company, including, but not limited to, the services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The Advisor agrees to perform the Services on an as-needed basis, as requested by the Company, at such times and places as are mutually agreed upon by the Company and the Advisor. The Advisor shall use its best efforts, business judgment, and skill in rendering the Services. Advisor acknowledges and agrees that the Company is entering into this Agreement to retain Dr. Barone to perform the Services personally; therefore, Advisor shall not delegate the performance of the Services to other individuals without the written consent of the Company.</w:t>
      </w:r>
    </w:p>
    <w:p>
      <w:pPr>
        <w:spacing w:after="0" w:line="203" w:lineRule="exact"/>
        <w:rPr>
          <w:rFonts w:ascii="Times New Roman" w:cs="Times New Roman" w:eastAsia="Times New Roman" w:hAnsi="Times New Roman"/>
          <w:sz w:val="22"/>
          <w:szCs w:val="22"/>
          <w:color w:val="auto"/>
        </w:rPr>
      </w:pPr>
    </w:p>
    <w:p>
      <w:pPr>
        <w:ind w:left="1500" w:hanging="1066"/>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xml:space="preserve">. As full compensation for the Advisor’s Services provided under this Agreement, the Company shall pay the Advisor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 addition, for the sake of clarity, and notwithstanding anything to the contrary in Section 2(a) of the Retention Agreement (as defined below), the Advisor’s outstanding stock options and other stock-based awards subject to vesting shall continue to vest during the Term (as defined below) in accordance with the time limits and subject to the terms and conditions of the applicable equity award agreements and equity plan (the “</w:t>
      </w:r>
      <w:r>
        <w:rPr>
          <w:rFonts w:ascii="Times New Roman" w:cs="Times New Roman" w:eastAsia="Times New Roman" w:hAnsi="Times New Roman"/>
          <w:sz w:val="22"/>
          <w:szCs w:val="22"/>
          <w:b w:val="1"/>
          <w:bCs w:val="1"/>
          <w:i w:val="1"/>
          <w:iCs w:val="1"/>
          <w:color w:val="auto"/>
        </w:rPr>
        <w:t>Equity Documents</w:t>
      </w:r>
      <w:r>
        <w:rPr>
          <w:rFonts w:ascii="Times New Roman" w:cs="Times New Roman" w:eastAsia="Times New Roman" w:hAnsi="Times New Roman"/>
          <w:sz w:val="22"/>
          <w:szCs w:val="22"/>
          <w:color w:val="auto"/>
        </w:rPr>
        <w:t>”).</w:t>
      </w:r>
    </w:p>
    <w:p>
      <w:pPr>
        <w:spacing w:after="0" w:line="217" w:lineRule="exact"/>
        <w:rPr>
          <w:rFonts w:ascii="Times New Roman" w:cs="Times New Roman" w:eastAsia="Times New Roman" w:hAnsi="Times New Roman"/>
          <w:sz w:val="22"/>
          <w:szCs w:val="22"/>
          <w:color w:val="auto"/>
        </w:rPr>
      </w:pPr>
    </w:p>
    <w:p>
      <w:pPr>
        <w:ind w:left="1500" w:hanging="1066"/>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Conflicts</w:t>
      </w:r>
      <w:r>
        <w:rPr>
          <w:rFonts w:ascii="Times New Roman" w:cs="Times New Roman" w:eastAsia="Times New Roman" w:hAnsi="Times New Roman"/>
          <w:sz w:val="22"/>
          <w:szCs w:val="22"/>
          <w:color w:val="auto"/>
        </w:rPr>
        <w:t>. Advisor represents and warrants that there exist no actual or potential conflicts of interest concerning the Services to be performed under this Agreement, and that if any potential conflicts of interest arise during the Term, the Advisor shall advise the Company immediately. All Services and related documentation in connection with this Agreement shall be kept completely separate from the Advisor’s other consulting, employment or research activities (as applicable). Advisor will not use the funding, resources and facilities of any other third party, without the prior written consent of the Company, to perform Services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jc w:val="both"/>
        <w:ind w:left="892" w:hanging="1065"/>
        <w:spacing w:after="0" w:line="244" w:lineRule="auto"/>
        <w:tabs>
          <w:tab w:leader="none" w:pos="871"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If the Advisor is requested to travel on behalf of the Company, all necessary, reasonable, and documented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out-of-pocket expenditures incurred by the Advisor for travel shall be reimbursed by the Company. All such expenses shall be subject to pre-approval by the Company. The Company shall reimburse the Advisor’s properly incurred expenses within thirty (30) days of receipt of the invoice with supporting documentation.</w:t>
      </w:r>
    </w:p>
    <w:p>
      <w:pPr>
        <w:spacing w:after="0" w:line="213" w:lineRule="exact"/>
        <w:rPr>
          <w:sz w:val="20"/>
          <w:szCs w:val="20"/>
          <w:color w:val="auto"/>
        </w:rPr>
      </w:pPr>
    </w:p>
    <w:p>
      <w:pPr>
        <w:jc w:val="both"/>
        <w:ind w:left="912" w:hanging="1065"/>
        <w:spacing w:after="0"/>
        <w:tabs>
          <w:tab w:leader="none" w:pos="891"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u w:val="single" w:color="auto"/>
          <w:color w:val="auto"/>
        </w:rPr>
        <w:t>Independent Contractor Status</w:t>
      </w:r>
      <w:r>
        <w:rPr>
          <w:rFonts w:ascii="Times New Roman" w:cs="Times New Roman" w:eastAsia="Times New Roman" w:hAnsi="Times New Roman"/>
          <w:sz w:val="22"/>
          <w:szCs w:val="22"/>
          <w:color w:val="auto"/>
        </w:rPr>
        <w:t>. In providing the Services, the Advisor is acting in the capacity of an independent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contractor and not as an employee or agent of the Company. The Advisor has no authority to enter into contracts that bind the Company or to create obligations on the part of the Company. Neither the Advisor nor the Advisor’s employees or agents, if any, shall be entitled to participate in the Company’s employee benefits programs.</w:t>
      </w:r>
    </w:p>
    <w:p>
      <w:pPr>
        <w:spacing w:after="0" w:line="200" w:lineRule="exact"/>
        <w:rPr>
          <w:sz w:val="20"/>
          <w:szCs w:val="20"/>
          <w:color w:val="auto"/>
        </w:rPr>
      </w:pPr>
    </w:p>
    <w:p>
      <w:pPr>
        <w:spacing w:after="0" w:line="273" w:lineRule="exact"/>
        <w:rPr>
          <w:sz w:val="20"/>
          <w:szCs w:val="20"/>
          <w:color w:val="auto"/>
        </w:rPr>
      </w:pPr>
    </w:p>
    <w:p>
      <w:pPr>
        <w:jc w:val="both"/>
        <w:ind w:left="932" w:hanging="1065"/>
        <w:spacing w:after="0" w:line="250" w:lineRule="auto"/>
        <w:tabs>
          <w:tab w:leader="none" w:pos="911"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u w:val="single" w:color="auto"/>
          <w:color w:val="auto"/>
        </w:rPr>
        <w:t>Taxes; Benefits</w:t>
      </w:r>
      <w:r>
        <w:rPr>
          <w:rFonts w:ascii="Times New Roman" w:cs="Times New Roman" w:eastAsia="Times New Roman" w:hAnsi="Times New Roman"/>
          <w:sz w:val="22"/>
          <w:szCs w:val="22"/>
          <w:color w:val="auto"/>
        </w:rPr>
        <w:t>. The Advisor shall have full responsibility for applicable taxes for all compensation paid to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Advisor under this Agreement. To the extent that Advisor engages any employees or agents, Advisor shall be solely responsible for compliance with all applicable labor and employment laws and regulations.</w:t>
      </w:r>
    </w:p>
    <w:p>
      <w:pPr>
        <w:spacing w:after="0" w:line="208" w:lineRule="exact"/>
        <w:rPr>
          <w:sz w:val="20"/>
          <w:szCs w:val="20"/>
          <w:color w:val="auto"/>
        </w:rPr>
      </w:pPr>
    </w:p>
    <w:p>
      <w:pPr>
        <w:jc w:val="both"/>
        <w:ind w:left="952" w:hanging="1065"/>
        <w:spacing w:after="0" w:line="258" w:lineRule="auto"/>
        <w:tabs>
          <w:tab w:leader="none" w:pos="931"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The Advisor shall comply with all laws, rules, and regulations applicable to its activities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performing the Services.</w:t>
      </w:r>
    </w:p>
    <w:p>
      <w:pPr>
        <w:spacing w:after="0" w:line="199" w:lineRule="exact"/>
        <w:rPr>
          <w:sz w:val="20"/>
          <w:szCs w:val="20"/>
          <w:color w:val="auto"/>
        </w:rPr>
      </w:pPr>
    </w:p>
    <w:p>
      <w:pPr>
        <w:ind w:left="432" w:hanging="432"/>
        <w:spacing w:after="0"/>
        <w:tabs>
          <w:tab w:leader="none" w:pos="43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492" w:right="20" w:hanging="1066"/>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Unless terminated earlier as provided in this Agreement, or extended by the written agreement of both the Company and the Advisor, the term of this Agreement shall commence on the Effective Date and continue until June 30, 2022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ind w:left="1492" w:hanging="1066"/>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This Agreement may be terminated by either party fifteen (15) days after written notice to the other of intent to terminate. Notwithstanding the foregoing, the Company may immediately terminate this Agreement at any time if the Advisor breaches or threatens to breach any provision of this Agreement. Upon any early termination, the Advisor shall be paid within thirty (30) days of such termination for any portion of the Services provided and for any expenses properly incurred pursuant to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prior to such early termination.</w:t>
      </w:r>
    </w:p>
    <w:p>
      <w:pPr>
        <w:spacing w:after="0" w:line="200" w:lineRule="exact"/>
        <w:rPr>
          <w:rFonts w:ascii="Times New Roman" w:cs="Times New Roman" w:eastAsia="Times New Roman" w:hAnsi="Times New Roman"/>
          <w:sz w:val="22"/>
          <w:szCs w:val="22"/>
          <w:color w:val="auto"/>
        </w:rPr>
      </w:pPr>
    </w:p>
    <w:p>
      <w:pPr>
        <w:ind w:left="432" w:hanging="432"/>
        <w:spacing w:after="0"/>
        <w:tabs>
          <w:tab w:leader="none" w:pos="43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272" w:hanging="694"/>
        <w:spacing w:after="0" w:line="243" w:lineRule="auto"/>
        <w:tabs>
          <w:tab w:leader="none" w:pos="1251"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Existing Obligations</w:t>
      </w:r>
      <w:r>
        <w:rPr>
          <w:rFonts w:ascii="Times New Roman" w:cs="Times New Roman" w:eastAsia="Times New Roman" w:hAnsi="Times New Roman"/>
          <w:sz w:val="22"/>
          <w:szCs w:val="22"/>
          <w:color w:val="auto"/>
        </w:rPr>
        <w:t>. The Advisor acknowledges and agrees that Dr. Barone has existing obligations to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as set forth in the Retention Agreement, by and between Dr. Barone and Gemini Therapeutics, Inc. (“</w:t>
      </w:r>
      <w:r>
        <w:rPr>
          <w:rFonts w:ascii="Times New Roman" w:cs="Times New Roman" w:eastAsia="Times New Roman" w:hAnsi="Times New Roman"/>
          <w:sz w:val="22"/>
          <w:szCs w:val="22"/>
          <w:b w:val="1"/>
          <w:bCs w:val="1"/>
          <w:i w:val="1"/>
          <w:iCs w:val="1"/>
          <w:color w:val="auto"/>
        </w:rPr>
        <w:t>Gemini</w:t>
      </w:r>
      <w:r>
        <w:rPr>
          <w:rFonts w:ascii="Times New Roman" w:cs="Times New Roman" w:eastAsia="Times New Roman" w:hAnsi="Times New Roman"/>
          <w:sz w:val="22"/>
          <w:szCs w:val="22"/>
          <w:color w:val="auto"/>
        </w:rPr>
        <w:t>”), dated October 4, 2021 (the “</w:t>
      </w:r>
      <w:r>
        <w:rPr>
          <w:rFonts w:ascii="Times New Roman" w:cs="Times New Roman" w:eastAsia="Times New Roman" w:hAnsi="Times New Roman"/>
          <w:sz w:val="22"/>
          <w:szCs w:val="22"/>
          <w:b w:val="1"/>
          <w:bCs w:val="1"/>
          <w:i w:val="1"/>
          <w:iCs w:val="1"/>
          <w:color w:val="auto"/>
        </w:rPr>
        <w:t>Retention Agreement</w:t>
      </w:r>
      <w:r>
        <w:rPr>
          <w:rFonts w:ascii="Times New Roman" w:cs="Times New Roman" w:eastAsia="Times New Roman" w:hAnsi="Times New Roman"/>
          <w:sz w:val="22"/>
          <w:szCs w:val="22"/>
          <w:color w:val="auto"/>
        </w:rPr>
        <w:t>”), and any other confidentiality, assignment of inventions or other restrictive covenant agreement or obligation entered into by Dr. Barone and Gemini and/or the Company (collectively with the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211455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612" w:right="339" w:bottom="1440" w:gutter="0" w:footer="0" w:header="0"/>
        </w:sectPr>
      </w:pPr>
    </w:p>
    <w:bookmarkStart w:id="35" w:name="page36"/>
    <w:bookmarkEnd w:id="35"/>
    <w:p>
      <w:pPr>
        <w:jc w:val="both"/>
        <w:ind w:left="1492"/>
        <w:spacing w:after="0" w:line="242" w:lineRule="auto"/>
        <w:rPr>
          <w:sz w:val="20"/>
          <w:szCs w:val="20"/>
          <w:color w:val="auto"/>
        </w:rPr>
      </w:pPr>
      <w:r>
        <w:rPr>
          <w:rFonts w:ascii="Times New Roman" w:cs="Times New Roman" w:eastAsia="Times New Roman" w:hAnsi="Times New Roman"/>
          <w:sz w:val="22"/>
          <w:szCs w:val="22"/>
          <w:color w:val="auto"/>
        </w:rPr>
        <w:t>set forth in the Retention Agreement and the obligations referred to herein, the “</w:t>
      </w:r>
      <w:r>
        <w:rPr>
          <w:rFonts w:ascii="Times New Roman" w:cs="Times New Roman" w:eastAsia="Times New Roman" w:hAnsi="Times New Roman"/>
          <w:sz w:val="22"/>
          <w:szCs w:val="22"/>
          <w:b w:val="1"/>
          <w:bCs w:val="1"/>
          <w:i w:val="1"/>
          <w:iCs w:val="1"/>
          <w:color w:val="auto"/>
        </w:rPr>
        <w:t>Existing Obligations</w:t>
      </w:r>
      <w:r>
        <w:rPr>
          <w:rFonts w:ascii="Times New Roman" w:cs="Times New Roman" w:eastAsia="Times New Roman" w:hAnsi="Times New Roman"/>
          <w:sz w:val="22"/>
          <w:szCs w:val="22"/>
          <w:color w:val="auto"/>
        </w:rPr>
        <w:t>”). The Advisor further acknowledges its relationship as an Advisor to the Company is one of high trust and confidence and in the course of performing the Services, Advisor will continue to have access to and contract with Proprietary Information (as defined in the Retention Agreement). Accordingly, the Advisor acknowledges and agrees that the Existing Obligations shall apply to its engagement hereunder and the Services provided pursuant to this Agreement.</w:t>
      </w:r>
    </w:p>
    <w:p>
      <w:pPr>
        <w:spacing w:after="0" w:line="217" w:lineRule="exact"/>
        <w:rPr>
          <w:sz w:val="20"/>
          <w:szCs w:val="20"/>
          <w:color w:val="auto"/>
        </w:rPr>
      </w:pPr>
    </w:p>
    <w:p>
      <w:pPr>
        <w:jc w:val="both"/>
        <w:ind w:left="1252" w:hanging="694"/>
        <w:spacing w:after="0" w:line="243" w:lineRule="auto"/>
        <w:tabs>
          <w:tab w:leader="none" w:pos="1232"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Upon expiration or termination of this Agreement or at any other time upon request by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the Advisor shall promptly deliver to the Company all records, files, memoranda, notes, designs, data, reports, drawings, plans, sketches, laboratory and research notebooks and other documents (and all copies or reproductions of such materials) relating to the Company and any other Company property in Advisor’s possession, including the Company-owned laptop.</w:t>
      </w:r>
    </w:p>
    <w:p>
      <w:pPr>
        <w:spacing w:after="0" w:line="204" w:lineRule="exact"/>
        <w:rPr>
          <w:sz w:val="20"/>
          <w:szCs w:val="20"/>
          <w:color w:val="auto"/>
        </w:rPr>
      </w:pPr>
    </w:p>
    <w:p>
      <w:pPr>
        <w:jc w:val="both"/>
        <w:ind w:left="952" w:hanging="1065"/>
        <w:spacing w:after="0" w:line="241" w:lineRule="auto"/>
        <w:tabs>
          <w:tab w:leader="none" w:pos="932"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Notice Pursuant to Defend Trade Secrets Act</w:t>
      </w:r>
      <w:r>
        <w:rPr>
          <w:rFonts w:ascii="Times New Roman" w:cs="Times New Roman" w:eastAsia="Times New Roman" w:hAnsi="Times New Roman"/>
          <w:sz w:val="22"/>
          <w:szCs w:val="22"/>
          <w:color w:val="auto"/>
        </w:rPr>
        <w:t>. Notwithstanding any provision of this Agreement prohibiting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disclosure of trade secrets or other Proprietary Information, Advisor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17" w:lineRule="exact"/>
        <w:rPr>
          <w:sz w:val="20"/>
          <w:szCs w:val="20"/>
          <w:color w:val="auto"/>
        </w:rPr>
      </w:pPr>
    </w:p>
    <w:p>
      <w:pPr>
        <w:jc w:val="both"/>
        <w:ind w:left="1352" w:hanging="1065"/>
        <w:spacing w:after="0" w:line="241" w:lineRule="auto"/>
        <w:tabs>
          <w:tab w:leader="none" w:pos="1332"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u w:val="single" w:color="auto"/>
          <w:color w:val="auto"/>
        </w:rPr>
        <w:t>Third Party Agreements</w:t>
      </w:r>
      <w:r>
        <w:rPr>
          <w:rFonts w:ascii="Times New Roman" w:cs="Times New Roman" w:eastAsia="Times New Roman" w:hAnsi="Times New Roman"/>
          <w:sz w:val="22"/>
          <w:szCs w:val="22"/>
          <w:color w:val="auto"/>
        </w:rPr>
        <w:t>. The Advisor acknowledges that the Company from time to time may have agreements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other persons or with U.S. federal, state, or local government bodies, or agencies thereof, that impose obligations or restrictions on the Company regarding inventions made during the course of work under such agreements or regarding the confidential nature of such work. The Advisor agrees to be bound by all such obligations and restrictions that are known to Advisor and to take all action necessary to discharge the obligations of the Company under such agreements.</w:t>
      </w:r>
    </w:p>
    <w:p>
      <w:pPr>
        <w:spacing w:after="0" w:line="217" w:lineRule="exact"/>
        <w:rPr>
          <w:sz w:val="20"/>
          <w:szCs w:val="20"/>
          <w:color w:val="auto"/>
        </w:rPr>
      </w:pPr>
    </w:p>
    <w:p>
      <w:pPr>
        <w:jc w:val="both"/>
        <w:ind w:left="952" w:hanging="1065"/>
        <w:spacing w:after="0" w:line="244" w:lineRule="auto"/>
        <w:tabs>
          <w:tab w:leader="none" w:pos="932"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u w:val="single" w:color="auto"/>
          <w:color w:val="auto"/>
        </w:rPr>
        <w:t>Destruction of Proprietary Information</w:t>
      </w:r>
      <w:r>
        <w:rPr>
          <w:rFonts w:ascii="Times New Roman" w:cs="Times New Roman" w:eastAsia="Times New Roman" w:hAnsi="Times New Roman"/>
          <w:sz w:val="22"/>
          <w:szCs w:val="22"/>
          <w:color w:val="auto"/>
        </w:rPr>
        <w:t>. If the Company issues a written request to the Advisor to destroy 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Proprietary Information in the Advisor’s possession, then within ten (10) days of such written request, the Advisor shall destroy all such Proprietary Information and shall certify in writing to the Company that such destruction has occurred.</w:t>
      </w:r>
    </w:p>
    <w:p>
      <w:pPr>
        <w:spacing w:after="0" w:line="213" w:lineRule="exact"/>
        <w:rPr>
          <w:sz w:val="20"/>
          <w:szCs w:val="20"/>
          <w:color w:val="auto"/>
        </w:rPr>
      </w:pPr>
    </w:p>
    <w:p>
      <w:pPr>
        <w:ind w:left="432" w:hanging="432"/>
        <w:spacing w:after="0"/>
        <w:tabs>
          <w:tab w:leader="none" w:pos="43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Company Intellectual Property.</w:t>
      </w:r>
    </w:p>
    <w:p>
      <w:pPr>
        <w:spacing w:after="0" w:line="247" w:lineRule="exact"/>
        <w:rPr>
          <w:sz w:val="20"/>
          <w:szCs w:val="20"/>
          <w:color w:val="auto"/>
        </w:rPr>
      </w:pPr>
    </w:p>
    <w:p>
      <w:pPr>
        <w:ind w:left="1492" w:hanging="694"/>
        <w:spacing w:after="0" w:line="244" w:lineRule="auto"/>
        <w:rPr>
          <w:sz w:val="20"/>
          <w:szCs w:val="20"/>
          <w:color w:val="auto"/>
        </w:rPr>
      </w:pPr>
      <w:r>
        <w:rPr>
          <w:rFonts w:ascii="Times New Roman" w:cs="Times New Roman" w:eastAsia="Times New Roman" w:hAnsi="Times New Roman"/>
          <w:sz w:val="22"/>
          <w:szCs w:val="22"/>
          <w:color w:val="auto"/>
        </w:rPr>
        <w:t>4.1 All</w:t>
      </w:r>
      <w:r>
        <w:rPr>
          <w:sz w:val="20"/>
          <w:szCs w:val="20"/>
          <w:color w:val="auto"/>
        </w:rPr>
        <w:t xml:space="preserve"> </w:t>
      </w:r>
      <w:r>
        <w:rPr>
          <w:rFonts w:ascii="Times New Roman" w:cs="Times New Roman" w:eastAsia="Times New Roman" w:hAnsi="Times New Roman"/>
          <w:sz w:val="22"/>
          <w:szCs w:val="22"/>
          <w:color w:val="auto"/>
        </w:rPr>
        <w:t>inventions, discoveries, data, technology, designs, creations, deliverables, documents, information, formulations, products, ideas, trade secrets, know-how, materials, processes, research, innovations and improvements (whether or not patentable, whether or not copyrightable, and whether or not registrable as a trademark or service mark), including all intellectual property rights therein,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9" w:right="339" w:bottom="1440" w:gutter="0" w:footer="0" w:header="0"/>
        </w:sectPr>
      </w:pPr>
    </w:p>
    <w:bookmarkStart w:id="36" w:name="page37"/>
    <w:bookmarkEnd w:id="36"/>
    <w:p>
      <w:pPr>
        <w:jc w:val="both"/>
        <w:ind w:left="380"/>
        <w:spacing w:after="0" w:line="260" w:lineRule="auto"/>
        <w:rPr>
          <w:sz w:val="20"/>
          <w:szCs w:val="20"/>
          <w:color w:val="auto"/>
        </w:rPr>
      </w:pPr>
      <w:r>
        <w:rPr>
          <w:rFonts w:ascii="Times New Roman" w:cs="Times New Roman" w:eastAsia="Times New Roman" w:hAnsi="Times New Roman"/>
          <w:sz w:val="21"/>
          <w:szCs w:val="21"/>
          <w:color w:val="auto"/>
        </w:rPr>
        <w:t>are made, conceived, reduced to practice, created, written, designed or developed by the Advisor, solely or jointly with others and whether during normal business hours or otherwise, that (i) are related to the Company,</w:t>
      </w:r>
    </w:p>
    <w:p>
      <w:pPr>
        <w:jc w:val="both"/>
        <w:ind w:left="380" w:firstLine="5"/>
        <w:spacing w:after="0" w:line="236" w:lineRule="auto"/>
        <w:tabs>
          <w:tab w:leader="none" w:pos="75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from or related to the performance of Services, or (iii) resulting or derived from Proprietary Information (collectively under clauses (i) through (iii),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shall be the sole property of the Company and shall be considered “works made for hire” within the meaning of the United States Copyright Act. The Company shall be the exclusive owner of all worldwide right, title and interest in and to such Inventions, including, but not limited to, all proprietary and intellectual property rights therein. To the extent any Invention may for any reason not be deemed a work made for hire, or to the extent any right, title or interest in or to such Invention, or any part thereof, may not by operation of law vest in the Company, then the Advisor hereby irrevocably assigns all right, title and interest worldwide in and to all Inventions and any and all related patents, copyrights, trademarks, trade names, and other industrial and intellectual property rights and applications therefor, to the Company and appoints any officer of the Company as the Advisor’s duly authorized attorney to execute, file, prosecute and protect the same before any government agency, court or authority. The Advisor hereby waives all claims to moral rights in any Invention.</w:t>
      </w:r>
    </w:p>
    <w:p>
      <w:pPr>
        <w:spacing w:after="0" w:line="217" w:lineRule="exact"/>
        <w:rPr>
          <w:sz w:val="20"/>
          <w:szCs w:val="20"/>
          <w:color w:val="auto"/>
        </w:rPr>
      </w:pPr>
    </w:p>
    <w:p>
      <w:pPr>
        <w:jc w:val="both"/>
        <w:ind w:left="380" w:hanging="694"/>
        <w:spacing w:after="0" w:line="238" w:lineRule="auto"/>
        <w:rPr>
          <w:sz w:val="20"/>
          <w:szCs w:val="20"/>
          <w:color w:val="auto"/>
        </w:rPr>
      </w:pPr>
      <w:r>
        <w:rPr>
          <w:rFonts w:ascii="Times New Roman" w:cs="Times New Roman" w:eastAsia="Times New Roman" w:hAnsi="Times New Roman"/>
          <w:sz w:val="22"/>
          <w:szCs w:val="22"/>
          <w:color w:val="auto"/>
        </w:rPr>
        <w:t>4.2 The Advisor agrees that if, in the course of performing the Services, the Advisor incorporates or intends to incorporate into any Invention developed under this Agreement any preexisting invention, improvement, development, concept, discovery or other proprietary information owned by the Advisor or in which the Advisor has an interest (“</w:t>
      </w:r>
      <w:r>
        <w:rPr>
          <w:rFonts w:ascii="Times New Roman" w:cs="Times New Roman" w:eastAsia="Times New Roman" w:hAnsi="Times New Roman"/>
          <w:sz w:val="22"/>
          <w:szCs w:val="22"/>
          <w:b w:val="1"/>
          <w:bCs w:val="1"/>
          <w:i w:val="1"/>
          <w:iCs w:val="1"/>
          <w:color w:val="auto"/>
        </w:rPr>
        <w:t>Prior Inventions</w:t>
      </w:r>
      <w:r>
        <w:rPr>
          <w:rFonts w:ascii="Times New Roman" w:cs="Times New Roman" w:eastAsia="Times New Roman" w:hAnsi="Times New Roman"/>
          <w:sz w:val="22"/>
          <w:szCs w:val="22"/>
          <w:color w:val="auto"/>
        </w:rPr>
        <w:t>”), (i) the Advisor will inform the Company, in writing before incorporating such Prior Inventions into any Invention, and (ii) the Company is hereby granted a nonexclusive, royalty-free, perpetual, irrevocable, transferable worldwide license with the right to grant and authorize sublicenses, to make, have made, modify,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The Advisor will not incorporate any invention, improvement, development, concept, discovery or other proprietary information owned by any third party into any Invention without the Company’s prior written permission.</w:t>
      </w:r>
    </w:p>
    <w:p>
      <w:pPr>
        <w:spacing w:after="0" w:line="216" w:lineRule="exact"/>
        <w:rPr>
          <w:sz w:val="20"/>
          <w:szCs w:val="20"/>
          <w:color w:val="auto"/>
        </w:rPr>
      </w:pPr>
    </w:p>
    <w:p>
      <w:pPr>
        <w:jc w:val="both"/>
        <w:ind w:left="380" w:hanging="694"/>
        <w:spacing w:after="0" w:line="264" w:lineRule="auto"/>
        <w:rPr>
          <w:sz w:val="20"/>
          <w:szCs w:val="20"/>
          <w:color w:val="auto"/>
        </w:rPr>
      </w:pPr>
      <w:r>
        <w:rPr>
          <w:rFonts w:ascii="Times New Roman" w:cs="Times New Roman" w:eastAsia="Times New Roman" w:hAnsi="Times New Roman"/>
          <w:sz w:val="21"/>
          <w:szCs w:val="21"/>
          <w:color w:val="auto"/>
        </w:rPr>
        <w:t>4.3 Upon the request of the Company and at the Company’s expense, the Advisor shall execute such further assignments, documents and other instruments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w:t>
      </w:r>
    </w:p>
    <w:p>
      <w:pPr>
        <w:spacing w:after="0" w:line="179" w:lineRule="exact"/>
        <w:rPr>
          <w:sz w:val="20"/>
          <w:szCs w:val="20"/>
          <w:color w:val="auto"/>
        </w:rPr>
      </w:pPr>
    </w:p>
    <w:p>
      <w:pPr>
        <w:jc w:val="both"/>
        <w:ind w:left="380" w:right="20" w:hanging="694"/>
        <w:spacing w:after="0" w:line="271" w:lineRule="auto"/>
        <w:rPr>
          <w:sz w:val="20"/>
          <w:szCs w:val="20"/>
          <w:color w:val="auto"/>
        </w:rPr>
      </w:pPr>
      <w:r>
        <w:rPr>
          <w:rFonts w:ascii="Times New Roman" w:cs="Times New Roman" w:eastAsia="Times New Roman" w:hAnsi="Times New Roman"/>
          <w:sz w:val="22"/>
          <w:szCs w:val="22"/>
          <w:color w:val="auto"/>
        </w:rPr>
        <w:t>4.4 The Advisor shall promptly disclose to the Company all Inventions and will maintain adequate and current written records (in the form of notes, sketches,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182245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7" w:name="page38"/>
    <w:bookmarkEnd w:id="37"/>
    <w:p>
      <w:pPr>
        <w:jc w:val="both"/>
        <w:ind w:left="1492"/>
        <w:spacing w:after="0" w:line="250" w:lineRule="auto"/>
        <w:rPr>
          <w:sz w:val="20"/>
          <w:szCs w:val="20"/>
          <w:color w:val="auto"/>
        </w:rPr>
      </w:pPr>
      <w:r>
        <w:rPr>
          <w:rFonts w:ascii="Times New Roman" w:cs="Times New Roman" w:eastAsia="Times New Roman" w:hAnsi="Times New Roman"/>
          <w:sz w:val="22"/>
          <w:szCs w:val="22"/>
          <w:color w:val="auto"/>
        </w:rPr>
        <w:t>drawings and as may be specified by the Company) to document the conception and/or first actual reduction to practice of any Invention. Such written records shall be available to and remain the sole property of the Company at all times.</w:t>
      </w:r>
    </w:p>
    <w:p>
      <w:pPr>
        <w:spacing w:after="0" w:line="208" w:lineRule="exact"/>
        <w:rPr>
          <w:sz w:val="20"/>
          <w:szCs w:val="20"/>
          <w:color w:val="auto"/>
        </w:rPr>
      </w:pPr>
    </w:p>
    <w:p>
      <w:pPr>
        <w:ind w:left="432" w:hanging="432"/>
        <w:spacing w:after="0"/>
        <w:tabs>
          <w:tab w:leader="none" w:pos="43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Obligations; Indemnification and Liabilities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1272" w:hanging="694"/>
        <w:spacing w:after="0" w:line="238" w:lineRule="auto"/>
        <w:tabs>
          <w:tab w:leader="none" w:pos="1251"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u w:val="single" w:color="auto"/>
          <w:color w:val="auto"/>
        </w:rPr>
        <w:t>Other Obligations</w:t>
      </w:r>
      <w:r>
        <w:rPr>
          <w:rFonts w:ascii="Times New Roman" w:cs="Times New Roman" w:eastAsia="Times New Roman" w:hAnsi="Times New Roman"/>
          <w:sz w:val="22"/>
          <w:szCs w:val="22"/>
          <w:color w:val="auto"/>
        </w:rPr>
        <w:t>. The Advisor represents that the Advisor’s retention as an Advisor with the Company and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Advisor’s performance under this Agreement does not, and shall not, breach any agreement that obligates the Advisor to keep in confidence any trade secrets or confidential or proprietary information of the Advisor or of any other party or to refrain from competing, directly or indirectly, with the business of any other party. The Advisor shall not disclose to the Company any trade secrets or confidential or proprietary information of any other party. The Advisor represents and warrants that the Advisor will not incorporate into any deliverables provided to the Company any intellectual property that belongs to a third party, or otherwise use any intellectual property belonging to a third party in connection with providing the Services hereunder, in either case without the express, prior written approval of the Company.</w:t>
      </w:r>
    </w:p>
    <w:p>
      <w:pPr>
        <w:spacing w:after="0" w:line="226" w:lineRule="exact"/>
        <w:rPr>
          <w:sz w:val="20"/>
          <w:szCs w:val="20"/>
          <w:color w:val="auto"/>
        </w:rPr>
      </w:pPr>
    </w:p>
    <w:p>
      <w:pPr>
        <w:ind w:left="432" w:hanging="432"/>
        <w:spacing w:after="0"/>
        <w:tabs>
          <w:tab w:leader="none" w:pos="4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252" w:hanging="694"/>
        <w:spacing w:after="0" w:line="241" w:lineRule="auto"/>
        <w:tabs>
          <w:tab w:leader="none" w:pos="1231"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along with any exhibits to this Agreement, constitutes the entire agreement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between the Company and the Advisor, and supersedes all previous oral or written agreements, regarding the Services to be provided to the Company by the Advisor; provided, however, this Agreement does not in any way merge with or supersede the Existing Obligations or other provisions of the Retention Agreement (including, without limitation, the surviving provisions of the Employment Agreement (as defined in the Retention Agreement) as set forth in the Retention Agreement) or the Equity Documents.</w:t>
      </w:r>
    </w:p>
    <w:p>
      <w:pPr>
        <w:spacing w:after="0" w:line="217" w:lineRule="exact"/>
        <w:rPr>
          <w:sz w:val="20"/>
          <w:szCs w:val="20"/>
          <w:color w:val="auto"/>
        </w:rPr>
      </w:pPr>
    </w:p>
    <w:p>
      <w:pPr>
        <w:jc w:val="both"/>
        <w:ind w:left="1272" w:hanging="694"/>
        <w:spacing w:after="0" w:line="241" w:lineRule="auto"/>
        <w:tabs>
          <w:tab w:leader="none" w:pos="1251"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Advisor acknowledges that any breach of the provisions of</w:t>
      </w:r>
      <w:r>
        <w:rPr>
          <w:rFonts w:ascii="Times New Roman" w:cs="Times New Roman" w:eastAsia="Times New Roman" w:hAnsi="Times New Roman"/>
          <w:sz w:val="22"/>
          <w:szCs w:val="22"/>
          <w:u w:val="single" w:color="auto"/>
          <w:color w:val="auto"/>
        </w:rPr>
        <w:t xml:space="preserve"> Section 3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u w:val="single" w:color="auto"/>
          <w:color w:val="auto"/>
        </w:rPr>
        <w:t xml:space="preserve"> Section 4 </w:t>
      </w:r>
      <w:r>
        <w:rPr>
          <w:rFonts w:ascii="Times New Roman" w:cs="Times New Roman" w:eastAsia="Times New Roman" w:hAnsi="Times New Roman"/>
          <w:sz w:val="22"/>
          <w:szCs w:val="22"/>
          <w:color w:val="auto"/>
        </w:rPr>
        <w:t>of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shall result in serious and irreparable injury to the Company for which the Company cannot be adequately compensated by monetary damages alone. The Advisor agrees, therefore, that, in addition to any other remedy it may have at law or in equity, the Company shall be entitled to enforce the specific performance of this Agreement by the Advisor and to seek both temporary and permanent injunctive relief (to the extent permitted by law) without the necessity of proving actual damages or posting security therefor.</w:t>
      </w:r>
    </w:p>
    <w:p>
      <w:pPr>
        <w:spacing w:after="0" w:line="217" w:lineRule="exact"/>
        <w:rPr>
          <w:sz w:val="20"/>
          <w:szCs w:val="20"/>
          <w:color w:val="auto"/>
        </w:rPr>
      </w:pPr>
    </w:p>
    <w:p>
      <w:pPr>
        <w:jc w:val="both"/>
        <w:ind w:left="1272" w:hanging="694"/>
        <w:spacing w:after="0" w:line="250" w:lineRule="auto"/>
        <w:tabs>
          <w:tab w:leader="none" w:pos="1251"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Any term of this Agreement may be amended or waived only by a writing that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specifically references this Agreement and that is executed by both parties. The failure to enforce any provision of this Agreement by a party shall not constitute a waiver of any term hereof by that party.</w:t>
      </w:r>
    </w:p>
    <w:p>
      <w:pPr>
        <w:spacing w:after="0" w:line="195" w:lineRule="exact"/>
        <w:rPr>
          <w:sz w:val="20"/>
          <w:szCs w:val="20"/>
          <w:color w:val="auto"/>
        </w:rPr>
      </w:pPr>
    </w:p>
    <w:p>
      <w:pPr>
        <w:jc w:val="both"/>
        <w:ind w:left="1272" w:hanging="694"/>
        <w:spacing w:after="0" w:line="271" w:lineRule="auto"/>
        <w:tabs>
          <w:tab w:leader="none" w:pos="1251"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Commonwealth of Massachusetts, excluding its body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38" w:name="page39"/>
    <w:bookmarkEnd w:id="38"/>
    <w:p>
      <w:pPr>
        <w:jc w:val="both"/>
        <w:ind w:left="380"/>
        <w:spacing w:after="0" w:line="250" w:lineRule="auto"/>
        <w:rPr>
          <w:sz w:val="20"/>
          <w:szCs w:val="20"/>
          <w:color w:val="auto"/>
        </w:rPr>
      </w:pPr>
      <w:r>
        <w:rPr>
          <w:rFonts w:ascii="Times New Roman" w:cs="Times New Roman" w:eastAsia="Times New Roman" w:hAnsi="Times New Roman"/>
          <w:sz w:val="22"/>
          <w:szCs w:val="22"/>
          <w:color w:val="auto"/>
        </w:rPr>
        <w:t>controlling conflict of laws. Any legal action or proceeding arising under this Agreement will be brought exclusively in the federal or state courts located in Boston, Massachusetts and the parties irrevocably consent to the personal jurisdiction and venue therein.</w:t>
      </w:r>
    </w:p>
    <w:p>
      <w:pPr>
        <w:spacing w:after="0" w:line="208" w:lineRule="exact"/>
        <w:rPr>
          <w:sz w:val="20"/>
          <w:szCs w:val="20"/>
          <w:color w:val="auto"/>
        </w:rPr>
      </w:pPr>
    </w:p>
    <w:p>
      <w:pPr>
        <w:jc w:val="both"/>
        <w:ind w:left="380" w:hanging="694"/>
        <w:spacing w:after="0" w:line="24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Advisor are personal and shall not be assigned by the Advisor without the prior written consent of the Company.</w:t>
      </w:r>
    </w:p>
    <w:p>
      <w:pPr>
        <w:spacing w:after="0" w:line="213" w:lineRule="exact"/>
        <w:rPr>
          <w:sz w:val="20"/>
          <w:szCs w:val="20"/>
          <w:color w:val="auto"/>
        </w:rPr>
      </w:pPr>
    </w:p>
    <w:p>
      <w:pPr>
        <w:jc w:val="both"/>
        <w:ind w:left="380" w:hanging="694"/>
        <w:spacing w:after="0" w:line="250"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Use of Other Names</w:t>
      </w:r>
      <w:r>
        <w:rPr>
          <w:rFonts w:ascii="Times New Roman" w:cs="Times New Roman" w:eastAsia="Times New Roman" w:hAnsi="Times New Roman"/>
          <w:sz w:val="22"/>
          <w:szCs w:val="22"/>
          <w:color w:val="auto"/>
        </w:rPr>
        <w:t>. Except as required by law, before either party uses the name of the other party or refers to the existence or terms of this Agreement in any publication or other public disclosure, it shall obtain prior written permission from the other party.</w:t>
      </w:r>
    </w:p>
    <w:p>
      <w:pPr>
        <w:spacing w:after="0" w:line="195" w:lineRule="exact"/>
        <w:rPr>
          <w:sz w:val="20"/>
          <w:szCs w:val="20"/>
          <w:color w:val="auto"/>
        </w:rPr>
      </w:pPr>
    </w:p>
    <w:p>
      <w:pPr>
        <w:jc w:val="both"/>
        <w:ind w:left="380" w:hanging="694"/>
        <w:spacing w:after="0" w:line="241"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required or permitted hereunder shall be in writing and given to the appropriate party at the address specified above, or at such other address or addresses as either party shall designate to the other in accordance with this Section. A notice shall be deemed given upon personal delivery to the appropriate address, one business day after the date of transmission if sent by facsimile or electronic transmission (with confirmation of transmission), or one business day after the date of shipping if sent by an internationally recognized overnight courier. Any party may change its address for notification purposes, without amending this Agreement, upon advance written notice to the other party delivered in accordance with this paragraph.</w:t>
      </w:r>
    </w:p>
    <w:p>
      <w:pPr>
        <w:spacing w:after="0" w:line="220" w:lineRule="exact"/>
        <w:rPr>
          <w:sz w:val="20"/>
          <w:szCs w:val="20"/>
          <w:color w:val="auto"/>
        </w:rPr>
      </w:pPr>
    </w:p>
    <w:p>
      <w:pPr>
        <w:jc w:val="both"/>
        <w:ind w:left="380" w:hanging="694"/>
        <w:spacing w:after="0" w:line="259"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provisions of this Agreement are held to be unenforceable under applicable law by a court of competent jurisdiction, the parties agree to renegotiate on a good faith basis the unenforceable provision. If the parties cannot reach a mutually agreeable and enforceable replacement for the unenforceable provision, then the unenforceable provision shall be severed and all remaining provisions shall continue in full force and effect.</w:t>
      </w:r>
    </w:p>
    <w:p>
      <w:pPr>
        <w:spacing w:after="0" w:line="200" w:lineRule="exact"/>
        <w:rPr>
          <w:sz w:val="20"/>
          <w:szCs w:val="20"/>
          <w:color w:val="auto"/>
        </w:rPr>
      </w:pPr>
    </w:p>
    <w:p>
      <w:pPr>
        <w:jc w:val="both"/>
        <w:ind w:left="160" w:hanging="694"/>
        <w:spacing w:after="0" w:line="258" w:lineRule="auto"/>
        <w:tabs>
          <w:tab w:leader="none" w:pos="14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Sections 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5</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u w:val="single" w:color="auto"/>
          <w:color w:val="auto"/>
        </w:rPr>
        <w:t xml:space="preserve"> 6 </w:t>
      </w:r>
      <w:r>
        <w:rPr>
          <w:rFonts w:ascii="Times New Roman" w:cs="Times New Roman" w:eastAsia="Times New Roman" w:hAnsi="Times New Roman"/>
          <w:sz w:val="22"/>
          <w:szCs w:val="22"/>
          <w:color w:val="auto"/>
        </w:rPr>
        <w:t>of this Agreement shall survive the expiration or termination of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w:t>
      </w:r>
    </w:p>
    <w:p>
      <w:pPr>
        <w:spacing w:after="0" w:line="199" w:lineRule="exact"/>
        <w:rPr>
          <w:sz w:val="20"/>
          <w:szCs w:val="20"/>
          <w:color w:val="auto"/>
        </w:rPr>
      </w:pPr>
    </w:p>
    <w:p>
      <w:pPr>
        <w:jc w:val="both"/>
        <w:ind w:left="380" w:hanging="694"/>
        <w:spacing w:after="0" w:line="250"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Whenever the context may require, any pronouns used in this Agreement shall include the corresponding masculine, feminine or neuter forms, and the singular forms of nouns and pronouns shall include the plural, and vice versa.</w:t>
      </w:r>
    </w:p>
    <w:p>
      <w:pPr>
        <w:spacing w:after="0" w:line="195" w:lineRule="exact"/>
        <w:rPr>
          <w:sz w:val="20"/>
          <w:szCs w:val="20"/>
          <w:color w:val="auto"/>
        </w:rPr>
      </w:pPr>
    </w:p>
    <w:p>
      <w:pPr>
        <w:jc w:val="both"/>
        <w:ind w:left="380" w:hanging="694"/>
        <w:spacing w:after="0" w:line="250"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counterparts, each of which shall be deemed an original, and all of which together shall constitute one instrument. This Agreement may be executed via facsimile or any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9" w:name="page40"/>
    <w:bookmarkEnd w:id="39"/>
    <w:p>
      <w:pPr>
        <w:ind w:left="380"/>
        <w:spacing w:after="0"/>
        <w:rPr>
          <w:sz w:val="20"/>
          <w:szCs w:val="20"/>
          <w:color w:val="auto"/>
        </w:rPr>
      </w:pPr>
      <w:r>
        <w:rPr>
          <w:rFonts w:ascii="Times New Roman" w:cs="Times New Roman" w:eastAsia="Times New Roman" w:hAnsi="Times New Roman"/>
          <w:sz w:val="21"/>
          <w:szCs w:val="21"/>
          <w:color w:val="auto"/>
        </w:rPr>
        <w:t>electronic transmission device pursuant to which the signature of or on behalf of such party can be seen.</w:t>
      </w:r>
    </w:p>
    <w:p>
      <w:pPr>
        <w:sectPr>
          <w:pgSz w:w="11900" w:h="16838" w:orient="portrait"/>
          <w:cols w:equalWidth="0" w:num="1">
            <w:col w:w="9380"/>
          </w:cols>
          <w:pgMar w:left="1440" w:top="355" w:right="1079" w:bottom="1440" w:gutter="0" w:footer="0" w:header="0"/>
        </w:sectPr>
      </w:pPr>
    </w:p>
    <w:p>
      <w:pPr>
        <w:spacing w:after="0" w:line="25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368300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0"/>
          </w:cols>
          <w:pgMar w:left="1440" w:top="355" w:right="1079" w:bottom="1440" w:gutter="0" w:footer="0" w:header="0"/>
          <w:type w:val="continuous"/>
        </w:sectPr>
      </w:pPr>
    </w:p>
    <w:bookmarkStart w:id="40" w:name="page41"/>
    <w:bookmarkEnd w:id="40"/>
    <w:p>
      <w:pPr>
        <w:ind w:left="440"/>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as of the day and year set forth above.</w:t>
      </w:r>
    </w:p>
    <w:p>
      <w:pPr>
        <w:spacing w:after="0" w:line="254"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GEMINI THERAPEUTICS SUB, INC.</w:t>
      </w:r>
      <w:r>
        <w:rPr>
          <w:sz w:val="20"/>
          <w:szCs w:val="20"/>
          <w:color w:val="auto"/>
        </w:rPr>
        <w:tab/>
      </w:r>
      <w:r>
        <w:rPr>
          <w:rFonts w:ascii="Times New Roman" w:cs="Times New Roman" w:eastAsia="Times New Roman" w:hAnsi="Times New Roman"/>
          <w:sz w:val="21"/>
          <w:szCs w:val="21"/>
          <w:b w:val="1"/>
          <w:bCs w:val="1"/>
          <w:color w:val="auto"/>
        </w:rPr>
        <w:t>SAMUEL BARONE M.D.,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_/s/ Brian Piekos___________________</w:t>
            </w:r>
          </w:p>
        </w:tc>
        <w:tc>
          <w:tcPr>
            <w:tcW w:w="320" w:type="dxa"/>
            <w:vAlign w:val="bottom"/>
          </w:tcPr>
          <w:p>
            <w:pPr>
              <w:spacing w:after="0"/>
              <w:rPr>
                <w:sz w:val="22"/>
                <w:szCs w:val="22"/>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_/s/ Samuel Barone_____________________</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00" w:type="dxa"/>
            <w:vAlign w:val="bottom"/>
            <w:gridSpan w:val="3"/>
            <w:vMerge w:val="restart"/>
          </w:tcPr>
          <w:p>
            <w:pPr>
              <w:ind w:left="740"/>
              <w:spacing w:after="0"/>
              <w:rPr>
                <w:sz w:val="20"/>
                <w:szCs w:val="20"/>
                <w:color w:val="auto"/>
              </w:rPr>
            </w:pPr>
            <w:r>
              <w:rPr>
                <w:rFonts w:ascii="Times New Roman" w:cs="Times New Roman" w:eastAsia="Times New Roman" w:hAnsi="Times New Roman"/>
                <w:sz w:val="22"/>
                <w:szCs w:val="22"/>
                <w:color w:val="auto"/>
              </w:rPr>
              <w:t>Name: Samuel Barone,</w:t>
            </w:r>
          </w:p>
        </w:tc>
        <w:tc>
          <w:tcPr>
            <w:tcW w:w="1700" w:type="dxa"/>
            <w:vAlign w:val="bottom"/>
            <w:shd w:val="clear" w:color="auto" w:fill="000000"/>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200" w:type="dxa"/>
            <w:vAlign w:val="bottom"/>
          </w:tcPr>
          <w:p>
            <w:pPr>
              <w:ind w:left="80"/>
              <w:spacing w:after="0" w:line="236" w:lineRule="exact"/>
              <w:rPr>
                <w:sz w:val="20"/>
                <w:szCs w:val="20"/>
                <w:color w:val="auto"/>
              </w:rPr>
            </w:pPr>
            <w:r>
              <w:rPr>
                <w:rFonts w:ascii="Times New Roman" w:cs="Times New Roman" w:eastAsia="Times New Roman" w:hAnsi="Times New Roman"/>
                <w:sz w:val="22"/>
                <w:szCs w:val="22"/>
                <w:color w:val="auto"/>
                <w:w w:val="97"/>
              </w:rPr>
              <w:t>Brian Piekos</w:t>
            </w:r>
          </w:p>
        </w:tc>
        <w:tc>
          <w:tcPr>
            <w:tcW w:w="2900" w:type="dxa"/>
            <w:vAlign w:val="bottom"/>
            <w:gridSpan w:val="3"/>
            <w:vMerge w:val="continue"/>
          </w:tcPr>
          <w:p>
            <w:pPr>
              <w:spacing w:after="0"/>
              <w:rPr>
                <w:sz w:val="20"/>
                <w:szCs w:val="20"/>
                <w:color w:val="auto"/>
              </w:rPr>
            </w:pPr>
          </w:p>
        </w:tc>
        <w:tc>
          <w:tcPr>
            <w:tcW w:w="170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M.D.</w:t>
            </w:r>
          </w:p>
        </w:tc>
        <w:tc>
          <w:tcPr>
            <w:tcW w:w="2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7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Chief Financial Officer</w:t>
            </w:r>
          </w:p>
        </w:tc>
        <w:tc>
          <w:tcPr>
            <w:tcW w:w="10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Title:</w:t>
            </w:r>
          </w:p>
        </w:tc>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President</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_/s/ Samuel Barone</w:t>
      </w:r>
      <w:r>
        <w:rPr>
          <w:rFonts w:ascii="Times New Roman" w:cs="Times New Roman" w:eastAsia="Times New Roman" w:hAnsi="Times New Roman"/>
          <w:sz w:val="22"/>
          <w:szCs w:val="22"/>
          <w:color w:val="auto"/>
        </w:rPr>
        <w:t>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Samuel Barone,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855" w:right="719" w:bottom="1440" w:gutter="0" w:footer="0" w:header="0"/>
        </w:sectPr>
      </w:pPr>
    </w:p>
    <w:bookmarkStart w:id="41" w:name="page42"/>
    <w:bookmarkEnd w:id="41"/>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Services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Advisor shall provide the following Services:</w:t>
      </w:r>
    </w:p>
    <w:p>
      <w:pPr>
        <w:spacing w:after="0" w:line="24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advisory services with respect to clinical operations;</w:t>
      </w:r>
    </w:p>
    <w:p>
      <w:pPr>
        <w:spacing w:after="0" w:line="2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ad-hoc, on demand support to Executive Team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1293495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8"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Advisory Fees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As compensation for Services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Company will pay the Advisor a retainer fee equal to $5,000 per month for up to ten (10) hours of Services per month (the “</w:t>
      </w:r>
      <w:r>
        <w:rPr>
          <w:rFonts w:ascii="Times New Roman" w:cs="Times New Roman" w:eastAsia="Times New Roman" w:hAnsi="Times New Roman"/>
          <w:sz w:val="22"/>
          <w:szCs w:val="22"/>
          <w:b w:val="1"/>
          <w:bCs w:val="1"/>
          <w:i w:val="1"/>
          <w:iCs w:val="1"/>
          <w:color w:val="auto"/>
        </w:rPr>
        <w:t>Retainer Hours</w:t>
      </w:r>
      <w:r>
        <w:rPr>
          <w:rFonts w:ascii="Times New Roman" w:cs="Times New Roman" w:eastAsia="Times New Roman" w:hAnsi="Times New Roman"/>
          <w:sz w:val="22"/>
          <w:szCs w:val="22"/>
          <w:color w:val="auto"/>
        </w:rPr>
        <w:t>”); provided, that for any Services provided in excess of such Retainer Hours, the Company will pay the Advisor at the rate of $400 per hour.</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Advisor shall maintain a detailed accounting of hours worked and the Advisor shall invoice the Company once per each thirty (30)-day period beginning with the effective date for services provided. Compensation for invoiced services shall be payable by the Company within thirty (30) days of receipt of said invoice and supporting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 RULE 15d-14(a)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Georges Gemayel, Ph.D., certify that:</w:t>
      </w:r>
    </w:p>
    <w:p>
      <w:pPr>
        <w:spacing w:after="0" w:line="225" w:lineRule="exact"/>
        <w:rPr>
          <w:sz w:val="20"/>
          <w:szCs w:val="20"/>
          <w:color w:val="auto"/>
        </w:rPr>
      </w:pPr>
    </w:p>
    <w:p>
      <w:pPr>
        <w:ind w:left="560" w:hanging="552"/>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Gemini Therapeutics, Inc.;</w:t>
      </w:r>
    </w:p>
    <w:p>
      <w:pPr>
        <w:spacing w:after="0" w:line="117"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500" w:right="140" w:hanging="556"/>
        <w:spacing w:after="0" w:line="289"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500" w:right="200" w:hanging="556"/>
        <w:spacing w:after="0" w:line="289"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500" w:hanging="556"/>
        <w:spacing w:after="0" w:line="297"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1500" w:hanging="556"/>
        <w:spacing w:after="0" w:line="289"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1500" w:right="260" w:hanging="556"/>
        <w:spacing w:after="0" w:line="313"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500" w:hanging="556"/>
        <w:spacing w:after="0" w:line="313"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17145</wp:posOffset>
            </wp:positionV>
            <wp:extent cx="41148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5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 and Executive Chairman</w:t>
      </w:r>
    </w:p>
    <w:p>
      <w:pPr>
        <w:spacing w:after="0" w:line="9"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 RULE 15d-14(a)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Piekos, certify that:</w:t>
      </w:r>
    </w:p>
    <w:p>
      <w:pPr>
        <w:spacing w:after="0" w:line="225" w:lineRule="exact"/>
        <w:rPr>
          <w:sz w:val="20"/>
          <w:szCs w:val="20"/>
          <w:color w:val="auto"/>
        </w:rPr>
      </w:pPr>
    </w:p>
    <w:p>
      <w:pPr>
        <w:ind w:left="560" w:hanging="552"/>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Gemini Therapeutics, Inc.;</w:t>
      </w:r>
    </w:p>
    <w:p>
      <w:pPr>
        <w:spacing w:after="0" w:line="117"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560" w:right="200" w:hanging="552"/>
        <w:spacing w:after="0" w:line="289"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1500" w:right="140" w:hanging="556"/>
        <w:spacing w:after="0" w:line="289"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500" w:right="200" w:hanging="556"/>
        <w:spacing w:after="0" w:line="289"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1500" w:hanging="556"/>
        <w:spacing w:after="0" w:line="297"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1500" w:hanging="556"/>
        <w:spacing w:after="0" w:line="289"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560" w:right="160" w:hanging="552"/>
        <w:spacing w:after="0" w:line="297"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1500" w:right="260" w:hanging="556"/>
        <w:spacing w:after="0" w:line="313"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500" w:right="540" w:hanging="556"/>
        <w:spacing w:after="0" w:line="313"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3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057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connection with the Quarterly Report of Gemini Therapeutics, Inc. (the “Company”) on Form 10-Q for the period ending March 31, 2022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6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tabs>
          <w:tab w:leader="none" w:pos="3940" w:val="left"/>
          <w:tab w:leader="none" w:pos="7100" w:val="left"/>
        </w:tabs>
        <w:rPr>
          <w:sz w:val="20"/>
          <w:szCs w:val="20"/>
          <w:color w:val="auto"/>
        </w:rPr>
      </w:pPr>
      <w:r>
        <w:rPr>
          <w:rFonts w:ascii="Times New Roman" w:cs="Times New Roman" w:eastAsia="Times New Roman" w:hAnsi="Times New Roman"/>
          <w:sz w:val="35"/>
          <w:szCs w:val="35"/>
          <w:color w:val="auto"/>
          <w:vertAlign w:val="superscript"/>
        </w:rPr>
        <w:t>Date: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Georges Gemayel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Dr. Georges Gemayel</w:t>
      </w:r>
    </w:p>
    <w:p>
      <w:pPr>
        <w:spacing w:after="0" w:line="7"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Interim President and Chief Executive Officer and Executive Chairman</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69" w:lineRule="exact"/>
        <w:rPr>
          <w:sz w:val="20"/>
          <w:szCs w:val="20"/>
          <w:color w:val="auto"/>
        </w:rPr>
      </w:pPr>
    </w:p>
    <w:p>
      <w:pPr>
        <w:ind w:left="140"/>
        <w:spacing w:after="0"/>
        <w:tabs>
          <w:tab w:leader="none" w:pos="3940" w:val="left"/>
          <w:tab w:leader="none" w:pos="728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Piekos</w:t>
      </w:r>
    </w:p>
    <w:p>
      <w:pPr>
        <w:spacing w:after="0" w:line="23"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jc w:val="both"/>
        <w:ind w:left="260" w:hanging="252"/>
        <w:spacing w:after="0" w:line="289" w:lineRule="auto"/>
        <w:tabs>
          <w:tab w:leader="none" w:pos="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2"/>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2"/>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1."/>
      <w:numFmt w:val="decimal"/>
      <w:start w:val="4"/>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decimal"/>
      <w:start w:val="6"/>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58" Type="http://schemas.openxmlformats.org/officeDocument/2006/relationships/hyperlink" Target="https://www.sec.gov/Archives/edgar/data/0001816736/000121390021002636/fs42021a5_fsdevelopment.htm#T52" TargetMode="External"/><Relationship Id="rId159" Type="http://schemas.openxmlformats.org/officeDocument/2006/relationships/hyperlink" Target="https://www.sec.gov/Archives/edgar/data/0001816736/000121390021002636/fs42021a5_fsdevelopment.htm#T53" TargetMode="External"/><Relationship Id="rId160" Type="http://schemas.openxmlformats.org/officeDocument/2006/relationships/hyperlink" Target="https://www.sec.gov/Archives/edgar/data/1816736/000121390021002636/fs42021a5ex4-1_fsdevelop.htm" TargetMode="External"/><Relationship Id="rId161" Type="http://schemas.openxmlformats.org/officeDocument/2006/relationships/hyperlink" Target="https://www.sec.gov/Archives/edgar/data/0001816736/000121390021007091/ea134758ex10-1_gemini.htm" TargetMode="External"/><Relationship Id="rId162" Type="http://schemas.openxmlformats.org/officeDocument/2006/relationships/hyperlink" Target="https://www.sec.gov/Archives/edgar/data/0001816736/000121390021008478/ea135023ex10-2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2022-05-06T08:04:57Z</dcterms:created>
  <dcterms:modified xsi:type="dcterms:W3CDTF">2022-05-06T08:04:57Z</dcterms:modified>
</cp:coreProperties>
</file>