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Savage William Jacob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Disc Medicine, Inc.</w:t>
              </w:r>
            </w:hyperlink>
            <w:r>
              <w:rPr/>
              <w:t xml:space="preserve"> [ </w:t>
            </w:r>
            <w:r>
              <w:rPr>
                <w:rFonts w:ascii="Times;serif" w:hAnsi="Times;serif"/>
                <w:color w:val="0000FF"/>
                <w:sz w:val="24"/>
                <w:shd w:fill="FFFFFF" w:val="clear"/>
              </w:rPr>
              <w:t>IRON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08/09/2023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48.9003</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08/09/2023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50.218</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9,153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08/09/2023</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50.9122</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by the Reporting Person were effected pursuant to a Rule 10b5-1 trading plan adopted on February 16,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$48.44 to $49.26,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$49.58 to $50.57,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$50.58 to $51.31,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Rahul Khara,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51852" TargetMode="External"/><Relationship Id="rId4" Type="http://schemas.openxmlformats.org/officeDocument/2006/relationships/hyperlink" Target="http://www.sec.gov/cgi-bin/browse-edgar?action=getcompany&amp;CIK=000181673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3947</Characters>
  <CharactersWithSpaces>4605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