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Arsenal Street,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Private Investments VIII,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Themis Trading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10 Townsquare</w:t>
      </w:r>
    </w:p>
    <w:p>
      <w:pPr>
        <w:ind w:left="2500"/>
        <w:spacing w:after="0"/>
        <w:rPr>
          <w:sz w:val="20"/>
          <w:szCs w:val="20"/>
          <w:color w:val="auto"/>
        </w:rPr>
      </w:pPr>
      <w:r>
        <w:rPr>
          <w:rFonts w:ascii="Times New Roman" w:cs="Times New Roman" w:eastAsia="Times New Roman" w:hAnsi="Times New Roman"/>
          <w:sz w:val="22"/>
          <w:szCs w:val="22"/>
          <w:color w:val="auto"/>
        </w:rPr>
        <w:t>Chatham  NJ  07928</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487360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29748454.00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6"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12/29/2022 Business</w:t>
            </w:r>
          </w:p>
        </w:tc>
        <w:tc>
          <w:tcPr>
            <w:tcW w:w="2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487360</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12/29/2022 Cash</w:t>
            </w:r>
          </w:p>
        </w:tc>
      </w:tr>
      <w:tr>
        <w:trPr>
          <w:trHeight w:val="282"/>
        </w:trPr>
        <w:tc>
          <w:tcPr>
            <w:tcW w:w="39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Combination</w:t>
            </w: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OrbiMed Capital GP VIII LLC is the general partner of OrbiMed Private Investments VIII, LP. OrbiMed Advisors LLC is the managing member of OrbiMed Capital GP VIII LLC.</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12/12/2023</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VIII,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2023-12-12T16:44:49Z</dcterms:created>
  <dcterms:modified xsi:type="dcterms:W3CDTF">2023-12-12T16:44:49Z</dcterms:modified>
</cp:coreProperties>
</file>