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2984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252730</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3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5010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33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5010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398"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7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010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35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38"/>
          <w:szCs w:val="38"/>
          <w:b w:val="1"/>
          <w:bCs w:val="1"/>
          <w:color w:val="auto"/>
        </w:rPr>
        <w:t>DISC MEDICINE, INC.</w:t>
      </w:r>
    </w:p>
    <w:p>
      <w:pPr>
        <w:spacing w:after="0" w:line="4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5010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480" w:right="319" w:bottom="1440" w:gutter="0" w:footer="0" w:header="0"/>
        </w:sectPr>
      </w:pPr>
    </w:p>
    <w:p>
      <w:pPr>
        <w:spacing w:after="0" w:line="200" w:lineRule="exact"/>
        <w:rPr>
          <w:sz w:val="24"/>
          <w:szCs w:val="24"/>
          <w:color w:val="auto"/>
        </w:rPr>
      </w:pPr>
    </w:p>
    <w:p>
      <w:pPr>
        <w:spacing w:after="0" w:line="207" w:lineRule="exact"/>
        <w:rPr>
          <w:sz w:val="24"/>
          <w:szCs w:val="24"/>
          <w:color w:val="auto"/>
        </w:rPr>
      </w:pPr>
    </w:p>
    <w:p>
      <w:pPr>
        <w:jc w:val="center"/>
        <w:ind w:right="27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1" w:lineRule="exact"/>
        <w:rPr>
          <w:sz w:val="24"/>
          <w:szCs w:val="24"/>
          <w:color w:val="auto"/>
        </w:rPr>
      </w:pPr>
    </w:p>
    <w:p>
      <w:pPr>
        <w:jc w:val="center"/>
        <w:ind w:right="274"/>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001-39438</w:t>
      </w:r>
    </w:p>
    <w:p>
      <w:pPr>
        <w:spacing w:after="0" w:line="1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85-1612845</w:t>
      </w:r>
    </w:p>
    <w:p>
      <w:pPr>
        <w:spacing w:after="0" w:line="2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p>
      <w:pPr>
        <w:spacing w:after="0" w:line="186" w:lineRule="exact"/>
        <w:rPr>
          <w:sz w:val="24"/>
          <w:szCs w:val="24"/>
          <w:color w:val="auto"/>
        </w:rPr>
      </w:pPr>
    </w:p>
    <w:p>
      <w:pPr>
        <w:sectPr>
          <w:pgSz w:w="11900" w:h="16838" w:orient="portrait"/>
          <w:cols w:equalWidth="0" w:num="3">
            <w:col w:w="4006" w:space="720"/>
            <w:col w:w="2820" w:space="720"/>
            <w:col w:w="3000"/>
          </w:cols>
          <w:pgMar w:left="314" w:top="480" w:right="319" w:bottom="1440" w:gutter="0" w:footer="0" w:header="0"/>
          <w:type w:val="continuous"/>
        </w:sectPr>
      </w:pPr>
    </w:p>
    <w:p>
      <w:pPr>
        <w:jc w:val="center"/>
        <w:ind w:right="1894"/>
        <w:spacing w:after="0"/>
        <w:rPr>
          <w:sz w:val="20"/>
          <w:szCs w:val="20"/>
          <w:color w:val="auto"/>
        </w:rPr>
      </w:pPr>
      <w:r>
        <w:rPr>
          <w:rFonts w:ascii="Times New Roman" w:cs="Times New Roman" w:eastAsia="Times New Roman" w:hAnsi="Times New Roman"/>
          <w:sz w:val="15"/>
          <w:szCs w:val="15"/>
          <w:b w:val="1"/>
          <w:bCs w:val="1"/>
          <w:color w:val="auto"/>
        </w:rPr>
        <w:t>321 Arsenal Street, Suite 101, Watertown, MA 02472</w:t>
      </w:r>
    </w:p>
    <w:p>
      <w:pPr>
        <w:spacing w:after="0" w:line="33" w:lineRule="exact"/>
        <w:rPr>
          <w:sz w:val="24"/>
          <w:szCs w:val="24"/>
          <w:color w:val="auto"/>
        </w:rPr>
      </w:pPr>
    </w:p>
    <w:p>
      <w:pPr>
        <w:jc w:val="center"/>
        <w:ind w:right="1894"/>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02472</w:t>
      </w:r>
    </w:p>
    <w:p>
      <w:pPr>
        <w:spacing w:after="0" w:line="2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85" w:lineRule="exact"/>
        <w:rPr>
          <w:sz w:val="24"/>
          <w:szCs w:val="24"/>
          <w:color w:val="auto"/>
        </w:rPr>
      </w:pPr>
    </w:p>
    <w:p>
      <w:pPr>
        <w:sectPr>
          <w:pgSz w:w="11900" w:h="16838" w:orient="portrait"/>
          <w:cols w:equalWidth="0" w:num="2">
            <w:col w:w="7426" w:space="720"/>
            <w:col w:w="3120"/>
          </w:cols>
          <w:pgMar w:left="314" w:top="480" w:right="319" w:bottom="1440" w:gutter="0" w:footer="0" w:header="0"/>
          <w:type w:val="continuous"/>
        </w:sect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674-9274</w:t>
      </w:r>
    </w:p>
    <w:p>
      <w:pPr>
        <w:spacing w:after="0" w:line="19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297 Boston Post Road #248</w:t>
      </w:r>
    </w:p>
    <w:p>
      <w:pPr>
        <w:spacing w:after="0" w:line="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Wayland, MA 01778</w:t>
      </w:r>
    </w:p>
    <w:p>
      <w:pPr>
        <w:spacing w:after="0" w:line="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5010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366" w:lineRule="exact"/>
        <w:rPr>
          <w:sz w:val="24"/>
          <w:szCs w:val="24"/>
          <w:color w:val="auto"/>
        </w:rPr>
      </w:pPr>
    </w:p>
    <w:p>
      <w:pPr>
        <w:ind w:left="386"/>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5"/>
          <w:szCs w:val="15"/>
          <w:i w:val="1"/>
          <w:iCs w:val="1"/>
          <w:color w:val="auto"/>
        </w:rPr>
        <w:t>see</w:t>
      </w:r>
    </w:p>
    <w:p>
      <w:pPr>
        <w:spacing w:after="0" w:line="33"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76" w:lineRule="exact"/>
        <w:rPr>
          <w:sz w:val="24"/>
          <w:szCs w:val="24"/>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1" w:lineRule="exact"/>
        <w:rPr>
          <w:rFonts w:ascii="MS PGothic" w:cs="MS PGothic" w:eastAsia="MS PGothic" w:hAnsi="MS PGothic"/>
          <w:sz w:val="16"/>
          <w:szCs w:val="16"/>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1" w:lineRule="exact"/>
        <w:rPr>
          <w:rFonts w:ascii="MS PGothic" w:cs="MS PGothic" w:eastAsia="MS PGothic" w:hAnsi="MS PGothic"/>
          <w:sz w:val="16"/>
          <w:szCs w:val="16"/>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1" w:lineRule="exact"/>
        <w:rPr>
          <w:rFonts w:ascii="MS PGothic" w:cs="MS PGothic" w:eastAsia="MS PGothic" w:hAnsi="MS PGothic"/>
          <w:sz w:val="16"/>
          <w:szCs w:val="16"/>
          <w:color w:val="auto"/>
        </w:rPr>
      </w:pPr>
    </w:p>
    <w:p>
      <w:pPr>
        <w:ind w:left="6" w:right="4000" w:hanging="6"/>
        <w:spacing w:after="0" w:line="488" w:lineRule="auto"/>
        <w:tabs>
          <w:tab w:leader="none" w:pos="28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w:t>
            </w:r>
          </w:p>
        </w:tc>
      </w:tr>
      <w:tr>
        <w:trPr>
          <w:trHeight w:val="210"/>
        </w:trPr>
        <w:tc>
          <w:tcPr>
            <w:tcW w:w="6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on which registered</w:t>
            </w:r>
          </w:p>
        </w:tc>
      </w:tr>
      <w:tr>
        <w:trPr>
          <w:trHeight w:val="203"/>
        </w:trPr>
        <w:tc>
          <w:tcPr>
            <w:tcW w:w="6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0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IRON</w:t>
            </w:r>
          </w:p>
        </w:tc>
        <w:tc>
          <w:tcPr>
            <w:tcW w:w="12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Market</w:t>
            </w:r>
          </w:p>
        </w:tc>
      </w:tr>
    </w:tbl>
    <w:p>
      <w:pPr>
        <w:spacing w:after="0" w:line="156" w:lineRule="exact"/>
        <w:rPr>
          <w:sz w:val="24"/>
          <w:szCs w:val="24"/>
          <w:color w:val="auto"/>
        </w:rPr>
      </w:pPr>
    </w:p>
    <w:p>
      <w:pPr>
        <w:ind w:left="6" w:right="80"/>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326"/>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27" w:lineRule="exact"/>
        <w:rPr>
          <w:sz w:val="24"/>
          <w:szCs w:val="24"/>
          <w:color w:val="auto"/>
        </w:rPr>
      </w:pPr>
    </w:p>
    <w:p>
      <w:pPr>
        <w:ind w:left="6" w:right="40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150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243840</wp:posOffset>
            </wp:positionV>
            <wp:extent cx="71501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370205</wp:posOffset>
            </wp:positionV>
            <wp:extent cx="71501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480" w:right="319" w:bottom="1440" w:gutter="0" w:footer="0" w:header="0"/>
          <w:type w:val="continuous"/>
        </w:sectPr>
      </w:pPr>
    </w:p>
    <w:bookmarkStart w:id="1" w:name="page2"/>
    <w:bookmarkEnd w:id="1"/>
    <w:p>
      <w:pPr>
        <w:spacing w:after="0" w:line="248" w:lineRule="auto"/>
        <w:rPr>
          <w:sz w:val="20"/>
          <w:szCs w:val="20"/>
          <w:color w:val="auto"/>
        </w:rPr>
      </w:pPr>
      <w:r>
        <w:rPr>
          <w:rFonts w:ascii="Times New Roman" w:cs="Times New Roman" w:eastAsia="Times New Roman" w:hAnsi="Times New Roman"/>
          <w:sz w:val="16"/>
          <w:szCs w:val="16"/>
          <w:i w:val="1"/>
          <w:iCs w:val="1"/>
          <w:color w:val="auto"/>
        </w:rPr>
        <w:t>This Current Report on Form 8-K and the exhibits attached hereto contain “forward-looking statements” within the meaning of the Private Securities Litigation Reform Act of 1995, including, but not limited to, express or implied statements regarding: future product development plans and projected timelines for the initiation and completion of preclinical and clinical trials and other activities; the potential for the results of ongoing preclinical or clinical trials and the efficacy of Disc Medicine’s product candidates; future product development and regulatory strategies, including with respect to specific indications; Disc Medicine’s plans for Gemini’s assets; Disc Medicine’s plans for its hematology portfolio; interactions with regulatory authorities; and Disc Medicine’s financial position.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 Medicine’s current beliefs, expectations and assumptions regarding the future of Disc Medicine’s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6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i w:val="1"/>
          <w:iCs w:val="1"/>
          <w:color w:val="auto"/>
        </w:rPr>
        <w:t>Disc Medicine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(i) the outcome of any legal proceedings that may be instituted against the parties and others related to the merger agreement; (ii) unanticipated difficulties or expenditures relating to the merger, the response of business partners and competitors to the announcement or completion of the merger, and/or potential difficulties in employee retention as a result of the announcement or completion of the merger; (iii) Disc Medicine’s listing on the Nasdaq Global Market and operating as a public company; (iv) the adequacy of Disc Medicine’s capital to support its future operations and its ability to successfully initiate and complete clinical trials; (v) the nature, strategy and focus of Disc Medicine; (vi) the difficulty in predicting the time and cost of development of Disc Medicine’s product candidates; (vii) Disc Medicine’s plans to research, develop and commercialize its current and future product candidates; (viii) the timing of initiation of Disc Medicine’s planned preclinical studies and clinical trials; (ix) the timing of the availability of data from Disc Medicine’s clinical trials; (x) the timing of any planned investigational new drug application or new drug application; (xi) the risk of cessation or delay of any ongoing or planned clinical trials of Disc Medicine or its collaborators; (xii) the clinical utility, potential benefits and market acceptance of Disc Medicine’s product candidates; (xiii) Disc Medicine’s commercialization, marketing and manufacturing capabilities and strategy; (xiv) Disc Medicine’s ability to identify additional product candidates with significant commercial potential and to expand its pipeline in hematological diseases; (xv) the risk that Disc Medicine may not realize the intended benefits of its drug discovery platform; (xvi) developments and projections relating to Disc Medicine’s competitors and its industry; (xvii) the impact of government laws and regulations; (xviii) the impact of public health epidemics affecting countries or regions in which Disc Medicine has operations or does business, such as the COVID-19 pandemic, (xix) the timing and anticipated results of Disc Medicine’s preclinical studies and clinical trials and the risk that the results of Disc Medicine’s preclinical studies and clinical trials may not be predictive of future results in connection with future studies or clinical trials and may not support further development and marketing approval; (xx) the timing and outcome of Disc Medicine’s planned interactions with regulatory authorities; (xxi) findings from investigational review boards at clinical trial sites and publication review bodies; (xxii) Disc Medicine’s ability to protect its intellectual property position; (xxiii) Disc Medicine’s estimates regarding future revenue, expenses, capital requirements and need for additional financing; (xxiv) the other risks and uncertainties described in the “Risk Factors” section of the definitive proxy statement/prospectus dated December 2, 2022 and filed with the SEC under Rule 424(b), attached hereto as Exhibit 99.2 and other documents filed by Disc Medicine from time to time with the SEC, as well as discussions of potential risks, uncertainties, and other important factors in Disc Medicine’s subsequent filings with the Securities and Exchange Commission; and (xxv) the post-closing integration of Disc Medicine and Gemini. Any forward-looking statement speaks only as of the date on which it was made. None of Disc Medicine,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15010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94"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6"/>
          <w:szCs w:val="16"/>
          <w:color w:val="auto"/>
        </w:rPr>
        <w:t>As a result of the Merger (as defined in Item 2.01 of this Current Report on Form 8-K), the following agreements of Disc Medicine Opco, Inc. (formerly Disc Medicine, Inc.) (“</w:t>
      </w:r>
      <w:r>
        <w:rPr>
          <w:rFonts w:ascii="Times New Roman" w:cs="Times New Roman" w:eastAsia="Times New Roman" w:hAnsi="Times New Roman"/>
          <w:sz w:val="16"/>
          <w:szCs w:val="16"/>
          <w:b w:val="1"/>
          <w:bCs w:val="1"/>
          <w:i w:val="1"/>
          <w:iCs w:val="1"/>
          <w:color w:val="auto"/>
        </w:rPr>
        <w:t>Disc</w:t>
      </w:r>
      <w:r>
        <w:rPr>
          <w:rFonts w:ascii="Times New Roman" w:cs="Times New Roman" w:eastAsia="Times New Roman" w:hAnsi="Times New Roman"/>
          <w:sz w:val="16"/>
          <w:szCs w:val="16"/>
          <w:color w:val="auto"/>
        </w:rPr>
        <w:t>”) effectively became the agreements of Disc Medicine, Inc. (formerly Gemini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p>
    <w:p>
      <w:pPr>
        <w:spacing w:after="0" w:line="1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On December 28, 2022, Disc and the certain holders of Disc capital stock (the “</w:t>
      </w:r>
      <w:r>
        <w:rPr>
          <w:rFonts w:ascii="Times New Roman" w:cs="Times New Roman" w:eastAsia="Times New Roman" w:hAnsi="Times New Roman"/>
          <w:sz w:val="16"/>
          <w:szCs w:val="16"/>
          <w:b w:val="1"/>
          <w:bCs w:val="1"/>
          <w:i w:val="1"/>
          <w:iCs w:val="1"/>
          <w:color w:val="auto"/>
        </w:rPr>
        <w:t>Disc Investors</w:t>
      </w:r>
      <w:r>
        <w:rPr>
          <w:rFonts w:ascii="Times New Roman" w:cs="Times New Roman" w:eastAsia="Times New Roman" w:hAnsi="Times New Roman"/>
          <w:sz w:val="16"/>
          <w:szCs w:val="16"/>
          <w:color w:val="auto"/>
        </w:rPr>
        <w:t>”) entered into a Registration Rights Agreement (the “</w:t>
      </w:r>
      <w:r>
        <w:rPr>
          <w:rFonts w:ascii="Times New Roman" w:cs="Times New Roman" w:eastAsia="Times New Roman" w:hAnsi="Times New Roman"/>
          <w:sz w:val="16"/>
          <w:szCs w:val="16"/>
          <w:b w:val="1"/>
          <w:bCs w:val="1"/>
          <w:i w:val="1"/>
          <w:iCs w:val="1"/>
          <w:color w:val="auto"/>
        </w:rPr>
        <w:t>Registration Rights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pursuant to which Disc (i) agreed to register, or cause the Company to register, for resale shares of common stock of the Company issued to the Disc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pursuant to the Merger Agreement (as defined in Item 2.01 of this Current Report on Form 8-K) (the “</w:t>
      </w:r>
      <w:r>
        <w:rPr>
          <w:rFonts w:ascii="Times New Roman" w:cs="Times New Roman" w:eastAsia="Times New Roman" w:hAnsi="Times New Roman"/>
          <w:sz w:val="16"/>
          <w:szCs w:val="16"/>
          <w:b w:val="1"/>
          <w:bCs w:val="1"/>
          <w:i w:val="1"/>
          <w:iCs w:val="1"/>
          <w:color w:val="auto"/>
        </w:rPr>
        <w:t>Registrable Securities</w:t>
      </w:r>
      <w:r>
        <w:rPr>
          <w:rFonts w:ascii="Times New Roman" w:cs="Times New Roman" w:eastAsia="Times New Roman" w:hAnsi="Times New Roman"/>
          <w:sz w:val="16"/>
          <w:szCs w:val="16"/>
          <w:color w:val="auto"/>
        </w:rPr>
        <w:t>”) and (ii) granted certain other registration rights to the Disc Investors.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particular, the Registration Rights Agreement provides for the following registration rights:</w:t>
      </w:r>
    </w:p>
    <w:p>
      <w:pPr>
        <w:spacing w:after="0" w:line="190" w:lineRule="exact"/>
        <w:rPr>
          <w:sz w:val="20"/>
          <w:szCs w:val="20"/>
          <w:color w:val="auto"/>
        </w:rPr>
      </w:pPr>
    </w:p>
    <w:p>
      <w:pPr>
        <w:ind w:left="840" w:right="120" w:hanging="423"/>
        <w:spacing w:after="0" w:line="259" w:lineRule="auto"/>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Shelf registration rights</w:t>
      </w:r>
      <w:r>
        <w:rPr>
          <w:rFonts w:ascii="Times New Roman" w:cs="Times New Roman" w:eastAsia="Times New Roman" w:hAnsi="Times New Roman"/>
          <w:sz w:val="16"/>
          <w:szCs w:val="16"/>
          <w:color w:val="auto"/>
        </w:rPr>
        <w:t>. No later than 45 calendar days following the completion of the Merger, the Company is required to file with the U.S. Securities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a shelf registration statement registering the resale of the Registrable Securities, and use its commercially reasonable efforts to have such registration statement declared effective by the SEC as promptly as possible.</w:t>
      </w:r>
    </w:p>
    <w:p>
      <w:pPr>
        <w:spacing w:after="0" w:line="179" w:lineRule="exact"/>
        <w:rPr>
          <w:rFonts w:ascii="Times New Roman" w:cs="Times New Roman" w:eastAsia="Times New Roman" w:hAnsi="Times New Roman"/>
          <w:sz w:val="16"/>
          <w:szCs w:val="16"/>
          <w:color w:val="auto"/>
        </w:rPr>
      </w:pPr>
    </w:p>
    <w:p>
      <w:pPr>
        <w:ind w:left="840" w:right="120" w:hanging="423"/>
        <w:spacing w:after="0" w:line="276" w:lineRule="auto"/>
        <w:tabs>
          <w:tab w:leader="none" w:pos="8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Expenses and indemnification</w:t>
      </w:r>
      <w:r>
        <w:rPr>
          <w:rFonts w:ascii="Times New Roman" w:cs="Times New Roman" w:eastAsia="Times New Roman" w:hAnsi="Times New Roman"/>
          <w:sz w:val="15"/>
          <w:szCs w:val="15"/>
          <w:color w:val="auto"/>
        </w:rPr>
        <w:t>. The fees, costs and expenses of registrations pursuant to the registration rights granted to the Disc Investors under the Registration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Rights Agreement will be borne by the Company. The Registration Rights Agreement contains customary cross-indemnification provisions, under which the Company is obligated to indemnify holders of Registrable Securities in the event of material misstatements or omissions in the registration statement attributable to the Company, and holders of Registrable Securities are obligated to indemnify the Company for material misstatements or omissions attributable to them.</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Securities of the Company shall cease to be Registrable Securities upon the earliest to occur of (i) a registration statement with respect to the sale of such Registrable Securities is declared effective by the SEC under the Securities Act and such Registrable Securities have been disposed of by the Disc Investor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Company to be in compliance with the current public information requirement under Rule 144, as determined by counsel to the Company pursuant to a written opinion letter to such effect, addressed, delivered and acceptable to the Company’s transfer agent and the affected Disc Investors, and (iv) five years after the date of the Registration Rights Agreement.</w:t>
      </w:r>
    </w:p>
    <w:p>
      <w:pPr>
        <w:spacing w:after="0" w:line="16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6"/>
          <w:szCs w:val="16"/>
          <w:color w:val="auto"/>
        </w:rPr>
        <w:t>The foregoing description of the Registration Rights Agreement does not purport to be complete and is qualified in its entirety by the full text of the form of Registration Rights Agreement, a copy of which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15010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Contingent Value Rights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29, 2022, prior to the effective time of the Merger, the Company entered into a Contingent Value Rights Agreement (the “</w:t>
      </w:r>
      <w:r>
        <w:rPr>
          <w:rFonts w:ascii="Times New Roman" w:cs="Times New Roman" w:eastAsia="Times New Roman" w:hAnsi="Times New Roman"/>
          <w:sz w:val="16"/>
          <w:szCs w:val="16"/>
          <w:b w:val="1"/>
          <w:bCs w:val="1"/>
          <w:i w:val="1"/>
          <w:iCs w:val="1"/>
          <w:color w:val="auto"/>
        </w:rPr>
        <w:t>CVR Agreement</w:t>
      </w:r>
      <w:r>
        <w:rPr>
          <w:rFonts w:ascii="Times New Roman" w:cs="Times New Roman" w:eastAsia="Times New Roman" w:hAnsi="Times New Roman"/>
          <w:sz w:val="16"/>
          <w:szCs w:val="16"/>
          <w:color w:val="auto"/>
        </w:rPr>
        <w:t>”) with a rights agent</w:t>
      </w:r>
    </w:p>
    <w:p>
      <w:pPr>
        <w:spacing w:after="0" w:line="2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Rights Agent</w:t>
      </w:r>
      <w:r>
        <w:rPr>
          <w:rFonts w:ascii="Times New Roman" w:cs="Times New Roman" w:eastAsia="Times New Roman" w:hAnsi="Times New Roman"/>
          <w:sz w:val="16"/>
          <w:szCs w:val="16"/>
          <w:color w:val="auto"/>
        </w:rPr>
        <w:t>”) pursuant to which the Company’s pre-Merger common stockholders received one contingent value right (each, a “</w:t>
      </w:r>
      <w:r>
        <w:rPr>
          <w:rFonts w:ascii="Times New Roman" w:cs="Times New Roman" w:eastAsia="Times New Roman" w:hAnsi="Times New Roman"/>
          <w:sz w:val="16"/>
          <w:szCs w:val="16"/>
          <w:b w:val="1"/>
          <w:bCs w:val="1"/>
          <w:i w:val="1"/>
          <w:iCs w:val="1"/>
          <w:color w:val="auto"/>
        </w:rPr>
        <w:t>CVR</w:t>
      </w:r>
      <w:r>
        <w:rPr>
          <w:rFonts w:ascii="Times New Roman" w:cs="Times New Roman" w:eastAsia="Times New Roman" w:hAnsi="Times New Roman"/>
          <w:sz w:val="16"/>
          <w:szCs w:val="16"/>
          <w:color w:val="auto"/>
        </w:rPr>
        <w:t>”) for each outstanding share of Company common stock held by such stockholder on December 29, 2022. Each CVR represents the contractual right to receive payments, in the form of shares of stock of the Company, upon the actual receipt by the Company or its affiliates of certain proceeds derived from consideration paid to the Company as a result of the disposition of the Company’s pre-Merger legacy assets, net of certain expenses and other deductions. Any payments under the CVR Agreement will be in the form of shares of the Company, determined on the basis of a volume weighted average for the five (5) trading days prior to the date of issuance.</w:t>
      </w:r>
    </w:p>
    <w:p>
      <w:pPr>
        <w:spacing w:after="0" w:line="16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6"/>
          <w:szCs w:val="16"/>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payment of any Company shares will be made or that any holders of CVRs will receive any amounts with respect thereto.</w:t>
      </w:r>
    </w:p>
    <w:p>
      <w:pPr>
        <w:spacing w:after="0" w:line="16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5"/>
          <w:szCs w:val="15"/>
          <w:color w:val="auto"/>
        </w:rPr>
        <w:t>The right to the contingent payments contemplated by the CVR Agreement is a contractual right only and will not be transferable, except in the limited circumstances specified in the CVR Agreement. The CVRs are not evidenced by a certificate or any other instrument and will not be registered with the SEC. The CVRs do not have any voting or dividend rights and do not represent any equity or ownership interest in the Company or any of its affiliates. No interest will accrue on any amounts payable in respect of the CVRs.</w:t>
      </w:r>
    </w:p>
    <w:p>
      <w:pPr>
        <w:spacing w:after="0" w:line="143"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6"/>
          <w:szCs w:val="16"/>
          <w:color w:val="auto"/>
        </w:rPr>
        <w:t>The foregoing description of the CVR Agreement does not purport to be complete and is qualified in its entirety by the full text of the form of CVR Agreement, which is attached hereto as Exhibit 10.2 and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Agreements</w:t>
      </w:r>
    </w:p>
    <w:p>
      <w:pPr>
        <w:spacing w:after="0" w:line="19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In connection with the Merger, on December 29, 2022, the Company entered into indemnification agreements with each of its directors and executive officers. Each indemnification agreement provides for indemnification and advancements by the Company of certain expenses and costs relating to claims, suits or proceedings arising from each individual’s service to the Company as an officer or director, as applicable, to the maximum extent permitted by applicable law.</w:t>
      </w:r>
    </w:p>
    <w:p>
      <w:pPr>
        <w:spacing w:after="0" w:line="16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6"/>
          <w:szCs w:val="16"/>
          <w:color w:val="auto"/>
        </w:rPr>
        <w:t>The foregoing description of the indemnification agreements is qualified in its entirety by the full text of the forms of indemnification agreement, which are attached hereto as Exhibits 10.3 and 10.4 and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Roche Agreements</w:t>
      </w:r>
    </w:p>
    <w:p>
      <w:pPr>
        <w:spacing w:after="0" w:line="19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5"/>
          <w:szCs w:val="15"/>
          <w:color w:val="auto"/>
        </w:rPr>
        <w:t>In connection with Disc’s May 2021 license agreement with F. Hoffmann-La Roche Ltd. and Hoffmann-La Roche Inc. (together, “</w:t>
      </w:r>
      <w:r>
        <w:rPr>
          <w:rFonts w:ascii="Times New Roman" w:cs="Times New Roman" w:eastAsia="Times New Roman" w:hAnsi="Times New Roman"/>
          <w:sz w:val="15"/>
          <w:szCs w:val="15"/>
          <w:b w:val="1"/>
          <w:bCs w:val="1"/>
          <w:i w:val="1"/>
          <w:iCs w:val="1"/>
          <w:color w:val="auto"/>
        </w:rPr>
        <w:t>Roche</w:t>
      </w:r>
      <w:r>
        <w:rPr>
          <w:rFonts w:ascii="Times New Roman" w:cs="Times New Roman" w:eastAsia="Times New Roman" w:hAnsi="Times New Roman"/>
          <w:sz w:val="15"/>
          <w:szCs w:val="15"/>
          <w:color w:val="auto"/>
        </w:rPr>
        <w:t>”) and pursuant to an addendum to that agreement executed in December 2021, Disc agreed to issue or cause to be issued in a private placement to Roche or its affiliates, immediately following the closing of the Merger and for no additional consideration, shares of common stock estimated to be approximately 2.85% of the Company’s issued and outstanding capitalization immediately following the closing of the Merger. On December 29, 2022, the Company entered into a Common Stock Issuance Agreement with Roche (the “</w:t>
      </w:r>
      <w:r>
        <w:rPr>
          <w:rFonts w:ascii="Times New Roman" w:cs="Times New Roman" w:eastAsia="Times New Roman" w:hAnsi="Times New Roman"/>
          <w:sz w:val="15"/>
          <w:szCs w:val="15"/>
          <w:b w:val="1"/>
          <w:bCs w:val="1"/>
          <w:i w:val="1"/>
          <w:iCs w:val="1"/>
          <w:color w:val="auto"/>
        </w:rPr>
        <w:t>Roche Stock Issuance Agreement</w:t>
      </w:r>
      <w:r>
        <w:rPr>
          <w:rFonts w:ascii="Times New Roman" w:cs="Times New Roman" w:eastAsia="Times New Roman" w:hAnsi="Times New Roman"/>
          <w:sz w:val="15"/>
          <w:szCs w:val="15"/>
          <w:color w:val="auto"/>
        </w:rPr>
        <w:t>”). Pursuant to the Roche Stock Issuance Agreement, the Company issued 482,313 shares of common stock of the Company (the “</w:t>
      </w:r>
      <w:r>
        <w:rPr>
          <w:rFonts w:ascii="Times New Roman" w:cs="Times New Roman" w:eastAsia="Times New Roman" w:hAnsi="Times New Roman"/>
          <w:sz w:val="15"/>
          <w:szCs w:val="15"/>
          <w:b w:val="1"/>
          <w:bCs w:val="1"/>
          <w:i w:val="1"/>
          <w:iCs w:val="1"/>
          <w:color w:val="auto"/>
        </w:rPr>
        <w:t>Roche Stock</w:t>
      </w:r>
      <w:r>
        <w:rPr>
          <w:rFonts w:ascii="Times New Roman" w:cs="Times New Roman" w:eastAsia="Times New Roman" w:hAnsi="Times New Roman"/>
          <w:sz w:val="15"/>
          <w:szCs w:val="15"/>
          <w:color w:val="auto"/>
        </w:rPr>
        <w:t>”) for no additional consideration.</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Roche Stock has not been registered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and was issued and sold in reliance upon the exemption from registration contained in Section 4(a)(2) of the Securities Act and Rule 506(b) of Regulation D promulgated thereunder. Roche acquired the Roche Stock for investment for its own account. The Roche Stock Issuance Agreement includes customary covenants, representations and warranty provisions for agreements of its kind. Neither this Current Report on Form 8-K nor any of its exhibits is an offer to sell or the solicitation of an offer to buy any securities described in this Current Report on Form 8-K.</w:t>
      </w:r>
    </w:p>
    <w:p>
      <w:pPr>
        <w:spacing w:after="0" w:line="16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6"/>
          <w:szCs w:val="16"/>
          <w:color w:val="auto"/>
        </w:rPr>
        <w:t>The foregoing description of the Roche Stock Issuance Agreement is qualified in its entirety by the full text of the Roche Stock Issuance Agreement, which is attached hereto as Exhibit 10.5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1501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i w:val="1"/>
          <w:iCs w:val="1"/>
          <w:color w:val="auto"/>
        </w:rPr>
        <w:t>Employment Agreements</w:t>
      </w:r>
    </w:p>
    <w:p>
      <w:pPr>
        <w:spacing w:after="0" w:line="19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To the extent required by Item 1.01 of Form 8-K, the information set forth under Item 5.02 of this Current Report on Form 8-K regarding the executive employment agreements is hereby incorporated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2.01. Completion of Acquisition or Disposition of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29, 2022, the Company completed its business combination with Disc in accordance with the terms of the Agreement and Plan of Merger and Reorganization, dated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August 9, 2022 (the “</w:t>
      </w:r>
      <w:r>
        <w:rPr>
          <w:rFonts w:ascii="Times New Roman" w:cs="Times New Roman" w:eastAsia="Times New Roman" w:hAnsi="Times New Roman"/>
          <w:sz w:val="15"/>
          <w:szCs w:val="15"/>
          <w:b w:val="1"/>
          <w:bCs w:val="1"/>
          <w:i w:val="1"/>
          <w:iCs w:val="1"/>
          <w:color w:val="auto"/>
        </w:rPr>
        <w:t>Merger Agreement</w:t>
      </w:r>
      <w:r>
        <w:rPr>
          <w:rFonts w:ascii="Times New Roman" w:cs="Times New Roman" w:eastAsia="Times New Roman" w:hAnsi="Times New Roman"/>
          <w:sz w:val="15"/>
          <w:szCs w:val="15"/>
          <w:color w:val="auto"/>
        </w:rPr>
        <w:t>”), by and among the Company, Disc and Gemstone Merger Sub, Inc., a Delaware corporation and a wholly owned subsidiary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w:t>
      </w:r>
      <w:r>
        <w:rPr>
          <w:rFonts w:ascii="Times New Roman" w:cs="Times New Roman" w:eastAsia="Times New Roman" w:hAnsi="Times New Roman"/>
          <w:sz w:val="15"/>
          <w:szCs w:val="15"/>
          <w:b w:val="1"/>
          <w:bCs w:val="1"/>
          <w:i w:val="1"/>
          <w:iCs w:val="1"/>
          <w:color w:val="auto"/>
        </w:rPr>
        <w:t>Merger Sub</w:t>
      </w:r>
      <w:r>
        <w:rPr>
          <w:rFonts w:ascii="Times New Roman" w:cs="Times New Roman" w:eastAsia="Times New Roman" w:hAnsi="Times New Roman"/>
          <w:sz w:val="15"/>
          <w:szCs w:val="15"/>
          <w:color w:val="auto"/>
        </w:rPr>
        <w:t>”), pursuant to which, among other matters, Merger Sub merged with and into Disc, with Disc continuing as a wholly owned subsidiary of the 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the surviving corporation of the merger (the “</w:t>
      </w:r>
      <w:r>
        <w:rPr>
          <w:rFonts w:ascii="Times New Roman" w:cs="Times New Roman" w:eastAsia="Times New Roman" w:hAnsi="Times New Roman"/>
          <w:sz w:val="15"/>
          <w:szCs w:val="15"/>
          <w:b w:val="1"/>
          <w:bCs w:val="1"/>
          <w:i w:val="1"/>
          <w:iCs w:val="1"/>
          <w:color w:val="auto"/>
        </w:rPr>
        <w:t>Merger</w:t>
      </w:r>
      <w:r>
        <w:rPr>
          <w:rFonts w:ascii="Times New Roman" w:cs="Times New Roman" w:eastAsia="Times New Roman" w:hAnsi="Times New Roman"/>
          <w:sz w:val="15"/>
          <w:szCs w:val="15"/>
          <w:color w:val="auto"/>
        </w:rPr>
        <w:t>”). Effective at 5:00 p.m. eastern time on December 29, 2022, the Company effected a 1-for-10 reverse stock split of its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common stock (the “</w:t>
      </w:r>
      <w:r>
        <w:rPr>
          <w:rFonts w:ascii="Times New Roman" w:cs="Times New Roman" w:eastAsia="Times New Roman" w:hAnsi="Times New Roman"/>
          <w:sz w:val="15"/>
          <w:szCs w:val="15"/>
          <w:b w:val="1"/>
          <w:bCs w:val="1"/>
          <w:i w:val="1"/>
          <w:iCs w:val="1"/>
          <w:color w:val="auto"/>
        </w:rPr>
        <w:t>Reverse Stock Split</w:t>
      </w:r>
      <w:r>
        <w:rPr>
          <w:rFonts w:ascii="Times New Roman" w:cs="Times New Roman" w:eastAsia="Times New Roman" w:hAnsi="Times New Roman"/>
          <w:sz w:val="15"/>
          <w:szCs w:val="15"/>
          <w:color w:val="auto"/>
        </w:rPr>
        <w:t>”) and implemented a reduction in the number of authorized shares of common stock to 100,000,000 (the “</w:t>
      </w:r>
      <w:r>
        <w:rPr>
          <w:rFonts w:ascii="Times New Roman" w:cs="Times New Roman" w:eastAsia="Times New Roman" w:hAnsi="Times New Roman"/>
          <w:sz w:val="15"/>
          <w:szCs w:val="15"/>
          <w:b w:val="1"/>
          <w:bCs w:val="1"/>
          <w:i w:val="1"/>
          <w:iCs w:val="1"/>
          <w:color w:val="auto"/>
        </w:rPr>
        <w:t>Common Stock Reduction</w:t>
      </w:r>
      <w:r>
        <w:rPr>
          <w:rFonts w:ascii="Times New Roman" w:cs="Times New Roman" w:eastAsia="Times New Roman" w:hAnsi="Times New Roman"/>
          <w:sz w:val="15"/>
          <w:szCs w:val="15"/>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at 5:01 p.m. eastern time, the Company completed the Merger, and effective at 5:02 p.m. eastern time, the Company changed its name to “Disc Medicine, Inc.”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Name Change</w:t>
      </w:r>
      <w:r>
        <w:rPr>
          <w:rFonts w:ascii="Times New Roman" w:cs="Times New Roman" w:eastAsia="Times New Roman" w:hAnsi="Times New Roman"/>
          <w:sz w:val="15"/>
          <w:szCs w:val="15"/>
          <w:color w:val="auto"/>
        </w:rPr>
        <w:t>”). Following the completion of the Merger, the business conducted by the Company became primarily the business conducted by Disc, which is a clinical-stage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biopharmaceutical company focused on the discovery, development, and commercialization of novel treatments for patients suffering from serious hematologic diseases. Unless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noted otherwise, all references to share and per share amounts in this Current Report on Form 8-K reflect the Reverse Stock Split.</w:t>
      </w:r>
    </w:p>
    <w:p>
      <w:pPr>
        <w:spacing w:after="0" w:line="1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Under the terms of the Merger Agreement, immediately prior to the effective time of the Merger, each share of Disc’s preferred stock was converted into a share of Disc’s common stock. At the closing of the Merger, the Company issued an aggregate of approximately 12,533,557 shares of its common stock to Disc stockholders, based on an exchange ratio of 0.1096 shares of the Company’s common stock for each share of Disc common stock outstanding immediately prior to the Merger, including those shares of common stock issued upon conversion of the Disc preferred stock, resulting in approximately 16,923,285 shares of the Company’s common stock being issued and outstanding immediately following the effective time of the Merger. The exchange ratio was determined through arm’s-length negotiations between the Company and Disc. The Company also assumed all of the outstanding and unexercised stock options to purchase shares of Disc capital stock. The assumed options continue to be governed by the terms of Disc’s 2017 Stock Option and Grant Plan (the “</w:t>
      </w:r>
      <w:r>
        <w:rPr>
          <w:rFonts w:ascii="Times New Roman" w:cs="Times New Roman" w:eastAsia="Times New Roman" w:hAnsi="Times New Roman"/>
          <w:sz w:val="16"/>
          <w:szCs w:val="16"/>
          <w:b w:val="1"/>
          <w:bCs w:val="1"/>
          <w:i w:val="1"/>
          <w:iCs w:val="1"/>
          <w:color w:val="auto"/>
        </w:rPr>
        <w:t>Disc 2017 Plan</w:t>
      </w:r>
      <w:r>
        <w:rPr>
          <w:rFonts w:ascii="Times New Roman" w:cs="Times New Roman" w:eastAsia="Times New Roman" w:hAnsi="Times New Roman"/>
          <w:sz w:val="16"/>
          <w:szCs w:val="16"/>
          <w:color w:val="auto"/>
        </w:rPr>
        <w:t>”). Upon the closing of the Merger, the Company also assumed the Disc 2017 Plan.</w:t>
      </w:r>
    </w:p>
    <w:p>
      <w:pPr>
        <w:spacing w:after="0" w:line="167"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6"/>
          <w:szCs w:val="16"/>
          <w:color w:val="auto"/>
        </w:rPr>
        <w:t>The issuance of the shares of the Company’s common stock issued to the former stockholders of Disc, other than shares of the Company’s common stock issued in exchange for shares of Disc common stock sold in the pre-closing financing, was registered with the SEC on the Company’s Registration Statement on Form S-4, as amended (File No. 333-267276)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6"/>
          <w:szCs w:val="16"/>
          <w:color w:val="auto"/>
        </w:rPr>
        <w:t>The shares of the Company’s common stock listed on The Nasdaq Global Market, previously trading through the close of business on Thursday, December 29, 2022 under the ticker symbol “GMTX,” will commence trading on The Nasdaq Global Market, on a post-Reverse Stock Split adjusted basis, under the ticker symbol “IRON,” on December 30, 2022. The Company’s common stock is represented by a new CUSIP number, 254604 101.</w:t>
      </w:r>
    </w:p>
    <w:p>
      <w:pPr>
        <w:spacing w:after="0" w:line="16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The foregoing description of the Merger Agreement contained herein does not purport to be complete and is qualified in its entirety by reference to the Merger Agreement, which was filed as Exhibit 2.1 on the Report on Form 8-K filed by the Company on August 10, 2022, and is incorporated herein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9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To the extent required by Item 3.02 of Form 8-K, the information set forth under Item 1.01 of this Current Report on Form 8-K regarding the Roche Stock Issuance Agreement is hereby incorporated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3.03. Material Modification to Rights of Security Holders.</w:t>
      </w:r>
    </w:p>
    <w:p>
      <w:pPr>
        <w:spacing w:after="0" w:line="21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The Company convened and adjourned its special meeting of stockholders on December 28, 2022 (the “</w:t>
      </w:r>
      <w:r>
        <w:rPr>
          <w:rFonts w:ascii="Times New Roman" w:cs="Times New Roman" w:eastAsia="Times New Roman" w:hAnsi="Times New Roman"/>
          <w:sz w:val="16"/>
          <w:szCs w:val="16"/>
          <w:b w:val="1"/>
          <w:bCs w:val="1"/>
          <w:i w:val="1"/>
          <w:iCs w:val="1"/>
          <w:color w:val="auto"/>
        </w:rPr>
        <w:t>Special Meeting</w:t>
      </w:r>
      <w:r>
        <w:rPr>
          <w:rFonts w:ascii="Times New Roman" w:cs="Times New Roman" w:eastAsia="Times New Roman" w:hAnsi="Times New Roman"/>
          <w:sz w:val="16"/>
          <w:szCs w:val="16"/>
          <w:color w:val="auto"/>
        </w:rPr>
        <w:t>”). At the Special Meeting, the Company’s stockholders approved an amendment to the amended and restated certificate of incorporation of the Company (the “</w:t>
      </w:r>
      <w:r>
        <w:rPr>
          <w:rFonts w:ascii="Times New Roman" w:cs="Times New Roman" w:eastAsia="Times New Roman" w:hAnsi="Times New Roman"/>
          <w:sz w:val="16"/>
          <w:szCs w:val="16"/>
          <w:b w:val="1"/>
          <w:bCs w:val="1"/>
          <w:i w:val="1"/>
          <w:iCs w:val="1"/>
          <w:color w:val="auto"/>
        </w:rPr>
        <w:t>Stock Amendment</w:t>
      </w:r>
      <w:r>
        <w:rPr>
          <w:rFonts w:ascii="Times New Roman" w:cs="Times New Roman" w:eastAsia="Times New Roman" w:hAnsi="Times New Roman"/>
          <w:sz w:val="16"/>
          <w:szCs w:val="16"/>
          <w:color w:val="auto"/>
        </w:rPr>
        <w:t>”) to effect the Reverse Stock Split and the Common Stock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15010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ind w:right="40"/>
        <w:spacing w:after="0" w:line="272" w:lineRule="auto"/>
        <w:rPr>
          <w:sz w:val="20"/>
          <w:szCs w:val="20"/>
          <w:color w:val="auto"/>
        </w:rPr>
      </w:pPr>
      <w:r>
        <w:rPr>
          <w:rFonts w:ascii="Times New Roman" w:cs="Times New Roman" w:eastAsia="Times New Roman" w:hAnsi="Times New Roman"/>
          <w:sz w:val="15"/>
          <w:szCs w:val="15"/>
          <w:color w:val="auto"/>
        </w:rPr>
        <w:t>On December 28, 2022, the Company filed the Stock Amendment with the Secretary of State of the State of Delaware to effect the Reverse Stock Split effective as of 5:00 p.m. on December 29, 2022. As a result of the Reverse Stock Split, the number of issued and outstanding shares of the Company’s common stock immediately prior to the Reverse Stock Split was reduced to a smaller number of shares, such that every 10 shares of the Company’s common stock held by a stockholder immediately prior to the Reverse Stock Split, including shares of the Company’s common stock issued to former Disc stockholders in connection with the Merger, were combined and reclassified into one share of the Company’s common stock. Immediately following the Reverse Stock Split, there were approximately 16,923,285 shares of the Company’s common stock outstanding.</w:t>
      </w:r>
    </w:p>
    <w:p>
      <w:pPr>
        <w:spacing w:after="0" w:line="150"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6"/>
          <w:szCs w:val="16"/>
          <w:color w:val="auto"/>
        </w:rPr>
        <w:t>No fractional shares were issued in connection with the Reverse Stock Split. Any fractional shares resulting from the Reverse Stock Split were rounded down to the nearest whole number, and each stockholder who would otherwise be entitled to a fraction of a share of common stock upon the Reverse Stock Split (after aggregating all fractions of a share to which such stockholder would otherwise be entitled) is, in lieu thereof, entitled to receive a cash payment determined by multiplying the last reported sale price of the Company’s common stock at 4:00 p.m., Eastern Time, end of regular trading hours on The Nasdaq Global Market on the last day prior to the effective time of the Merger, by the fraction of a share of the Company’s common stock to which each stockholder would otherwise be entitled.</w:t>
      </w:r>
    </w:p>
    <w:p>
      <w:pPr>
        <w:spacing w:after="0" w:line="16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On December 29, 2022, the Company filed a certificate of amendment (the “</w:t>
      </w:r>
      <w:r>
        <w:rPr>
          <w:rFonts w:ascii="Times New Roman" w:cs="Times New Roman" w:eastAsia="Times New Roman" w:hAnsi="Times New Roman"/>
          <w:sz w:val="16"/>
          <w:szCs w:val="16"/>
          <w:b w:val="1"/>
          <w:bCs w:val="1"/>
          <w:i w:val="1"/>
          <w:iCs w:val="1"/>
          <w:color w:val="auto"/>
        </w:rPr>
        <w:t>Name Change Amendment</w:t>
      </w:r>
      <w:r>
        <w:rPr>
          <w:rFonts w:ascii="Times New Roman" w:cs="Times New Roman" w:eastAsia="Times New Roman" w:hAnsi="Times New Roman"/>
          <w:sz w:val="16"/>
          <w:szCs w:val="16"/>
          <w:color w:val="auto"/>
        </w:rPr>
        <w:t>”) to the Company’s certificate of incorporation with the Secretary of State of the State of Delaware to change the name of the Company to “Disc Medicine, Inc.” effective as of 5:02 p.m. on December 29, 2022.</w:t>
      </w:r>
    </w:p>
    <w:p>
      <w:pPr>
        <w:spacing w:after="0" w:line="146"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5"/>
          <w:szCs w:val="15"/>
          <w:color w:val="auto"/>
        </w:rPr>
        <w:t>The foregoing descriptions of the Stock Amendment and the Name Change Amendment are not complete and are subject to and qualified in their entirety by reference to the Stock Amendment and the Name Change Amendment, copies of which are attached hereto as Exhibit 3.1 and Exhibit 3.2, respectively, and are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5.01. Changes in Control of Registrant.</w:t>
      </w:r>
    </w:p>
    <w:p>
      <w:pPr>
        <w:spacing w:after="0" w:line="194"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color w:val="auto"/>
        </w:rPr>
        <w:t>The information set forth in Item 2.01 of this Current Report on Form 8-K regarding the Merger and the information set forth in Item 5.02 of this Current Report on Form 8-K regarding the Company’s board of directors and executive officers following the Merger are incorporated by reference into this Item 5.01.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5.02. Departure of Directors or Certain Officers; Election of Directors; Appointment of Certain Officers; Compensatory Arrangements of Certain Officers.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In accordance with the Merger Agreement, immediately prior to and effective upon the closing of the Merger, Carl Gordon, Ph.D., CFA, David Lubner, Tuyen Ong, M.D., MRCOphth., Jason Rhodes and Jim Tananbaum, M.D. resigned from the Company’s board of directors and committees of the board of directors on which they respectively served, which resignations were not the result of any disagreements with the Company relating to the Company’s operations, policies or practices.</w:t>
      </w:r>
    </w:p>
    <w:p>
      <w:pPr>
        <w:spacing w:after="0" w:line="16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Merger Agreement provides that at or immediately after the closing of the Merger, the size of the Company’s board of directors will be fixed at nine members consisting of one member designated by the Company, who is Georges Gemayel, Ph.D., and eight members designated by Disc. In accordance with the Merger Agreement, at the closing of the Merger on December 29, 2022, the board of directors and its committees were reconstituted, with Mona Ashiya, Kevin Bitterman and Jay Backstrom appointed as Class I directors, whose terms expire at the Company’s 2023 annual meeting, Georges Gemayel, Mark Chin and Liam Ratcliff appointed as Class II directors, whose terms expire at the Company’s 2024 annual meeting, and Donald Nicholson, William White and John Quisel appointed as Class III directors, whose terms expire at the Company’s 2025 annual meeting. Donald Nicholson, Ph.D. was appointed as the executive chairman of the board. In addition, William White, Liam Ratcliffe and Mark Chin were appointed to the audit committee of the board, and William White was appointed the chair of the audit committee. Donald Nicholson, Mona Ashiya and Kevin Bitterman were appointed to the compensation committee of the board, and Donald Nicholson was appointed the chair of the compensation committee. Kevin Bitterman, Mona Ashiya, Donald Nicholson and Liam Ratcliffe were appointed to the nominating and corporate governance committee of the board, and Kevin Bitterman was appointed the chair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15010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jc w:val="both"/>
        <w:ind w:right="60"/>
        <w:spacing w:after="0" w:line="257" w:lineRule="auto"/>
        <w:rPr>
          <w:sz w:val="20"/>
          <w:szCs w:val="20"/>
          <w:color w:val="auto"/>
        </w:rPr>
      </w:pPr>
      <w:r>
        <w:rPr>
          <w:rFonts w:ascii="Times New Roman" w:cs="Times New Roman" w:eastAsia="Times New Roman" w:hAnsi="Times New Roman"/>
          <w:sz w:val="16"/>
          <w:szCs w:val="16"/>
          <w:color w:val="auto"/>
        </w:rPr>
        <w:t>Other than pursuant to the Merger Agreement, there were no arrangements or understandings between the Company’s newly appointed directors and any person pursuant to which they were elected. None of the Company’s newly appointed directors has a direct or indirect material interest in any transaction required to be disclosed pursuant to Item 404(a) of Regulation S-K.</w:t>
      </w:r>
    </w:p>
    <w:p>
      <w:pPr>
        <w:spacing w:after="0" w:line="15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Georges Gemayel, Ph.D. </w:t>
      </w:r>
      <w:r>
        <w:rPr>
          <w:rFonts w:ascii="Times New Roman" w:cs="Times New Roman" w:eastAsia="Times New Roman" w:hAnsi="Times New Roman"/>
          <w:sz w:val="16"/>
          <w:szCs w:val="16"/>
          <w:color w:val="auto"/>
        </w:rPr>
        <w:t>served as the Company’s Interim President and Chief Executive Officer from February 2022 to December 2022, Executive Chairperson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board from November 2021 to December 2022 and Chairperson of the Company’s board from May 2021 to December 2022. Dr. Gemayel has over 30 years of experience in the pharmaceutical industry, including management and executive positions in the U.S., Europe and the Middle East. Dr. Gemayel currently serves on the board of directors of Supernus Pharmaceuticals, Inc., and is the chair of the boards of Dynacure, Enterome SA, and GlycoEra. Previously, Dr. Gemayel served as Executive Chair of FoldRx Pharmaceuticals and of Syndexa Pharmaceuticals, as Chair of Oxthera AB, Dimension Therapeutics, Orphazyme A/S, and Epitherapeutics and as Director of Prosensa, Raptor Pharmaceuticals, NPS Pharma, Momenta Pharmaceuticals and Adolor. From 2008 to 2009, Dr. Gemayel was President and Chief Executive Officer of Altus Pharmaceuticals Inc., a publicly traded pharmaceutical company. From 2003 to 2008, he was Executive Vice President at Genzyme Corporation where he was responsible for the company’s global therapeutics, transplant, renal and biosurgery businesses. From 1998 to 2003, he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John Quisel, J.D. Ph.D. </w:t>
      </w:r>
      <w:r>
        <w:rPr>
          <w:rFonts w:ascii="Times New Roman" w:cs="Times New Roman" w:eastAsia="Times New Roman" w:hAnsi="Times New Roman"/>
          <w:sz w:val="16"/>
          <w:szCs w:val="16"/>
          <w:color w:val="auto"/>
        </w:rPr>
        <w:t>has served as Disc’s Chief Executive Officer and as a member of Disc’s board of directors since February 2020. Previously, from October 2006 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February 2020, Dr. Quisel served in various positions at Acceleron Pharma Inc., a biopharmaceutical company, most recently as Chief Business Officer. Prior to joining Acceleron, Dr. Quisel worked as an associate at the law firms of Ropes &amp; Gray and Foley Hoag. Dr. Quisel holds a BS from Harvard University, an MS from Stanford University, a Ph.D. from the Massachusetts Institute of Technology, and a J.D. from Harvard Law School. Dr. Quisel is qualified to serve as a member of the combined company’s board because of his significant scientific industry and management experience, including the experience gained from prior service as a Chief Business Officer. Dr. Quisel’s age as of August 9, 2022 was 51.</w:t>
      </w:r>
    </w:p>
    <w:p>
      <w:pPr>
        <w:spacing w:after="0" w:line="1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Donald Nicholson, Ph.D. </w:t>
      </w:r>
      <w:r>
        <w:rPr>
          <w:rFonts w:ascii="Times New Roman" w:cs="Times New Roman" w:eastAsia="Times New Roman" w:hAnsi="Times New Roman"/>
          <w:sz w:val="15"/>
          <w:szCs w:val="15"/>
          <w:color w:val="auto"/>
        </w:rPr>
        <w:t>has served as Executive Chairman of Disc’s board of directors since April 2019. Dr. Nicholson is the former chief executive officer of Nimbus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Kymera Therapeutics (Nasdaq: KYMR), Jnana Therapeutics and NodThera. Dr. Nicholson received his Ph.D. and an Honors B.Sc. degree in Biochemistry from the University of Western Ontario, and trained as a Medical Research Council postdoctoral fellow at the University of Munich in Germany. Dr. Nicholson is qualified to serve as a member of the combined company’s board of directors due to his extensive experience in leadership positions throughout the life sciences industry and his strong scientific background. Dr. Nicholson’s age as of August 9, 2022 was 65.</w:t>
      </w:r>
    </w:p>
    <w:p>
      <w:pPr>
        <w:spacing w:after="0" w:line="15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Mona Ashiya, Ph.D. </w:t>
      </w:r>
      <w:r>
        <w:rPr>
          <w:rFonts w:ascii="Times New Roman" w:cs="Times New Roman" w:eastAsia="Times New Roman" w:hAnsi="Times New Roman"/>
          <w:sz w:val="15"/>
          <w:szCs w:val="15"/>
          <w:color w:val="auto"/>
        </w:rPr>
        <w:t>has served as a member of Disc’s board of directors since September 2021. Dr. Ashiya is currently a Partner at OrbiMed Advisors LLC, an investment firm,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where she has been employed since October 2010. She currently serves on the board of directors of Sierra Oncology, Inc. (Nasdaq: SRRA) and several private companies. Dr. Ashiya also previously served on the board of directors of Prevail Therapeutics Inc. Dr. Ashiya received her B.A. from the University of California, Berkeley and her Ph.D. in Cellular, Molecular and Developmental Biology from the University of Pittsburgh. Dr. Ashiya is qualified to serve on the combined company’s board of directors based on her roles on public and private boards of directors as well as her extensive experience in investing in healthcare companies. Dr. Ashiya’s age as of August 9, 2022 was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5010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ind w:right="40"/>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Jay Backstrom, M.D., M.P.H. </w:t>
      </w:r>
      <w:r>
        <w:rPr>
          <w:rFonts w:ascii="Times New Roman" w:cs="Times New Roman" w:eastAsia="Times New Roman" w:hAnsi="Times New Roman"/>
          <w:sz w:val="16"/>
          <w:szCs w:val="16"/>
          <w:color w:val="auto"/>
        </w:rPr>
        <w:t>has served as a member of Disc’s board of directors since December 2021. Dr. Backstrom has served as Executive Vice President, Research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at Acceleron Pharma Inc. since December 2019. Dr. Backstrom previously served as Chief Medical Officer of Celgene Corporation from April 2016 until November 2019. Prior to that he served as Senior Vice President, Clinical R&amp;D and Regulatory Affairs at Celgene where he was responsible for the late stage clinical and regulatory programs across the Hematology &amp; Oncology portfolio. Dr. Backstrom joined Celgene in March 2008 as Vice President, Clinical R&amp;D after serving as Vice President, Global Medical Affairs and Safety for Pharmion from 2002 to 2008. Prior to joining Pharmion, Dr. Backstrom was with Marion Merrell Dow and its successor companies including Hoechst Marion Roussel. Dr. Backstrom received his M.D. from Temple University School of Medicine. He did his post graduate training in Internal Medicine at Temple University Hospital and earned a Masters degree in Public Health from Saint Louis University School of Public Health. Dr. Backstrom is qualified to serve on the combined company’s board of directors due to his extensive clinical development background. Dr. Backstom’s age as of August 9, 2022 was 68.</w:t>
      </w:r>
    </w:p>
    <w:p>
      <w:pPr>
        <w:spacing w:after="0" w:line="1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Kevin Bitterman, Ph.D. </w:t>
      </w:r>
      <w:r>
        <w:rPr>
          <w:rFonts w:ascii="Times New Roman" w:cs="Times New Roman" w:eastAsia="Times New Roman" w:hAnsi="Times New Roman"/>
          <w:sz w:val="16"/>
          <w:szCs w:val="16"/>
          <w:color w:val="auto"/>
        </w:rPr>
        <w:t>has served as a member of Disc’s board of directors since November 2017. Dr. Bitterman currently serves as a partner at venture firm Atlas Venture,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Atlas, a venture capital firm, where he has been employed since June 2017 and where he focuses on investments in life science companies. Prior to joining Atlas, Dr. Bitterman was a partner at Polaris Partners, an investment firm, as a member of the healthcare team from July 2004 to June 2017. Dr. Bitterman was also the founding CEO at Editas Medicine Inc., a pharmaceutical company, Visterra Inc., a biotechnology company, and Morphic Rock, LLC, a biotechnology company. Dr. Bitterman currently serves on the board of directors of Akero Therapeutics, Inc. (Nasdaq: AKRO) and, during the past five years, previously served on the board of directors of, Editas Medicine, Inc. (Nasdaq: EDIT) and Kala Pharmaceuticals, Inc. (Nasdaq: KALA), as well as on the board of directors of several private companies. Dr. Bitterman also serves as board chair of the New England Venture Capital Association. Dr. Bitterman received a B.A. in biology from Rutgers College and a Ph.D. in genetics from Harvard Medical School. Dr. Bitterman is qualified to serve on the combined company’s board of directors due to his extensive experience investing in, guiding, and leading start-up and early phase companies, as well as his experience as a director of other companies. Dr. Bitterman’s age as of August 9, 2022 was 45.</w:t>
      </w:r>
    </w:p>
    <w:p>
      <w:pPr>
        <w:spacing w:after="0" w:line="1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b w:val="1"/>
          <w:bCs w:val="1"/>
          <w:color w:val="auto"/>
        </w:rPr>
        <w:t xml:space="preserve">Mark Chin, MS, MBA </w:t>
      </w:r>
      <w:r>
        <w:rPr>
          <w:rFonts w:ascii="Times New Roman" w:cs="Times New Roman" w:eastAsia="Times New Roman" w:hAnsi="Times New Roman"/>
          <w:sz w:val="16"/>
          <w:szCs w:val="16"/>
          <w:color w:val="auto"/>
        </w:rPr>
        <w:t>has served as a member of Disc’s board of directors since September 2021. Mr. Chin has served as managing director at Arix Bioscience PLC,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biotechnology-focused venture capital firm, since July 2021. From August 2016 to April 2020, Mr. Chin served as an investment director at Arix Bioscience. Prior to Arix Bioscience, he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Harpoon Therapeutics, Inc. (Nasdaq: HARP), Imara Inc. (Nasdaq: IMRA), and Iterum Therapeutics plc (Nasdaq: ITRM) and a number of private biotechnology companies. Mr. Chin received a BS from the University of California at San Diego, an MS from the University of Pennsylvania, and an MBA from The Wharton School at the University of Pennsylvania. Disc believes Mr. Chin is qualified to serve on the combined company’s board of directors based on his extensive experience investing in, guiding, and leading start-up and early phase companies, as well as his experience as a director of other companies. Mr. Chin’s age as of August 9, 2022 was 45.</w:t>
      </w:r>
    </w:p>
    <w:p>
      <w:pPr>
        <w:spacing w:after="0" w:line="1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b w:val="1"/>
          <w:bCs w:val="1"/>
          <w:color w:val="auto"/>
        </w:rPr>
        <w:t xml:space="preserve">Liam Ratcliffe, MD, Ph.D. </w:t>
      </w:r>
      <w:r>
        <w:rPr>
          <w:rFonts w:ascii="Times New Roman" w:cs="Times New Roman" w:eastAsia="Times New Roman" w:hAnsi="Times New Roman"/>
          <w:sz w:val="16"/>
          <w:szCs w:val="16"/>
          <w:color w:val="auto"/>
        </w:rPr>
        <w:t>has served as a member of Disc’s board of directors since September 2019. Dr. Ratcliffe has served as Head of Biotechnology at Access Industries,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privately held industrial group, since April 2019. Previously, he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he served as a board member at Edge Therapeutics, Inc. (now PDS Biotechnology Corp., Nasdaq: PDSB) from October 2015 to November 2018, Unum Therapeutics Inc. (formerly listed on Nasdaq) from 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the combined company’s board of directors because of his extensive clinical development and venture capital experience in the life sciences industry. Dr. Ratcliffe’s age as of August 9, 2022 was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010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40"/>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William White, MPP, J.D., </w:t>
      </w:r>
      <w:r>
        <w:rPr>
          <w:rFonts w:ascii="Times New Roman" w:cs="Times New Roman" w:eastAsia="Times New Roman" w:hAnsi="Times New Roman"/>
          <w:sz w:val="16"/>
          <w:szCs w:val="16"/>
          <w:color w:val="auto"/>
        </w:rPr>
        <w:t>has served as a member of Disc’s board of directors since December 2020. Mr. White has served as the Executive Vice President, Chief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 until March 2019. Prior to that position, Mr. White was a Managing Director in Healthcare Investment Banking at Citigroup from May 2006 until September 2017. Previously, he served as an associate and later as a Vice President in Healthcare Investment Banking at Goldman, Sachs &amp; Co. from November 2000 to March 2006. Mr. White received an AB from Princeton University, an MPP from Harvard University and a J.D. from Columbia University. Mr. White is qualified to serve on the combined company’s board of directors because of his extensive financial and investment experience in the life sciences industry. Mr. White’s age as of August 9, 2022 was 49.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9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On December 29, 2022, the board appointed John Quisel, J.D. Ph.D., as the Company’s Chief Executive Officer and principal executive officer, Joanne Bryce, C.P.A as the Company’s Chief Financial Officer, principal financial officer and principal accounting officer and William Savage, MD, Ph.D., will serve as Chief Medical Officer, each to serve at the discretion of the board.</w:t>
      </w:r>
    </w:p>
    <w:p>
      <w:pPr>
        <w:spacing w:after="0" w:line="160"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6"/>
          <w:szCs w:val="16"/>
          <w:color w:val="auto"/>
        </w:rPr>
        <w:t>There are no family relationships among any of the Company’s newly appointed principal officers. None of the Company’s newly appointed principal officers has a direct or indirect material interest in any transaction required to be disclosed pursuant to Item 404(a) of Regulation 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John Quisel, J.D. Ph.D. </w:t>
      </w:r>
      <w:r>
        <w:rPr>
          <w:rFonts w:ascii="Times New Roman" w:cs="Times New Roman" w:eastAsia="Times New Roman" w:hAnsi="Times New Roman"/>
          <w:sz w:val="16"/>
          <w:szCs w:val="16"/>
          <w:color w:val="auto"/>
        </w:rPr>
        <w:t>Dr. Quisel’s biographical information is disclosed in the section above under the heading “</w:t>
      </w:r>
      <w:r>
        <w:rPr>
          <w:rFonts w:ascii="Times New Roman" w:cs="Times New Roman" w:eastAsia="Times New Roman" w:hAnsi="Times New Roman"/>
          <w:sz w:val="16"/>
          <w:szCs w:val="16"/>
          <w:i w:val="1"/>
          <w:iCs w:val="1"/>
          <w:color w:val="auto"/>
        </w:rPr>
        <w:t>Directors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Effective as of the closing of the Merger, Disc entered into an employment agreement with Dr. Quisel (the “</w:t>
      </w:r>
      <w:r>
        <w:rPr>
          <w:rFonts w:ascii="Times New Roman" w:cs="Times New Roman" w:eastAsia="Times New Roman" w:hAnsi="Times New Roman"/>
          <w:sz w:val="15"/>
          <w:szCs w:val="15"/>
          <w:b w:val="1"/>
          <w:bCs w:val="1"/>
          <w:i w:val="1"/>
          <w:iCs w:val="1"/>
          <w:color w:val="auto"/>
        </w:rPr>
        <w:t>Quisel Employment Agreement</w:t>
      </w:r>
      <w:r>
        <w:rPr>
          <w:rFonts w:ascii="Times New Roman" w:cs="Times New Roman" w:eastAsia="Times New Roman" w:hAnsi="Times New Roman"/>
          <w:sz w:val="15"/>
          <w:szCs w:val="15"/>
          <w:color w:val="auto"/>
        </w:rPr>
        <w:t>”), to serve as Disc’s Chief Executive Officer. The employment agreement provides for Dr. Quisel’s at-will employment and an annual base salary of $562,000, an annual bonus with a target amount equal to 50% of his base salary, as well as his ability to participate in the Company’s employee benefit plans generally. The Quisel Employment Agreement provides that if his employment is terminated either (i) by the Company without Cause or (ii) by Dr. Quisel for Good Reason (each as defined therein), within three months before or twelve months after a Change in Control (as defined in the therein) (the “</w:t>
      </w:r>
      <w:r>
        <w:rPr>
          <w:rFonts w:ascii="Times New Roman" w:cs="Times New Roman" w:eastAsia="Times New Roman" w:hAnsi="Times New Roman"/>
          <w:sz w:val="15"/>
          <w:szCs w:val="15"/>
          <w:b w:val="1"/>
          <w:bCs w:val="1"/>
          <w:i w:val="1"/>
          <w:iCs w:val="1"/>
          <w:color w:val="auto"/>
        </w:rPr>
        <w:t>Change in Control Period</w:t>
      </w:r>
      <w:r>
        <w:rPr>
          <w:rFonts w:ascii="Times New Roman" w:cs="Times New Roman" w:eastAsia="Times New Roman" w:hAnsi="Times New Roman"/>
          <w:sz w:val="15"/>
          <w:szCs w:val="15"/>
          <w:color w:val="auto"/>
        </w:rPr>
        <w:t>”) then Dr. Quisel will be entitled to receive, subject to signing a release, (i) a lump sum payment of (a) eighteen months of base salary (b) the target bonus for the then-current fiscal year, and (c) any earned but unpaid bonus for the fiscal year of the termination, (ii) COBRA health continuation for eighteen months, and (iii) 100% acceleration of all outstanding and unvested stock-based awards subject to time-based vesting. The Quisel Employment Agreement also provides that if his employment is terminated either (i) by the Company without Cause or (ii) by Dr. Quisel for Good Reason, outside the Change in Control Period, then Dr. Quisel will be entitled to receive, subject to signing a release, (i) a lump sum payment of (a) twelve months of base salary, (b) a pro rata share of the target bonus for the then-current fiscal year and (c) any earned but unpaid bonus for the fiscal year of the termination, (ii) COBRA health continuation for twelve months, and (iii) 25% acceleration of all outstanding and unvested stock-based awards subject to time-based vesting. The Quisel Employment Agreement contains a Section 280G partial clawback, in which Dr. Quisel is entitled to receive the greater of (a) the best net after-tax amount of any payments that are subject to the excise tax imposed by Section 4999 of the Code, calculated in a manner consistent with Section 280G of the Code, and (b) the amount of parachute payments he would be entitled to receive if they were reduced to an amount equal to one dollar less than the amount at which Dr. Quisel becomes subject to excise tax imposed by Section 4999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501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140"/>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Joanne Bryce, CPA </w:t>
      </w:r>
      <w:r>
        <w:rPr>
          <w:rFonts w:ascii="Times New Roman" w:cs="Times New Roman" w:eastAsia="Times New Roman" w:hAnsi="Times New Roman"/>
          <w:sz w:val="16"/>
          <w:szCs w:val="16"/>
          <w:color w:val="auto"/>
        </w:rPr>
        <w:t>has served as Disc’s Chief Financial Officer since September 2021. Previously, she served as a part-time consultant for Disc acting as Disc’s Chief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from November 2017 to September 2021. Ms. Bryce was previously the Chief Financial Officer of Arkuda Therapeutics, a biotechnology company, having served from February 2018 to September 2021. Additionally, she previously served as a consultant to Dyne Therapeutics, a muscle disease company, acting as head of finance, from January 2018 to March 2020, and was also previously Chief Financial Officer of Quartet Medicine, a biotechnology company, from November 2016 to November 2018. Prior to Quartet, Ms. Bryce held Chief Financial Officer roles at a number of technology companies, including Speedy Packets from October 2014 to November 2016 and WiTricity from September 2008 to June 2014. Ms. Bryce’s age as of August 9, 2022 was 56.</w:t>
      </w:r>
    </w:p>
    <w:p>
      <w:pPr>
        <w:spacing w:after="0" w:line="16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Effective as of the closing of the Merger, Disc entered into an employment agreement with Ms. Bryce (the “</w:t>
      </w:r>
      <w:r>
        <w:rPr>
          <w:rFonts w:ascii="Times New Roman" w:cs="Times New Roman" w:eastAsia="Times New Roman" w:hAnsi="Times New Roman"/>
          <w:sz w:val="16"/>
          <w:szCs w:val="16"/>
          <w:b w:val="1"/>
          <w:bCs w:val="1"/>
          <w:i w:val="1"/>
          <w:iCs w:val="1"/>
          <w:color w:val="auto"/>
        </w:rPr>
        <w:t>Bryce Employment Agreement</w:t>
      </w:r>
      <w:r>
        <w:rPr>
          <w:rFonts w:ascii="Times New Roman" w:cs="Times New Roman" w:eastAsia="Times New Roman" w:hAnsi="Times New Roman"/>
          <w:sz w:val="16"/>
          <w:szCs w:val="16"/>
          <w:color w:val="auto"/>
        </w:rPr>
        <w:t>”), to serve as Disc’s Chief Financial Officer. The employment agreement provides for Ms. Bryce’s at-will employment and an annual base salary of $419,000, an annual bonus with a target amount equal to 40% of her base salary, as well as her ability to participate in the Company’s employee benefit plans generally. The Bryce Employment Agreement provides that if her employment is terminated either (i) by the Company without Cause or (ii) by Ms. Bryce for Good Reason (each as defined in therein), within the Change in Control Period then Ms. Bryce will be entitled to receive, subject to signing a release, (i) a lump sum payment of (a) twelve months of base salary (b) the target bonus for the then-current fiscal year, and (c) any earned but unpaid bonus for the fiscal year of the termination, (ii) COBRA health continuation for twelve months, and (iii) 100% acceleration of all outstanding and unvested stock-based awards subject to time-based vesting. The Bryce Employment Agreement also provides that if her employment is terminated either (i) by the Company without Cause or (ii) by Ms. Bryce for Good Reason, outside the Change in Control Period, then Ms. Bryce will be entitled to receive, subject to signing a release, (i) a lump sum payment of (a) nine months of base salary and (b) any earned but unpaid bonus for the fiscal year of the termination and (ii) COBRA health continuation for nine months. The Bryce Employment Agreement contains a Section 280G partial clawback, in which Ms. Bryce is entitled to receive the greater of (a) the best net after-tax amount of any payments that are subject to the excise tax imposed by Section 4999 of the Code, calculated in a manner consistent with Section 280G of the Code, and (b) the amount of parachute payments he would be entitled to receive if they were reduced to an amount equal to one dollar less than the amount at which Ms. Bryce becomes subject to excise tax imposed by Section 4999 of the Code.</w:t>
      </w:r>
    </w:p>
    <w:p>
      <w:pPr>
        <w:spacing w:after="0" w:line="17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William Savage, MD, Ph.D. </w:t>
      </w:r>
      <w:r>
        <w:rPr>
          <w:rFonts w:ascii="Times New Roman" w:cs="Times New Roman" w:eastAsia="Times New Roman" w:hAnsi="Times New Roman"/>
          <w:sz w:val="16"/>
          <w:szCs w:val="16"/>
          <w:color w:val="auto"/>
        </w:rPr>
        <w:t>has served as Disc’s Chief Medical Officer since August 2021 and was previously Disc’s Vice President, Head of Clinical Development from August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2020 to August 2021. Previously, he served as Senior Medical Director at 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He started his career at Johns Hopkins University School of Medicine, where he was Associate Medical Director, Transfusion Medicine. Dr. Savage holds a BA from Columbia University, an MD with honors in research from Weill Cornell Medical College and a Ph.D. from the Johns Hopkins Bloomberg School of Public Health. Dr. Savage’s age as of August 9, 2022 was 48.</w:t>
      </w:r>
    </w:p>
    <w:p>
      <w:pPr>
        <w:spacing w:after="0" w:line="16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Effective as of the closing of the Merger, Disc entered into an employment agreement with Dr. Savage (the “</w:t>
      </w:r>
      <w:r>
        <w:rPr>
          <w:rFonts w:ascii="Times New Roman" w:cs="Times New Roman" w:eastAsia="Times New Roman" w:hAnsi="Times New Roman"/>
          <w:sz w:val="16"/>
          <w:szCs w:val="16"/>
          <w:b w:val="1"/>
          <w:bCs w:val="1"/>
          <w:i w:val="1"/>
          <w:iCs w:val="1"/>
          <w:color w:val="auto"/>
        </w:rPr>
        <w:t>Savage Employment Agreement</w:t>
      </w:r>
      <w:r>
        <w:rPr>
          <w:rFonts w:ascii="Times New Roman" w:cs="Times New Roman" w:eastAsia="Times New Roman" w:hAnsi="Times New Roman"/>
          <w:sz w:val="16"/>
          <w:szCs w:val="16"/>
          <w:color w:val="auto"/>
        </w:rPr>
        <w:t>”), to serve as Disc’s Chief Medical Officer. The employment agreement provides for Dr. Savage’s at-will employment and an annual base salary of $458,000, an annual bonus with a target amount equal to 40% of his base salary, as well as his ability to participate in the Company’s employee benefit plans generally. The Savage Employment Agreement provides that if her employment is terminated either (i) by the Company without Cause or (ii) by Dr. Savage for Good Reason (each as defined in therein), within the Change in Control Period then Dr. Savage will be entitled to receive, subject to signing a release, (i) a lump sum payment of (a) twelve months of base salary (b) the target bonus for the then-current fiscal year, and (c) any earned but unpaid bonus for the fiscal year of the termination, (ii) COBRA health continuation for twelve months, and (iii) 100% acceleration of all outstanding and unvested stock-based awards subject to time-based vesting. The Savage Employment Agreement also provides that if his employment is terminated either (i) by the Company without Cause or (ii) by Dr. Savage for Good Reason, outside the Change in Control Period, then Dr. Savage will be entitled to receive, subject to signing a release, (i) a lump sum payment of (a) nine months of base salary and (b) any earned but unpaid bonus for the fiscal year of the termination and (ii) COBRA health continuation for nine months. The Savage Employment Agreement contains a Section 280G partial clawback, in which Dr. Savage is entitled to receive the greater of (a) the best net after-tax amount of any payments that are subject to the excise tax imposed by Section 4999 of the Code, calculated in a manner consistent with Section 280G of the Code, and (b) the amount of parachute payments he would be entitled to receive if they were reduced to an amount equal to one dollar less than the amount at which Dr. Savage becomes subject to excise tax imposed by Section 4999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15010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ind w:right="60"/>
        <w:spacing w:after="0" w:line="257" w:lineRule="auto"/>
        <w:rPr>
          <w:sz w:val="20"/>
          <w:szCs w:val="20"/>
          <w:color w:val="auto"/>
        </w:rPr>
      </w:pPr>
      <w:r>
        <w:rPr>
          <w:rFonts w:ascii="Times New Roman" w:cs="Times New Roman" w:eastAsia="Times New Roman" w:hAnsi="Times New Roman"/>
          <w:sz w:val="16"/>
          <w:szCs w:val="16"/>
          <w:color w:val="auto"/>
        </w:rPr>
        <w:t>The above descriptions of the employment related agreements for Dr. Quisel, Ms. Bryce and Dr. Savage do not purport to be complete and are subject to and qualified in their entirety by reference to the copies of the employment related agreements for Dr. Quisel, Ms. Bryce and Dr. Savage included as Exhibits 10.6, 10.7, and 10.8 to this Current Report on Form 8-K, which are incorporated herein by reference.</w:t>
      </w:r>
    </w:p>
    <w:p>
      <w:pPr>
        <w:spacing w:after="0" w:line="16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color w:val="auto"/>
        </w:rPr>
        <w:t>Information regarding transactions between the Company and the newly appointed directors and executive officers is included in the Registration Statement and is incorporated herein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Compensatory Plans</w:t>
      </w:r>
    </w:p>
    <w:p>
      <w:pPr>
        <w:spacing w:after="0" w:line="194"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6"/>
          <w:szCs w:val="16"/>
          <w:color w:val="auto"/>
        </w:rPr>
        <w:t>The Company assumed, effective as of the closing of the Merger, the Disc 2017 Plan, filed as Exhibit 10.9 to this Current Report on Form 8-K and incorporated herein by reference, as well as the outstanding awards granted thereunder, the award agreements evidencing the grants of such awards and the remaining shares available under the Disc 2017 Plan, including any awards granted to the Company’s named executive officers, in each case subject to applicable adjustments in the manner set forth in the Merger Agreement to such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Departure of Officers</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On December 29, 2022, immediately prior to and effective upon the closing of the Merger, Georges Gemayel, Ph.D., the Company’s Interim President and Chief Executive Officer, ceased to be an officer of the Company, but is remaining a director of the Company.</w:t>
      </w:r>
    </w:p>
    <w:p>
      <w:pPr>
        <w:spacing w:after="0" w:line="15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6"/>
          <w:szCs w:val="16"/>
          <w:color w:val="auto"/>
        </w:rPr>
        <w:t>On December 29, 2022, immediately prior to and effective upon the closing of the Merger, Brian Piekos, the Company’s Chief Financial Officer and Chief Business Officer, ceased to be an officer of the Company.</w:t>
      </w:r>
    </w:p>
    <w:p>
      <w:pPr>
        <w:spacing w:after="0" w:line="15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6"/>
          <w:szCs w:val="16"/>
          <w:color w:val="auto"/>
        </w:rPr>
        <w:t>In connection with his termination of employment, Mr. Piekos is entitled to receive certain severance payments and benefits under the terms of his separation agreement with the Company, dated as of December 29, 2022. In addition, he is entitled to receive a retention bonus and certain restricted stock units over the Company’s common stock granted to him accelerated in full at the closing of the Merger. For additional information regarding these payments and benefits, please refer to the Registration Statement, which is incorporated by reference in all respects.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5.03. Amendments to Articles of Incorporation or Bylaws; Change in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extent required by Item 5.03 of Form 8-K, the information contained in Item 2.01 and Item 3.03 of this Current Report on Form 8-K is incorporated by reference herein.</w:t>
      </w:r>
    </w:p>
    <w:p>
      <w:pPr>
        <w:spacing w:after="0" w:line="19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Commencing on December 30, 2022, the Company expects the trading symbol for its Common Stock, which is currently listed on Nasdaq, to change from “GMTX” to “IRON.” The change in trading symbol is related solely to the Name Change.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5.05. Amendments to the Registrant’s Code of Ethics, or Waiver of a Provision of the Code of Ethics.</w:t>
      </w:r>
    </w:p>
    <w:p>
      <w:pPr>
        <w:spacing w:after="0" w:line="190"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6"/>
          <w:szCs w:val="16"/>
          <w:color w:val="auto"/>
        </w:rPr>
        <w:t>In connection with the Merger, the Board adopted a new code of business conduct and ethics (the “</w:t>
      </w:r>
      <w:r>
        <w:rPr>
          <w:rFonts w:ascii="Times New Roman" w:cs="Times New Roman" w:eastAsia="Times New Roman" w:hAnsi="Times New Roman"/>
          <w:sz w:val="16"/>
          <w:szCs w:val="16"/>
          <w:b w:val="1"/>
          <w:bCs w:val="1"/>
          <w:i w:val="1"/>
          <w:iCs w:val="1"/>
          <w:color w:val="auto"/>
        </w:rPr>
        <w:t>Code of Conduct</w:t>
      </w:r>
      <w:r>
        <w:rPr>
          <w:rFonts w:ascii="Times New Roman" w:cs="Times New Roman" w:eastAsia="Times New Roman" w:hAnsi="Times New Roman"/>
          <w:sz w:val="16"/>
          <w:szCs w:val="16"/>
          <w:color w:val="auto"/>
        </w:rPr>
        <w:t>”). The Code of Conduct superseded the Company’s existing code of business conduct and ethics previously adopted by the Board (the “</w:t>
      </w:r>
      <w:r>
        <w:rPr>
          <w:rFonts w:ascii="Times New Roman" w:cs="Times New Roman" w:eastAsia="Times New Roman" w:hAnsi="Times New Roman"/>
          <w:sz w:val="16"/>
          <w:szCs w:val="16"/>
          <w:b w:val="1"/>
          <w:bCs w:val="1"/>
          <w:i w:val="1"/>
          <w:iCs w:val="1"/>
          <w:color w:val="auto"/>
        </w:rPr>
        <w:t>Pre-Merger Code</w:t>
      </w:r>
      <w:r>
        <w:rPr>
          <w:rFonts w:ascii="Times New Roman" w:cs="Times New Roman" w:eastAsia="Times New Roman" w:hAnsi="Times New Roman"/>
          <w:sz w:val="16"/>
          <w:szCs w:val="16"/>
          <w:color w:val="auto"/>
        </w:rPr>
        <w:t>”). The Code of Conduct applies to all directors, officers, employees and consultants of the Company.</w:t>
      </w:r>
    </w:p>
    <w:p>
      <w:pPr>
        <w:spacing w:after="0" w:line="15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color w:val="auto"/>
        </w:rPr>
        <w:t>The provisions of the Code of Conduct are intended to reflect current best practices and enhance the Company’s personnel’s understanding of the Company’s standards of ethical business practices, promote awareness of ethical issues that may be encountered in carrying out an employee’s or director’s responsibilities, and improve clarity as to how to address ethical issues that may arise. The newly adopted Code of Conduct did not result in any explicit or implicit waiver of any provision of the Pre-Merger Code. The foregoing description of the Code of Conduct does not purport to be complete and is qualified in its entirety by reference to the full text of the Code of Conduct, a copy of which is attached hereto as Exhibit 14.1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6"/>
          <w:szCs w:val="16"/>
          <w:color w:val="auto"/>
        </w:rPr>
        <w:t>On December 29, 2022, the Company issued a press release announcing, among other things, the closing of the Merger. A copy of the press release is attached as Exhibit 99.1 hereto and incorporated herein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The Company’s Risk Factors, the Company’s Business Section and Disc’s Management’s Discussion and Analysis of Financial Condition and Results of Operations of Disc Medicine, Inc. as of and for the years ended December 31, 2021 and 2020 and as of September 30, 2022 and for the three and nine month periods ended September 30, 2022 and 2021 are filed herewith and attached hereto as Exhibits 99.2, 99.3, and 99.4 respectively,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Financial Statements of Businesses Acquired.</w:t>
      </w:r>
    </w:p>
    <w:p>
      <w:pPr>
        <w:spacing w:after="0" w:line="1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The audited financial statements of Disc as of December 31, 2021 and 2020 and for the years then ended required by Item 9.01(a) are filed herewith as Exhibit 99.5 to this Current Report on Form 8-K and are incorporated herein by reference.</w:t>
      </w:r>
    </w:p>
    <w:p>
      <w:pPr>
        <w:spacing w:after="0" w:line="15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The unaudited condensed interim financial statements of Disc as of September 30, 2022 and for the nine months ended September 30, 2022 and 2021 are filed herewith as Exhibit 99.6 to this Current Report on Form 8-K and are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Pro Forma Financial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 forma financial information required by Item 9.01(b) are filed herewith as Exhibit 99.7 to this Current Report on Form 8-K and is incorporated herein by reference.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 Exhibits</w:t>
            </w: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440" w:type="dxa"/>
            <w:vAlign w:val="bottom"/>
          </w:tcPr>
          <w:p>
            <w:pPr>
              <w:spacing w:after="0"/>
              <w:rPr>
                <w:sz w:val="17"/>
                <w:szCs w:val="17"/>
                <w:color w:val="auto"/>
              </w:rPr>
            </w:pPr>
          </w:p>
        </w:tc>
      </w:tr>
      <w:tr>
        <w:trPr>
          <w:trHeight w:val="358"/>
        </w:trPr>
        <w:tc>
          <w:tcPr>
            <w:tcW w:w="8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210"/>
        </w:trPr>
        <w:tc>
          <w:tcPr>
            <w:tcW w:w="82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No.</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44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8"/>
        </w:trPr>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8440" w:type="dxa"/>
            <w:vAlign w:val="bottom"/>
            <w:tcBorders>
              <w:top w:val="single" w:sz="8" w:color="auto"/>
            </w:tcBorders>
          </w:tcPr>
          <w:p>
            <w:pPr>
              <w:spacing w:after="0"/>
              <w:rPr>
                <w:sz w:val="16"/>
                <w:szCs w:val="16"/>
                <w:color w:val="auto"/>
              </w:rPr>
            </w:pPr>
          </w:p>
        </w:tc>
      </w:tr>
      <w:tr>
        <w:trPr>
          <w:trHeight w:val="168"/>
        </w:trPr>
        <w:tc>
          <w:tcPr>
            <w:tcW w:w="3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Certificate of Amendment to the Amended and Restated Certificate of Incorporation of the Company, dated December 28, 2022</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3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2*</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Certificate of Amendment to the Amended and Restated Certificate of Incorporation of the Company, dated December 29, 2022</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Form of Registration Rights Agreement</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Form of Contingent Value Rights Agreement</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Form of Indemnification Agreement for Directors of Disc Medicine, Inc.</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4*</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Form of Indemnification Agreement for Officers of Disc Medicine, Inc.</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53"/>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5*</w:t>
            </w:r>
          </w:p>
        </w:tc>
        <w:tc>
          <w:tcPr>
            <w:tcW w:w="140" w:type="dxa"/>
            <w:vAlign w:val="bottom"/>
            <w:shd w:val="clear" w:color="auto" w:fill="CCEEFF"/>
          </w:tcPr>
          <w:p>
            <w:pPr>
              <w:spacing w:after="0"/>
              <w:rPr>
                <w:sz w:val="13"/>
                <w:szCs w:val="13"/>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Common Stock Issuance Agreement, dated as of December 29, 2022, by and between Disc Medicine Opco, Inc., F. Hoffmann-La Roche Ltd. and Hoffmann-La</w:t>
            </w:r>
          </w:p>
        </w:tc>
      </w:tr>
      <w:tr>
        <w:trPr>
          <w:trHeight w:val="203"/>
        </w:trPr>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Roche Inc.</w:t>
            </w:r>
          </w:p>
        </w:tc>
      </w:tr>
      <w:tr>
        <w:trPr>
          <w:trHeight w:val="188"/>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440" w:type="dxa"/>
            <w:vAlign w:val="bottom"/>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6*</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Employment Agreement, dated as of December 29, 2022, by and between Disc Medicine, Inc. and John Quisel, J.D. Ph.D.</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7*</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Employment Agreement, dated as of December 29, 2022, by and between Disc Medicine, Inc. and Joanne Bryce</w:t>
            </w:r>
          </w:p>
        </w:tc>
      </w:tr>
      <w:tr>
        <w:trPr>
          <w:trHeight w:val="188"/>
        </w:trPr>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tcPr>
          <w:p>
            <w:pPr>
              <w:spacing w:after="0"/>
              <w:rPr>
                <w:sz w:val="16"/>
                <w:szCs w:val="16"/>
                <w:color w:val="auto"/>
              </w:rPr>
            </w:pPr>
          </w:p>
        </w:tc>
      </w:tr>
      <w:tr>
        <w:trPr>
          <w:trHeight w:val="168"/>
        </w:trPr>
        <w:tc>
          <w:tcPr>
            <w:tcW w:w="6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8*</w:t>
            </w:r>
          </w:p>
        </w:tc>
        <w:tc>
          <w:tcPr>
            <w:tcW w:w="140" w:type="dxa"/>
            <w:vAlign w:val="bottom"/>
            <w:shd w:val="clear" w:color="auto" w:fill="CCEEFF"/>
          </w:tcPr>
          <w:p>
            <w:pPr>
              <w:spacing w:after="0"/>
              <w:rPr>
                <w:sz w:val="14"/>
                <w:szCs w:val="14"/>
                <w:color w:val="auto"/>
              </w:rPr>
            </w:pPr>
          </w:p>
        </w:tc>
        <w:tc>
          <w:tcPr>
            <w:tcW w:w="10440" w:type="dxa"/>
            <w:vAlign w:val="bottom"/>
            <w:gridSpan w:val="3"/>
            <w:shd w:val="clear" w:color="auto" w:fill="CCEEFF"/>
          </w:tcPr>
          <w:p>
            <w:pPr>
              <w:ind w:left="80"/>
              <w:spacing w:after="0" w:line="153" w:lineRule="exact"/>
              <w:rPr>
                <w:sz w:val="20"/>
                <w:szCs w:val="20"/>
                <w:color w:val="auto"/>
              </w:rPr>
            </w:pPr>
            <w:r>
              <w:rPr>
                <w:rFonts w:ascii="Times New Roman" w:cs="Times New Roman" w:eastAsia="Times New Roman" w:hAnsi="Times New Roman"/>
                <w:sz w:val="16"/>
                <w:szCs w:val="16"/>
                <w:color w:val="auto"/>
              </w:rPr>
              <w:t>Employment Agreement, dated as of December 29, 2022, by and between Disc Medicine, Inc. and William Savage, MD, Ph.D.</w:t>
            </w:r>
          </w:p>
        </w:tc>
      </w:tr>
      <w:tr>
        <w:trPr>
          <w:trHeight w:val="297"/>
        </w:trPr>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c>
          <w:tcPr>
            <w:tcW w:w="8440" w:type="dxa"/>
            <w:vAlign w:val="bottom"/>
            <w:tcBorders>
              <w:top w:val="single" w:sz="8" w:color="CCEEFF"/>
            </w:tcBorders>
          </w:tcPr>
          <w:p>
            <w:pPr>
              <w:spacing w:after="0"/>
              <w:rPr>
                <w:sz w:val="24"/>
                <w:szCs w:val="24"/>
                <w:color w:val="auto"/>
              </w:rPr>
            </w:pPr>
          </w:p>
        </w:tc>
      </w:tr>
      <w:tr>
        <w:trPr>
          <w:trHeight w:val="426"/>
        </w:trPr>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12" w:name="page13"/>
    <w:bookmarkEnd w:id="12"/>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9*</w:t>
            </w:r>
          </w:p>
        </w:tc>
        <w:tc>
          <w:tcPr>
            <w:tcW w:w="240" w:type="dxa"/>
            <w:vAlign w:val="bottom"/>
            <w:shd w:val="clear" w:color="auto" w:fill="CCEEFF"/>
          </w:tcPr>
          <w:p>
            <w:pPr>
              <w:spacing w:after="0"/>
              <w:rPr>
                <w:sz w:val="17"/>
                <w:szCs w:val="17"/>
                <w:color w:val="auto"/>
              </w:rPr>
            </w:pPr>
          </w:p>
        </w:tc>
        <w:tc>
          <w:tcPr>
            <w:tcW w:w="10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2017 Stock Option and Grant Plan of Disc Medicine, Inc., and form of award agreements thereunder.</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68"/>
        </w:trPr>
        <w:tc>
          <w:tcPr>
            <w:tcW w:w="66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10*</w:t>
            </w: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Notice of Termination, Separation Agreement and Release, dated as of December 29, 2022, by and between Gemini Therapeutics, Inc. and Brian Piekos.</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68"/>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u w:val="single" w:color="auto"/>
                <w:color w:val="0000EE"/>
              </w:rPr>
              <w:t>1*</w:t>
            </w:r>
          </w:p>
        </w:tc>
        <w:tc>
          <w:tcPr>
            <w:tcW w:w="240" w:type="dxa"/>
            <w:vAlign w:val="bottom"/>
            <w:shd w:val="clear" w:color="auto" w:fill="CCEEFF"/>
          </w:tcPr>
          <w:p>
            <w:pPr>
              <w:spacing w:after="0"/>
              <w:rPr>
                <w:sz w:val="14"/>
                <w:szCs w:val="14"/>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Code of Business Conduct and Ethics of Disc Medicine, Inc.</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68"/>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1*</w:t>
            </w:r>
          </w:p>
        </w:tc>
        <w:tc>
          <w:tcPr>
            <w:tcW w:w="240" w:type="dxa"/>
            <w:vAlign w:val="bottom"/>
            <w:shd w:val="clear" w:color="auto" w:fill="CCEEFF"/>
          </w:tcPr>
          <w:p>
            <w:pPr>
              <w:spacing w:after="0"/>
              <w:rPr>
                <w:sz w:val="14"/>
                <w:szCs w:val="14"/>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Consent of Ernst &amp; Young LLP, independent registered public accounting firm of Disc Medicine, Inc.</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68"/>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1*</w:t>
            </w:r>
          </w:p>
        </w:tc>
        <w:tc>
          <w:tcPr>
            <w:tcW w:w="240" w:type="dxa"/>
            <w:vAlign w:val="bottom"/>
            <w:shd w:val="clear" w:color="auto" w:fill="CCEEFF"/>
          </w:tcPr>
          <w:p>
            <w:pPr>
              <w:spacing w:after="0"/>
              <w:rPr>
                <w:sz w:val="14"/>
                <w:szCs w:val="14"/>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Press release issued on December 29, 2022</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68"/>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2*</w:t>
            </w:r>
          </w:p>
        </w:tc>
        <w:tc>
          <w:tcPr>
            <w:tcW w:w="240" w:type="dxa"/>
            <w:vAlign w:val="bottom"/>
            <w:shd w:val="clear" w:color="auto" w:fill="CCEEFF"/>
          </w:tcPr>
          <w:p>
            <w:pPr>
              <w:spacing w:after="0"/>
              <w:rPr>
                <w:sz w:val="14"/>
                <w:szCs w:val="14"/>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Risk Factors of Disc Medicine, Inc.</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68"/>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3*</w:t>
            </w:r>
          </w:p>
        </w:tc>
        <w:tc>
          <w:tcPr>
            <w:tcW w:w="240" w:type="dxa"/>
            <w:vAlign w:val="bottom"/>
            <w:shd w:val="clear" w:color="auto" w:fill="CCEEFF"/>
          </w:tcPr>
          <w:p>
            <w:pPr>
              <w:spacing w:after="0"/>
              <w:rPr>
                <w:sz w:val="14"/>
                <w:szCs w:val="14"/>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Business Section of Disc Medicine, Inc.</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53"/>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4*</w:t>
            </w:r>
          </w:p>
        </w:tc>
        <w:tc>
          <w:tcPr>
            <w:tcW w:w="240" w:type="dxa"/>
            <w:vAlign w:val="bottom"/>
            <w:shd w:val="clear" w:color="auto" w:fill="CCEEFF"/>
          </w:tcPr>
          <w:p>
            <w:pPr>
              <w:spacing w:after="0"/>
              <w:rPr>
                <w:sz w:val="13"/>
                <w:szCs w:val="13"/>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Disc Medicine, Inc.’s Management’s Discussion and Analysis of Financial Condition and Results of Operations as of September 30, 2022 and for the nine month</w:t>
            </w:r>
          </w:p>
        </w:tc>
      </w:tr>
      <w:tr>
        <w:trPr>
          <w:trHeight w:val="203"/>
        </w:trPr>
        <w:tc>
          <w:tcPr>
            <w:tcW w:w="3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6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period ended September 30, 2022 and 2021, and for the years ended December 31, 2022 and 2021</w:t>
            </w:r>
          </w:p>
        </w:tc>
      </w:tr>
      <w:tr>
        <w:trPr>
          <w:trHeight w:val="188"/>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0" w:type="dxa"/>
            <w:vAlign w:val="bottom"/>
          </w:tcPr>
          <w:p>
            <w:pPr>
              <w:spacing w:after="0"/>
              <w:rPr>
                <w:sz w:val="16"/>
                <w:szCs w:val="16"/>
                <w:color w:val="auto"/>
              </w:rPr>
            </w:pPr>
          </w:p>
        </w:tc>
      </w:tr>
      <w:tr>
        <w:trPr>
          <w:trHeight w:val="168"/>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5*</w:t>
            </w:r>
          </w:p>
        </w:tc>
        <w:tc>
          <w:tcPr>
            <w:tcW w:w="240" w:type="dxa"/>
            <w:vAlign w:val="bottom"/>
            <w:shd w:val="clear" w:color="auto" w:fill="CCEEFF"/>
          </w:tcPr>
          <w:p>
            <w:pPr>
              <w:spacing w:after="0"/>
              <w:rPr>
                <w:sz w:val="14"/>
                <w:szCs w:val="14"/>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Audited financial statements of Disc Medicine Opco, Inc. (formerly Disc Medicine, Inc.) for the years ended December 31, 2021 and 2020</w:t>
            </w:r>
          </w:p>
        </w:tc>
      </w:tr>
      <w:tr>
        <w:trPr>
          <w:trHeight w:val="188"/>
        </w:trPr>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0" w:type="dxa"/>
            <w:vAlign w:val="bottom"/>
            <w:tcBorders>
              <w:top w:val="single" w:sz="8" w:color="CCEEFF"/>
            </w:tcBorders>
          </w:tcPr>
          <w:p>
            <w:pPr>
              <w:spacing w:after="0"/>
              <w:rPr>
                <w:sz w:val="16"/>
                <w:szCs w:val="16"/>
                <w:color w:val="auto"/>
              </w:rPr>
            </w:pPr>
          </w:p>
        </w:tc>
      </w:tr>
      <w:tr>
        <w:trPr>
          <w:trHeight w:val="153"/>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6*</w:t>
            </w:r>
          </w:p>
        </w:tc>
        <w:tc>
          <w:tcPr>
            <w:tcW w:w="240" w:type="dxa"/>
            <w:vAlign w:val="bottom"/>
            <w:shd w:val="clear" w:color="auto" w:fill="CCEEFF"/>
          </w:tcPr>
          <w:p>
            <w:pPr>
              <w:spacing w:after="0"/>
              <w:rPr>
                <w:sz w:val="13"/>
                <w:szCs w:val="13"/>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rPr>
              <w:t>Unaudited condensed consolidated financial statements of Disc Medicine Opco, Inc. (formerly Disc Medicine, Inc.) as of September 30, 2022 and for each of the</w:t>
            </w:r>
          </w:p>
        </w:tc>
      </w:tr>
      <w:tr>
        <w:trPr>
          <w:trHeight w:val="203"/>
        </w:trPr>
        <w:tc>
          <w:tcPr>
            <w:tcW w:w="3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6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nine months ended September 30, 2022 and 2021</w:t>
            </w:r>
          </w:p>
        </w:tc>
      </w:tr>
      <w:tr>
        <w:trPr>
          <w:trHeight w:val="188"/>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0" w:type="dxa"/>
            <w:vAlign w:val="bottom"/>
          </w:tcPr>
          <w:p>
            <w:pPr>
              <w:spacing w:after="0"/>
              <w:rPr>
                <w:sz w:val="16"/>
                <w:szCs w:val="16"/>
                <w:color w:val="auto"/>
              </w:rPr>
            </w:pPr>
          </w:p>
        </w:tc>
      </w:tr>
      <w:tr>
        <w:trPr>
          <w:trHeight w:val="153"/>
        </w:trPr>
        <w:tc>
          <w:tcPr>
            <w:tcW w:w="4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7*</w:t>
            </w:r>
          </w:p>
        </w:tc>
        <w:tc>
          <w:tcPr>
            <w:tcW w:w="240" w:type="dxa"/>
            <w:vAlign w:val="bottom"/>
            <w:shd w:val="clear" w:color="auto" w:fill="CCEEFF"/>
          </w:tcPr>
          <w:p>
            <w:pPr>
              <w:spacing w:after="0"/>
              <w:rPr>
                <w:sz w:val="13"/>
                <w:szCs w:val="13"/>
                <w:color w:val="auto"/>
              </w:rPr>
            </w:pPr>
          </w:p>
        </w:tc>
        <w:tc>
          <w:tcPr>
            <w:tcW w:w="106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6"/>
                <w:szCs w:val="16"/>
                <w:color w:val="auto"/>
                <w:w w:val="97"/>
              </w:rPr>
              <w:t>Selected historical and unaudited pro forma condensed combined financial information as of September 20, 2022 and for the nine months ended September 30, 2022</w:t>
            </w:r>
          </w:p>
        </w:tc>
      </w:tr>
      <w:tr>
        <w:trPr>
          <w:trHeight w:val="203"/>
        </w:trPr>
        <w:tc>
          <w:tcPr>
            <w:tcW w:w="3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6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and the year ended December 31, 2021</w:t>
            </w:r>
          </w:p>
        </w:tc>
      </w:tr>
    </w:tbl>
    <w:p>
      <w:pPr>
        <w:spacing w:after="0" w:line="171" w:lineRule="exact"/>
        <w:rPr>
          <w:sz w:val="20"/>
          <w:szCs w:val="20"/>
          <w:color w:val="auto"/>
        </w:rPr>
      </w:pPr>
    </w:p>
    <w:p>
      <w:pPr>
        <w:ind w:left="6" w:right="5300" w:hanging="6"/>
        <w:spacing w:after="0" w:line="515" w:lineRule="auto"/>
        <w:tabs>
          <w:tab w:leader="none" w:pos="91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-490220</wp:posOffset>
            </wp:positionV>
            <wp:extent cx="7150100" cy="119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08"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DISC MEDICINE, INC.</w:t>
            </w:r>
          </w:p>
        </w:tc>
      </w:tr>
      <w:tr>
        <w:trPr>
          <w:trHeight w:val="38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29, 2022</w:t>
            </w:r>
          </w:p>
        </w:tc>
        <w:tc>
          <w:tcPr>
            <w:tcW w:w="258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Quisel</w:t>
            </w:r>
          </w:p>
        </w:tc>
      </w:tr>
      <w:tr>
        <w:trPr>
          <w:trHeight w:val="171"/>
        </w:trPr>
        <w:tc>
          <w:tcPr>
            <w:tcW w:w="3620" w:type="dxa"/>
            <w:vAlign w:val="bottom"/>
          </w:tcPr>
          <w:p>
            <w:pPr>
              <w:spacing w:after="0"/>
              <w:rPr>
                <w:sz w:val="14"/>
                <w:szCs w:val="14"/>
                <w:color w:val="auto"/>
              </w:rPr>
            </w:pPr>
          </w:p>
        </w:tc>
        <w:tc>
          <w:tcPr>
            <w:tcW w:w="2580" w:type="dxa"/>
            <w:vAlign w:val="bottom"/>
          </w:tcPr>
          <w:p>
            <w:pPr>
              <w:ind w:left="2000"/>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John Quisel, J.D. Ph.D.</w:t>
            </w:r>
          </w:p>
        </w:tc>
      </w:tr>
      <w:tr>
        <w:trPr>
          <w:trHeight w:val="203"/>
        </w:trPr>
        <w:tc>
          <w:tcPr>
            <w:tcW w:w="3620" w:type="dxa"/>
            <w:vAlign w:val="bottom"/>
          </w:tcPr>
          <w:p>
            <w:pPr>
              <w:spacing w:after="0"/>
              <w:rPr>
                <w:sz w:val="17"/>
                <w:szCs w:val="17"/>
                <w:color w:val="auto"/>
              </w:rPr>
            </w:pPr>
          </w:p>
        </w:tc>
        <w:tc>
          <w:tcPr>
            <w:tcW w:w="258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46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3.1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 TO THE 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INCORPORATION OF GEMINI THERAPEUTICS,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Section 242 of the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General Corporation Law of the State of Delaware)</w:t>
      </w:r>
    </w:p>
    <w:p>
      <w:pPr>
        <w:spacing w:after="0" w:line="1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Gemini Therapeutics, Inc.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 corporation organized and existing under and by virtue of the provisions of the General Corporation Law of the State of Delaware (the “</w:t>
      </w:r>
      <w:r>
        <w:rPr>
          <w:rFonts w:ascii="Times New Roman" w:cs="Times New Roman" w:eastAsia="Times New Roman" w:hAnsi="Times New Roman"/>
          <w:sz w:val="16"/>
          <w:szCs w:val="16"/>
          <w:u w:val="single" w:color="auto"/>
          <w:color w:val="auto"/>
        </w:rPr>
        <w:t>General Corporation Law</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DOES HEREBY CERTIFY:</w:t>
      </w:r>
    </w:p>
    <w:p>
      <w:pPr>
        <w:spacing w:after="0" w:line="194" w:lineRule="exact"/>
        <w:rPr>
          <w:sz w:val="20"/>
          <w:szCs w:val="20"/>
          <w:color w:val="auto"/>
        </w:rPr>
      </w:pPr>
    </w:p>
    <w:p>
      <w:pPr>
        <w:jc w:val="both"/>
        <w:ind w:left="300" w:firstLine="7"/>
        <w:spacing w:after="0" w:line="253" w:lineRule="auto"/>
        <w:tabs>
          <w:tab w:leader="none" w:pos="46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Resolutions were duly adopted by the Board of Directors of the Corporation pursuant to Section 242 of the General Corporation Law proposing this Amendment of the Corporation’s Amended and Restated Certificate of Incorporation and declaring the advisability of this Amendment of the Amended and Restated Certificate of Incorporation, as amended, and authorizing the appropriate officers of the Corporation to solicit the consent of the stockholders therefor, which resolutions setting forth the proposed amendments are as follows:</w:t>
      </w:r>
    </w:p>
    <w:p>
      <w:pPr>
        <w:spacing w:after="0" w:line="164"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6"/>
          <w:szCs w:val="16"/>
          <w:color w:val="auto"/>
        </w:rPr>
        <w:t>RESOLVED, that the first paragraph of Article IV of the Amended and Restated Certificate of Incorporation of the Corporation, as amended, be and hereby is deleted in its entirety and the following paragraphs are inserted in lieu thereof:</w:t>
      </w:r>
    </w:p>
    <w:p>
      <w:pPr>
        <w:spacing w:after="0" w:line="1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total number of shares of capital stock which the Corporation shall have authority to issue is One Hundred and Ten Million (110,000,000) of which (i) One Hundred Million (100,000,000) shares shall be a class designated as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and (ii) Ten Million (10,000,000) shares shall be a class designated as undesignated preferred stock, par value $0.0001 per share (the “</w:t>
      </w:r>
      <w:r>
        <w:rPr>
          <w:rFonts w:ascii="Times New Roman" w:cs="Times New Roman" w:eastAsia="Times New Roman" w:hAnsi="Times New Roman"/>
          <w:sz w:val="16"/>
          <w:szCs w:val="16"/>
          <w:u w:val="single" w:color="auto"/>
          <w:color w:val="auto"/>
        </w:rPr>
        <w:t>Undesignated Preferred Stock</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300" w:right="20"/>
        <w:spacing w:after="0" w:line="270" w:lineRule="auto"/>
        <w:rPr>
          <w:sz w:val="20"/>
          <w:szCs w:val="20"/>
          <w:color w:val="auto"/>
        </w:rPr>
      </w:pPr>
      <w:r>
        <w:rPr>
          <w:rFonts w:ascii="Times New Roman" w:cs="Times New Roman" w:eastAsia="Times New Roman" w:hAnsi="Times New Roman"/>
          <w:sz w:val="16"/>
          <w:szCs w:val="16"/>
          <w:color w:val="auto"/>
        </w:rPr>
        <w:t>RESOLVED, that Section C of Article IV of the Amended and Restated Certificate of Incorporation of the Corporation, as amended, be and hereby is deleted in its entirety and the following paragraphs are inserted in lieu thereof: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Reverse Stock Split</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Effective immediately upon the filing of this Certificate of Amendment to the Amended and Restated Certificate of Incorporation, as amended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a one-for-ten reverse stock split of the Corporation’s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shall become effective, pursuant to which each ten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 w:cs="Times New Roman" w:eastAsia="Times New Roman" w:hAnsi="Times New Roman"/>
          <w:sz w:val="16"/>
          <w:szCs w:val="16"/>
          <w:u w:val="single" w:color="auto"/>
          <w:color w:val="auto"/>
        </w:rPr>
        <w:t>Reverse Stock Split</w:t>
      </w:r>
      <w:r>
        <w:rPr>
          <w:rFonts w:ascii="Times New Roman" w:cs="Times New Roman" w:eastAsia="Times New Roman" w:hAnsi="Times New Roman"/>
          <w:sz w:val="16"/>
          <w:szCs w:val="16"/>
          <w:color w:val="auto"/>
        </w:rPr>
        <w:t>”). The par value of the Common Stock following the Reverse Stock Split shall remain at $0.0001 per share.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15010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62" w:right="319" w:bottom="1440" w:gutter="0" w:footer="0" w:header="0"/>
        </w:sectPr>
      </w:pPr>
    </w:p>
    <w:bookmarkStart w:id="15" w:name="page16"/>
    <w:bookmarkEnd w:id="15"/>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 xml:space="preserve">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spacing w:after="0" w:line="165" w:lineRule="exact"/>
        <w:rPr>
          <w:sz w:val="20"/>
          <w:szCs w:val="20"/>
          <w:color w:val="auto"/>
        </w:rPr>
      </w:pPr>
    </w:p>
    <w:p>
      <w:pPr>
        <w:ind w:left="300" w:firstLine="7"/>
        <w:spacing w:after="0" w:line="270"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Certificate of Amendment to the Amended and Restated Certificate of Incorporation has been duly adopted by the stockholders of the Corporation in accordance with the provisions of Section 242 of the General Corporation Law.</w:t>
      </w:r>
    </w:p>
    <w:p>
      <w:pPr>
        <w:spacing w:after="0" w:line="149" w:lineRule="exact"/>
        <w:rPr>
          <w:rFonts w:ascii="Times New Roman" w:cs="Times New Roman" w:eastAsia="Times New Roman" w:hAnsi="Times New Roman"/>
          <w:sz w:val="16"/>
          <w:szCs w:val="16"/>
          <w:color w:val="auto"/>
        </w:rPr>
      </w:pPr>
    </w:p>
    <w:p>
      <w:pPr>
        <w:ind w:left="460" w:hanging="153"/>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Certificate of Amendment of the Amended and Restated Certificate of Incorporation shall be effective as of 5:00 p.m. as of December 29,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ind w:firstLine="564"/>
        <w:spacing w:after="0" w:line="27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this Corporation has caused this Certificate of Amendment to the Amended and Restated Certificate of Incorporation to be signed by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Interim President and Chief Executive Officer this 28th day of December, 2022.</w:t>
      </w:r>
    </w:p>
    <w:p>
      <w:pPr>
        <w:spacing w:after="0" w:line="1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12700</wp:posOffset>
            </wp:positionV>
            <wp:extent cx="357124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Georges Gemayel</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Interim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15010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3.2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 TO THE 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INCORPORATION OF GEMINI THERAPEUTICS,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Section 242 of the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General Corporation Law of the State of Delaware)</w:t>
      </w:r>
    </w:p>
    <w:p>
      <w:pPr>
        <w:spacing w:after="0" w:line="1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Gemini Therapeutics, Inc.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 corporation organized and existing under and by virtue of the provisions of the General Corporation Law of the State of Delaware (the “</w:t>
      </w:r>
      <w:r>
        <w:rPr>
          <w:rFonts w:ascii="Times New Roman" w:cs="Times New Roman" w:eastAsia="Times New Roman" w:hAnsi="Times New Roman"/>
          <w:sz w:val="16"/>
          <w:szCs w:val="16"/>
          <w:u w:val="single" w:color="auto"/>
          <w:color w:val="auto"/>
        </w:rPr>
        <w:t>General Corporation Law</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DOES HEREBY CERTIFY:</w:t>
      </w:r>
    </w:p>
    <w:p>
      <w:pPr>
        <w:spacing w:after="0" w:line="194" w:lineRule="exact"/>
        <w:rPr>
          <w:sz w:val="20"/>
          <w:szCs w:val="20"/>
          <w:color w:val="auto"/>
        </w:rPr>
      </w:pPr>
    </w:p>
    <w:p>
      <w:pPr>
        <w:ind w:left="560" w:right="60" w:hanging="2"/>
        <w:spacing w:after="0" w:line="257" w:lineRule="auto"/>
        <w:tabs>
          <w:tab w:leader="none" w:pos="7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resolution was duly adopted by the Board of Directors of the Corporation pursuant to Section 242 of the General Corporation Law proposing this Amendment of the Corporation’s Amended and Restated Certificate of Incorporation and declaring the advisability of this Amendment of the Amended and Restated Certificate of Incorporation, which resolution setting forth the proposed amendment is as follows:</w:t>
      </w:r>
    </w:p>
    <w:p>
      <w:pPr>
        <w:spacing w:after="0" w:line="160" w:lineRule="exact"/>
        <w:rPr>
          <w:sz w:val="20"/>
          <w:szCs w:val="20"/>
          <w:color w:val="auto"/>
        </w:rPr>
      </w:pPr>
    </w:p>
    <w:p>
      <w:pPr>
        <w:ind w:right="420" w:firstLine="564"/>
        <w:spacing w:after="0" w:line="270" w:lineRule="auto"/>
        <w:rPr>
          <w:sz w:val="20"/>
          <w:szCs w:val="20"/>
          <w:color w:val="auto"/>
        </w:rPr>
      </w:pPr>
      <w:r>
        <w:rPr>
          <w:rFonts w:ascii="Times New Roman" w:cs="Times New Roman" w:eastAsia="Times New Roman" w:hAnsi="Times New Roman"/>
          <w:sz w:val="16"/>
          <w:szCs w:val="16"/>
          <w:color w:val="auto"/>
        </w:rPr>
        <w:t>RESOLVED, that Article I of the Amended and Restated Certificate of Incorporation of the Corporation, as amended, be and hereby is deleted in its entirety and the following is inserted in lieu thereof:</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name of the Corporation is Disc Medicine, Inc.”</w:t>
      </w:r>
    </w:p>
    <w:p>
      <w:pPr>
        <w:spacing w:after="0" w:line="192" w:lineRule="exact"/>
        <w:rPr>
          <w:sz w:val="20"/>
          <w:szCs w:val="20"/>
          <w:color w:val="auto"/>
        </w:rPr>
      </w:pPr>
    </w:p>
    <w:p>
      <w:pPr>
        <w:jc w:val="center"/>
        <w:ind w:left="4360" w:right="1140" w:hanging="3802"/>
        <w:spacing w:after="0" w:line="515" w:lineRule="auto"/>
        <w:tabs>
          <w:tab w:leader="none" w:pos="7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Certificate of Amendment of the Amended and Restated Certificate of Incorporation shall be effective as of 5:02 p.m. as of December 29, 2022. [Remainder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5010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62" w:right="319" w:bottom="1440" w:gutter="0" w:footer="0" w:header="0"/>
        </w:sectPr>
      </w:pPr>
    </w:p>
    <w:bookmarkStart w:id="18" w:name="page19"/>
    <w:bookmarkEnd w:id="18"/>
    <w:p>
      <w:pPr>
        <w:ind w:firstLine="564"/>
        <w:spacing w:after="0" w:line="27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this Corporation has caused this Certificate of Amendment to the Amended and Restated Certificate of Incorporation to be signed by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Interim President and Chief Executive Officer this 29th day of December, 2022.</w:t>
      </w:r>
    </w:p>
    <w:p>
      <w:pPr>
        <w:spacing w:after="0" w:line="1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12700</wp:posOffset>
            </wp:positionV>
            <wp:extent cx="357124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Georges Gemayel</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Interim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15010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94" w:lineRule="exact"/>
        <w:rPr>
          <w:sz w:val="20"/>
          <w:szCs w:val="20"/>
          <w:color w:val="auto"/>
        </w:rPr>
      </w:pPr>
    </w:p>
    <w:p>
      <w:pPr>
        <w:ind w:firstLine="564"/>
        <w:spacing w:after="0" w:line="270"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December 28, 2022, between Disc Medicine Opco, Inc. (f/k/a Disc Medicine, Inc.) a Delaware corporation, and each of the several purchasers signatory hereto (each such purchaser,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Purchasers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right="240" w:firstLine="564"/>
        <w:spacing w:after="0" w:line="257" w:lineRule="auto"/>
        <w:rPr>
          <w:sz w:val="20"/>
          <w:szCs w:val="20"/>
          <w:color w:val="auto"/>
        </w:rPr>
      </w:pPr>
      <w:r>
        <w:rPr>
          <w:rFonts w:ascii="Times New Roman" w:cs="Times New Roman" w:eastAsia="Times New Roman" w:hAnsi="Times New Roman"/>
          <w:sz w:val="16"/>
          <w:szCs w:val="16"/>
          <w:color w:val="auto"/>
        </w:rPr>
        <w:t>WHEREAS, the Company is party to that certain Agreement and Plan of Merger and Reorganization by and among the Company, Gemstone Merger Sub, Inc., Gemini Therapeutics, Inc.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dated as of August 9, 2022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the Company will become a wholly-owned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following the Merger (as defined in the Merger Agreement), Gem will change its name to Disc Medicine, Inc. (“TopCo”);</w:t>
      </w:r>
    </w:p>
    <w:p>
      <w:pPr>
        <w:spacing w:after="0" w:line="192" w:lineRule="exact"/>
        <w:rPr>
          <w:sz w:val="20"/>
          <w:szCs w:val="20"/>
          <w:color w:val="auto"/>
        </w:rPr>
      </w:pPr>
    </w:p>
    <w:p>
      <w:pPr>
        <w:ind w:right="320" w:firstLine="564"/>
        <w:spacing w:after="0" w:line="270" w:lineRule="auto"/>
        <w:rPr>
          <w:sz w:val="20"/>
          <w:szCs w:val="20"/>
          <w:color w:val="auto"/>
        </w:rPr>
      </w:pPr>
      <w:r>
        <w:rPr>
          <w:rFonts w:ascii="Times New Roman" w:cs="Times New Roman" w:eastAsia="Times New Roman" w:hAnsi="Times New Roman"/>
          <w:sz w:val="16"/>
          <w:szCs w:val="16"/>
          <w:color w:val="auto"/>
        </w:rPr>
        <w:t>WHEREAS, the Company and the Purchasers are parties to a Subscription Agreement, dated as of the date hereof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pursuant to which the Purchasers, severally and not jointly, are purchasing shares of Common Stock of the Company (the “</w:t>
      </w:r>
      <w:r>
        <w:rPr>
          <w:rFonts w:ascii="Times New Roman" w:cs="Times New Roman" w:eastAsia="Times New Roman" w:hAnsi="Times New Roman"/>
          <w:sz w:val="16"/>
          <w:szCs w:val="16"/>
          <w:u w:val="single" w:color="auto"/>
          <w:color w:val="auto"/>
        </w:rPr>
        <w:t>Purchased Shares</w:t>
      </w:r>
      <w:r>
        <w:rPr>
          <w:rFonts w:ascii="Times New Roman" w:cs="Times New Roman" w:eastAsia="Times New Roman" w:hAnsi="Times New Roman"/>
          <w:sz w:val="16"/>
          <w:szCs w:val="16"/>
          <w:color w:val="auto"/>
        </w:rPr>
        <w:t>”); and</w:t>
      </w:r>
    </w:p>
    <w:p>
      <w:pPr>
        <w:spacing w:after="0" w:line="150" w:lineRule="exact"/>
        <w:rPr>
          <w:sz w:val="20"/>
          <w:szCs w:val="20"/>
          <w:color w:val="auto"/>
        </w:rPr>
      </w:pPr>
    </w:p>
    <w:p>
      <w:pPr>
        <w:ind w:right="20" w:firstLine="564"/>
        <w:spacing w:after="0" w:line="270" w:lineRule="auto"/>
        <w:rPr>
          <w:sz w:val="20"/>
          <w:szCs w:val="20"/>
          <w:color w:val="auto"/>
        </w:rPr>
      </w:pPr>
      <w:r>
        <w:rPr>
          <w:rFonts w:ascii="Times New Roman" w:cs="Times New Roman" w:eastAsia="Times New Roman" w:hAnsi="Times New Roman"/>
          <w:sz w:val="16"/>
          <w:szCs w:val="16"/>
          <w:color w:val="auto"/>
        </w:rPr>
        <w:t>WHEREAS, in connection with the consummation of the transactions contemplated by the Purchase Agreement, and pursuant to the terms of the Purchase Agreement, the parties desire to enter into this Agreement in order to grant certain rights to the Purchasers as set forth below.</w:t>
      </w:r>
    </w:p>
    <w:p>
      <w:pPr>
        <w:spacing w:after="0" w:line="150" w:lineRule="exact"/>
        <w:rPr>
          <w:sz w:val="20"/>
          <w:szCs w:val="20"/>
          <w:color w:val="auto"/>
        </w:rPr>
      </w:pPr>
    </w:p>
    <w:p>
      <w:pPr>
        <w:ind w:right="80" w:firstLine="564"/>
        <w:spacing w:after="0" w:line="270" w:lineRule="auto"/>
        <w:rPr>
          <w:sz w:val="20"/>
          <w:szCs w:val="20"/>
          <w:color w:val="auto"/>
        </w:rPr>
      </w:pPr>
      <w:r>
        <w:rPr>
          <w:rFonts w:ascii="Times New Roman" w:cs="Times New Roman" w:eastAsia="Times New Roman" w:hAnsi="Times New Roman"/>
          <w:sz w:val="16"/>
          <w:szCs w:val="16"/>
          <w:color w:val="auto"/>
        </w:rPr>
        <w:t>NOW, THEREFORE, in consideration of the covenants and promises set forth herein, and for other good and valuable consideration, the receipt and sufficiency of which are hereby acknowledged, the parties hereby agree as follows:</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and each Purchaser hereby agree as follows:</w:t>
      </w:r>
    </w:p>
    <w:p>
      <w:pPr>
        <w:spacing w:after="0" w:line="192" w:lineRule="exact"/>
        <w:rPr>
          <w:sz w:val="20"/>
          <w:szCs w:val="20"/>
          <w:color w:val="auto"/>
        </w:rPr>
      </w:pPr>
    </w:p>
    <w:p>
      <w:pPr>
        <w:ind w:left="560" w:hanging="284"/>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Capitalized terms used and not otherwise defined herein that are defined in the Purchase Agreement shall have the meanings given such terms in the Purchase Agreement.</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used in this Agreement, the following terms shall have the following meanings:</w:t>
      </w:r>
    </w:p>
    <w:p>
      <w:pPr>
        <w:spacing w:after="0" w:line="1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Advice</w:t>
      </w:r>
      <w:r>
        <w:rPr>
          <w:rFonts w:ascii="Times New Roman" w:cs="Times New Roman" w:eastAsia="Times New Roman" w:hAnsi="Times New Roman"/>
          <w:sz w:val="16"/>
          <w:szCs w:val="16"/>
          <w:color w:val="auto"/>
        </w:rPr>
        <w:t>” shall have the meaning set forth in Section 6(c).</w:t>
      </w:r>
    </w:p>
    <w:p>
      <w:pPr>
        <w:spacing w:after="0" w:line="192" w:lineRule="exact"/>
        <w:rPr>
          <w:sz w:val="20"/>
          <w:szCs w:val="20"/>
          <w:color w:val="auto"/>
        </w:rPr>
      </w:pPr>
    </w:p>
    <w:p>
      <w:pPr>
        <w:jc w:val="both"/>
        <w:ind w:left="560" w:right="20"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means Disc Medicine Opco, Inc. (f/k/a Disc Medicine, Inc.) for all periods prior to closing of the Merger and TopCo for all periods after completion of the Merger.</w:t>
      </w:r>
    </w:p>
    <w:p>
      <w:pPr>
        <w:spacing w:after="0" w:line="142" w:lineRule="exact"/>
        <w:rPr>
          <w:sz w:val="20"/>
          <w:szCs w:val="20"/>
          <w:color w:val="auto"/>
        </w:rPr>
      </w:pPr>
    </w:p>
    <w:p>
      <w:pPr>
        <w:jc w:val="both"/>
        <w:ind w:left="560" w:firstLine="564"/>
        <w:spacing w:after="0" w:line="1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Date</w:t>
      </w:r>
      <w:r>
        <w:rPr>
          <w:rFonts w:ascii="Times New Roman" w:cs="Times New Roman" w:eastAsia="Times New Roman" w:hAnsi="Times New Roman"/>
          <w:sz w:val="16"/>
          <w:szCs w:val="16"/>
          <w:color w:val="auto"/>
        </w:rPr>
        <w:t>” means, with respect to the Initial Registration Statement required to be filed hereunder,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 (or, in the event of a “full review” by the Commission,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 and with respect to any additional Registration Statements that may be required pursuant to Sections 2(b) and 2(c) or Section 3(c),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on which an additional Registration Statement is required to be filed hereunder (or, in the event of a “full review” by the Commission,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the Company is notified by the Commission (orally or in writing)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5010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62" w:right="319" w:bottom="1440" w:gutter="0" w:footer="0" w:header="0"/>
        </w:sectPr>
      </w:pPr>
    </w:p>
    <w:bookmarkStart w:id="20" w:name="page21"/>
    <w:bookmarkEnd w:id="20"/>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shall have the meaning set forth in Section 2(a).</w:t>
      </w:r>
    </w:p>
    <w:p>
      <w:pPr>
        <w:spacing w:after="0" w:line="184" w:lineRule="exact"/>
        <w:rPr>
          <w:sz w:val="20"/>
          <w:szCs w:val="20"/>
          <w:color w:val="auto"/>
        </w:rPr>
      </w:pPr>
    </w:p>
    <w:p>
      <w:pPr>
        <w:jc w:val="both"/>
        <w:ind w:right="20" w:firstLine="564"/>
        <w:spacing w:after="0" w:line="21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Filing Date</w:t>
      </w:r>
      <w:r>
        <w:rPr>
          <w:rFonts w:ascii="Times New Roman" w:cs="Times New Roman" w:eastAsia="Times New Roman" w:hAnsi="Times New Roman"/>
          <w:sz w:val="16"/>
          <w:szCs w:val="16"/>
          <w:color w:val="auto"/>
        </w:rPr>
        <w:t>” means, with respect to the Initial Registration Statement required hereunder,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 and, with respect to any additional Registration Statements that may be required pursuant to Sections 2(b) and 2(c) or Section 3(c), the earliest practical date on which the Company is permitted by SEC Guidance to file such additional Registration Statement related to the Registrable Securities.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Holders</w:t>
      </w:r>
      <w:r>
        <w:rPr>
          <w:rFonts w:ascii="Times New Roman" w:cs="Times New Roman" w:eastAsia="Times New Roman" w:hAnsi="Times New Roman"/>
          <w:sz w:val="16"/>
          <w:szCs w:val="16"/>
          <w:color w:val="auto"/>
        </w:rPr>
        <w:t>” means the holder or holders, as the case may be, from time to time of Registrable Securities.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shall have the meaning set forth in Section 5(c).</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shall have the meaning set forth in Section 5(c).</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Registration Statement</w:t>
      </w:r>
      <w:r>
        <w:rPr>
          <w:rFonts w:ascii="Times New Roman" w:cs="Times New Roman" w:eastAsia="Times New Roman" w:hAnsi="Times New Roman"/>
          <w:sz w:val="16"/>
          <w:szCs w:val="16"/>
          <w:color w:val="auto"/>
        </w:rPr>
        <w:t>” means the initial Registration Statement filed pursuant to this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shall have the meaning set forth in Section 5(a).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 of Distribution</w:t>
      </w:r>
      <w:r>
        <w:rPr>
          <w:rFonts w:ascii="Times New Roman" w:cs="Times New Roman" w:eastAsia="Times New Roman" w:hAnsi="Times New Roman"/>
          <w:sz w:val="16"/>
          <w:szCs w:val="16"/>
          <w:color w:val="auto"/>
        </w:rPr>
        <w:t>” shall have the meaning set forth in Section 2(a).</w:t>
      </w:r>
    </w:p>
    <w:p>
      <w:pPr>
        <w:spacing w:after="0" w:line="192" w:lineRule="exact"/>
        <w:rPr>
          <w:sz w:val="20"/>
          <w:szCs w:val="20"/>
          <w:color w:val="auto"/>
        </w:rPr>
      </w:pPr>
    </w:p>
    <w:p>
      <w:pPr>
        <w:jc w:val="both"/>
        <w:ind w:firstLine="56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65" w:lineRule="exact"/>
        <w:rPr>
          <w:sz w:val="20"/>
          <w:szCs w:val="20"/>
          <w:color w:val="auto"/>
        </w:rPr>
      </w:pPr>
    </w:p>
    <w:p>
      <w:pPr>
        <w:jc w:val="both"/>
        <w:ind w:firstLine="56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as of any date of determination, (a) all shares of Gem common stock issued to the Purchasers at the closing of the Merger in respect of the Purchased Shares (the “</w:t>
      </w:r>
      <w:r>
        <w:rPr>
          <w:rFonts w:ascii="Times New Roman" w:cs="Times New Roman" w:eastAsia="Times New Roman" w:hAnsi="Times New Roman"/>
          <w:sz w:val="16"/>
          <w:szCs w:val="16"/>
          <w:u w:val="single" w:color="auto"/>
          <w:color w:val="auto"/>
        </w:rPr>
        <w:t>Purchase Agreement Shares</w:t>
      </w:r>
      <w:r>
        <w:rPr>
          <w:rFonts w:ascii="Times New Roman" w:cs="Times New Roman" w:eastAsia="Times New Roman" w:hAnsi="Times New Roman"/>
          <w:sz w:val="16"/>
          <w:szCs w:val="16"/>
          <w:color w:val="auto"/>
        </w:rPr>
        <w:t xml:space="preserve">”), (b) all shares of Gem issued at the closing of the Merger to the Purchasers in respect of all other shares of capital stock of the Company held by Purchaser as of immediately prior to the Effective Time (as defined in the Merger Agreement), and (c) all shares of Gem held by Purchaser as of immediately prior to the Effective Time, (d) any securities issued or then issuable upon any stock split, dividend or other distribution, recapitalization or similar event with respect to the foregoing;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any such Registrable Securities shall cease to be Registrable Securities (and the Company shall not be required to maintain the effectiveness of any, or file another, Registration Statement hereunder with respect thereto) upon the earliest to occur of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Company to be in compliance with the current public information requirement under Rule 144, as determined by counsel to the Company pursuant to a written opinion letter to such effect, addressed, delivered and acceptable to the Company’s transfer agent and the affected Holders, and (iv) five years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215265</wp:posOffset>
            </wp:positionV>
            <wp:extent cx="715010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23" w:right="319" w:bottom="1440" w:gutter="0" w:footer="0" w:header="0"/>
        </w:sectPr>
      </w:pPr>
    </w:p>
    <w:bookmarkStart w:id="21" w:name="page22"/>
    <w:bookmarkEnd w:id="21"/>
    <w:p>
      <w:pPr>
        <w:jc w:val="both"/>
        <w:ind w:left="284" w:right="20" w:firstLine="56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64" w:lineRule="exact"/>
        <w:rPr>
          <w:sz w:val="20"/>
          <w:szCs w:val="20"/>
          <w:color w:val="auto"/>
        </w:rPr>
      </w:pPr>
    </w:p>
    <w:p>
      <w:pPr>
        <w:jc w:val="both"/>
        <w:ind w:left="284" w:right="20"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415</w:t>
      </w:r>
      <w:r>
        <w:rPr>
          <w:rFonts w:ascii="Times New Roman" w:cs="Times New Roman" w:eastAsia="Times New Roman" w:hAnsi="Times New Roman"/>
          <w:sz w:val="16"/>
          <w:szCs w:val="16"/>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0" w:lineRule="exact"/>
        <w:rPr>
          <w:sz w:val="20"/>
          <w:szCs w:val="20"/>
          <w:color w:val="auto"/>
        </w:rPr>
      </w:pPr>
    </w:p>
    <w:p>
      <w:pPr>
        <w:jc w:val="both"/>
        <w:ind w:left="284" w:right="20"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424</w:t>
      </w:r>
      <w:r>
        <w:rPr>
          <w:rFonts w:ascii="Times New Roman" w:cs="Times New Roman" w:eastAsia="Times New Roman" w:hAnsi="Times New Roman"/>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0" w:lineRule="exact"/>
        <w:rPr>
          <w:sz w:val="20"/>
          <w:szCs w:val="20"/>
          <w:color w:val="auto"/>
        </w:rPr>
      </w:pPr>
    </w:p>
    <w:p>
      <w:pPr>
        <w:jc w:val="both"/>
        <w:ind w:left="284"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Guidance</w:t>
      </w:r>
      <w:r>
        <w:rPr>
          <w:rFonts w:ascii="Times New Roman" w:cs="Times New Roman" w:eastAsia="Times New Roman" w:hAnsi="Times New Roman"/>
          <w:sz w:val="16"/>
          <w:szCs w:val="16"/>
          <w:color w:val="auto"/>
        </w:rPr>
        <w:t>” means (i) any publicly-available written or oral guidance of the Commission staff, or any comments, requirements or requests of the Commission staff; provided, that any such oral guidance, comments, requirements or requests are reduced to writing by the Commission and (ii) the Securities Act.</w:t>
      </w:r>
    </w:p>
    <w:p>
      <w:pPr>
        <w:spacing w:after="0" w:line="150" w:lineRule="exact"/>
        <w:rPr>
          <w:sz w:val="20"/>
          <w:szCs w:val="20"/>
          <w:color w:val="auto"/>
        </w:rPr>
      </w:pPr>
    </w:p>
    <w:p>
      <w:pPr>
        <w:ind w:left="84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Selling Stockholder Questionnaire</w:t>
      </w:r>
      <w:r>
        <w:rPr>
          <w:rFonts w:ascii="Times New Roman" w:cs="Times New Roman" w:eastAsia="Times New Roman" w:hAnsi="Times New Roman"/>
          <w:sz w:val="16"/>
          <w:szCs w:val="16"/>
          <w:color w:val="auto"/>
        </w:rPr>
        <w:t>” shall have the meaning set forth in Section 3(a).</w:t>
      </w:r>
    </w:p>
    <w:p>
      <w:pPr>
        <w:spacing w:after="0" w:line="192" w:lineRule="exact"/>
        <w:rPr>
          <w:sz w:val="20"/>
          <w:szCs w:val="20"/>
          <w:color w:val="auto"/>
        </w:rPr>
      </w:pPr>
    </w:p>
    <w:p>
      <w:pPr>
        <w:ind w:left="84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any day on which the Gem Common Stock is traded on a National Exchange.</w:t>
      </w:r>
    </w:p>
    <w:p>
      <w:pPr>
        <w:spacing w:after="0" w:line="192" w:lineRule="exact"/>
        <w:rPr>
          <w:sz w:val="20"/>
          <w:szCs w:val="20"/>
          <w:color w:val="auto"/>
        </w:rPr>
      </w:pPr>
    </w:p>
    <w:p>
      <w:pPr>
        <w:ind w:left="284" w:hanging="284"/>
        <w:spacing w:after="0"/>
        <w:tabs>
          <w:tab w:leader="none" w:pos="28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w:t>
      </w:r>
    </w:p>
    <w:p>
      <w:pPr>
        <w:spacing w:after="0" w:line="191" w:lineRule="exact"/>
        <w:rPr>
          <w:rFonts w:ascii="Times New Roman" w:cs="Times New Roman" w:eastAsia="Times New Roman" w:hAnsi="Times New Roman"/>
          <w:sz w:val="16"/>
          <w:szCs w:val="16"/>
          <w:color w:val="auto"/>
        </w:rPr>
      </w:pPr>
    </w:p>
    <w:p>
      <w:pPr>
        <w:jc w:val="both"/>
        <w:ind w:left="284" w:firstLine="561"/>
        <w:spacing w:after="0" w:line="246" w:lineRule="auto"/>
        <w:tabs>
          <w:tab w:leader="none" w:pos="1072"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each Filing Date, the Company shall (or shall cause TopCo to)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85% in interest of the Holders) disclosure substantially in the form of the “</w:t>
      </w:r>
      <w:r>
        <w:rPr>
          <w:rFonts w:ascii="Times New Roman" w:cs="Times New Roman" w:eastAsia="Times New Roman" w:hAnsi="Times New Roman"/>
          <w:sz w:val="16"/>
          <w:szCs w:val="16"/>
          <w:u w:val="single" w:color="auto"/>
          <w:color w:val="auto"/>
        </w:rPr>
        <w:t>Plan of Distribution</w:t>
      </w:r>
      <w:r>
        <w:rPr>
          <w:rFonts w:ascii="Times New Roman" w:cs="Times New Roman" w:eastAsia="Times New Roman" w:hAnsi="Times New Roman"/>
          <w:sz w:val="16"/>
          <w:szCs w:val="16"/>
          <w:color w:val="auto"/>
        </w:rPr>
        <w:t xml:space="preserve">”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and substantially in the form of the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xml:space="preserve">” section attached hereto as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Company’s transfer agent and the affected Holders and (b) five years after the date of this Agreement (the “</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The Company shall telephonically request effectiveness of a Registration Statement as of 5:00 p.m. (New York City time) on a Trading 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219075</wp:posOffset>
            </wp:positionV>
            <wp:extent cx="715010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84"/>
          </w:cols>
          <w:pgMar w:left="596" w:top="123" w:right="319" w:bottom="1440" w:gutter="0" w:footer="0" w:header="0"/>
        </w:sectPr>
      </w:pPr>
    </w:p>
    <w:bookmarkStart w:id="22" w:name="page23"/>
    <w:bookmarkEnd w:id="22"/>
    <w:p>
      <w:pPr>
        <w:jc w:val="both"/>
        <w:ind w:firstLine="561"/>
        <w:spacing w:after="0" w:line="249" w:lineRule="auto"/>
        <w:tabs>
          <w:tab w:leader="none" w:pos="787"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with respect to filing on Form S-3 or other appropriate form;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prior to filing such amendment, the Company shall be obligated to use commercially reasonable efforts to advocate with the Commission for the registration of all of the Registrable Securities in accordance with the SEC Guidance, including without limitation, Compliance and Disclosure Interpretation 612.09.</w:t>
      </w:r>
    </w:p>
    <w:p>
      <w:pPr>
        <w:spacing w:after="0" w:line="166" w:lineRule="exact"/>
        <w:rPr>
          <w:rFonts w:ascii="Times New Roman" w:cs="Times New Roman" w:eastAsia="Times New Roman" w:hAnsi="Times New Roman"/>
          <w:sz w:val="16"/>
          <w:szCs w:val="16"/>
          <w:color w:val="auto"/>
        </w:rPr>
      </w:pPr>
    </w:p>
    <w:p>
      <w:pPr>
        <w:jc w:val="both"/>
        <w:ind w:firstLine="561"/>
        <w:spacing w:after="0" w:line="253" w:lineRule="auto"/>
        <w:tabs>
          <w:tab w:leader="none" w:pos="80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reasonable efforts to advocate with the Commission for the registration of all or a greater portion of Registrable Securities), unless otherwise directed in writing by a Holder as to its Registrable Securities, the total number of Registrable Securities to be registered on such Registration Statement will be reduced as follows:</w:t>
      </w:r>
    </w:p>
    <w:p>
      <w:pPr>
        <w:spacing w:after="0" w:line="163"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the Company shall reduce or eliminate any securities to be included other than Registrable Securities;</w:t>
      </w:r>
    </w:p>
    <w:p>
      <w:pPr>
        <w:spacing w:after="0" w:line="19" w:lineRule="exact"/>
        <w:rPr>
          <w:rFonts w:ascii="Times New Roman" w:cs="Times New Roman" w:eastAsia="Times New Roman" w:hAnsi="Times New Roman"/>
          <w:sz w:val="16"/>
          <w:szCs w:val="16"/>
          <w:color w:val="auto"/>
        </w:rPr>
      </w:pPr>
    </w:p>
    <w:p>
      <w:pPr>
        <w:ind w:left="560" w:right="20" w:hanging="281"/>
        <w:spacing w:after="0" w:line="245"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the Company shall reduce Registrable Securities represented by Shares other than the Purchase Agreement Shares (applied, in the case that some of such Shares may be registered, to the Holders on a pro rata basis based on the total number of such unregistered Shares held by such Holders); and</w:t>
      </w:r>
    </w:p>
    <w:p>
      <w:pPr>
        <w:ind w:left="560" w:right="420" w:hanging="281"/>
        <w:spacing w:after="0" w:line="282" w:lineRule="auto"/>
        <w:tabs>
          <w:tab w:leader="none" w:pos="5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the Company shall reduce Registrable Securities represented by the Purchase Agreement Shares (applied, in the case that some Purchase Agreement Shares may be registered, to the Holders on a pro rata basis based on the total number of unregistered Purchase Agreement Shares held by such Holders)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212090</wp:posOffset>
            </wp:positionV>
            <wp:extent cx="715010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23" w:right="319" w:bottom="1440" w:gutter="0" w:footer="0" w:header="0"/>
        </w:sectPr>
      </w:pPr>
    </w:p>
    <w:bookmarkStart w:id="23" w:name="page24"/>
    <w:bookmarkEnd w:id="23"/>
    <w:p>
      <w:pPr>
        <w:jc w:val="both"/>
        <w:ind w:left="284" w:right="20" w:firstLine="561"/>
        <w:spacing w:after="0" w:line="253" w:lineRule="auto"/>
        <w:tabs>
          <w:tab w:leader="none" w:pos="1077"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63" w:lineRule="exact"/>
        <w:rPr>
          <w:rFonts w:ascii="Times New Roman" w:cs="Times New Roman" w:eastAsia="Times New Roman" w:hAnsi="Times New Roman"/>
          <w:sz w:val="16"/>
          <w:szCs w:val="16"/>
          <w:color w:val="auto"/>
        </w:rPr>
      </w:pPr>
    </w:p>
    <w:p>
      <w:pPr>
        <w:ind w:left="284" w:right="20" w:firstLine="561"/>
        <w:spacing w:after="0" w:line="270" w:lineRule="auto"/>
        <w:tabs>
          <w:tab w:leader="none" w:pos="1075"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in no event shall the Company be permitted to name any Holder or affiliate of a Holder as an underwriter in any Registration Statement without the prior written consent of such Holder.</w:t>
      </w:r>
    </w:p>
    <w:p>
      <w:pPr>
        <w:spacing w:after="0" w:line="149"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Procedures</w:t>
      </w:r>
      <w:r>
        <w:rPr>
          <w:rFonts w:ascii="Times New Roman" w:cs="Times New Roman" w:eastAsia="Times New Roman" w:hAnsi="Times New Roman"/>
          <w:sz w:val="16"/>
          <w:szCs w:val="16"/>
          <w:color w:val="auto"/>
        </w:rPr>
        <w:t>.</w:t>
      </w:r>
    </w:p>
    <w:p>
      <w:pPr>
        <w:spacing w:after="0" w:line="191" w:lineRule="exact"/>
        <w:rPr>
          <w:rFonts w:ascii="Times New Roman" w:cs="Times New Roman" w:eastAsia="Times New Roman" w:hAnsi="Times New Roman"/>
          <w:sz w:val="16"/>
          <w:szCs w:val="16"/>
          <w:color w:val="auto"/>
        </w:rPr>
      </w:pPr>
    </w:p>
    <w:p>
      <w:pPr>
        <w:ind w:left="2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Company’s registration obligations hereunder, the Company shall:</w:t>
      </w:r>
    </w:p>
    <w:p>
      <w:pPr>
        <w:spacing w:after="0" w:line="191" w:lineRule="exact"/>
        <w:rPr>
          <w:rFonts w:ascii="Times New Roman" w:cs="Times New Roman" w:eastAsia="Times New Roman" w:hAnsi="Times New Roman"/>
          <w:sz w:val="16"/>
          <w:szCs w:val="16"/>
          <w:color w:val="auto"/>
        </w:rPr>
      </w:pPr>
    </w:p>
    <w:p>
      <w:pPr>
        <w:jc w:val="both"/>
        <w:ind w:left="284" w:firstLine="561"/>
        <w:spacing w:after="0" w:line="250" w:lineRule="auto"/>
        <w:tabs>
          <w:tab w:leader="none" w:pos="1067" w:val="left"/>
        </w:tabs>
        <w:numPr>
          <w:ilvl w:val="2"/>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Required Holders (as defined below)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5"/>
          <w:szCs w:val="15"/>
          <w:u w:val="single" w:color="auto"/>
          <w:color w:val="auto"/>
        </w:rPr>
        <w:t>Annex C</w:t>
      </w:r>
      <w:r>
        <w:rPr>
          <w:rFonts w:ascii="Times New Roman" w:cs="Times New Roman" w:eastAsia="Times New Roman" w:hAnsi="Times New Roman"/>
          <w:sz w:val="15"/>
          <w:szCs w:val="15"/>
          <w:color w:val="auto"/>
        </w:rPr>
        <w:t xml:space="preserve"> (a “</w:t>
      </w:r>
      <w:r>
        <w:rPr>
          <w:rFonts w:ascii="Times New Roman" w:cs="Times New Roman" w:eastAsia="Times New Roman" w:hAnsi="Times New Roman"/>
          <w:sz w:val="15"/>
          <w:szCs w:val="15"/>
          <w:u w:val="single" w:color="auto"/>
          <w:color w:val="auto"/>
        </w:rPr>
        <w:t>Selling Stockholder Questionnaire</w:t>
      </w:r>
      <w:r>
        <w:rPr>
          <w:rFonts w:ascii="Times New Roman" w:cs="Times New Roman" w:eastAsia="Times New Roman" w:hAnsi="Times New Roman"/>
          <w:sz w:val="15"/>
          <w:szCs w:val="15"/>
          <w:color w:val="auto"/>
        </w:rPr>
        <w:t>”) on a date that is not less than two (2) Trading Days prior to the Filing Date or by the end of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Trading Day following the date on which such Holder receives draft materials in accordance with this Section. The Company shall not be required to include any Registrable Securities in the Registration Statement for any Holder that has not provided such Selling Stockholder Questionnaire.</w:t>
      </w:r>
    </w:p>
    <w:p>
      <w:pPr>
        <w:spacing w:after="0" w:line="166" w:lineRule="exact"/>
        <w:rPr>
          <w:rFonts w:ascii="Times New Roman" w:cs="Times New Roman" w:eastAsia="Times New Roman" w:hAnsi="Times New Roman"/>
          <w:sz w:val="15"/>
          <w:szCs w:val="15"/>
          <w:color w:val="auto"/>
        </w:rPr>
      </w:pPr>
    </w:p>
    <w:p>
      <w:pPr>
        <w:jc w:val="both"/>
        <w:ind w:left="284" w:right="20" w:firstLine="561"/>
        <w:spacing w:after="0" w:line="268" w:lineRule="auto"/>
        <w:tabs>
          <w:tab w:leader="none" w:pos="1085" w:val="left"/>
        </w:tabs>
        <w:numPr>
          <w:ilvl w:val="2"/>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w:t>
      </w:r>
    </w:p>
    <w:p>
      <w:pPr>
        <w:spacing w:after="0" w:line="1" w:lineRule="exact"/>
        <w:rPr>
          <w:rFonts w:ascii="Times New Roman" w:cs="Times New Roman" w:eastAsia="Times New Roman" w:hAnsi="Times New Roman"/>
          <w:sz w:val="15"/>
          <w:szCs w:val="15"/>
          <w:color w:val="auto"/>
        </w:rPr>
      </w:pPr>
    </w:p>
    <w:p>
      <w:pPr>
        <w:jc w:val="both"/>
        <w:ind w:left="284" w:hanging="2"/>
        <w:spacing w:after="0" w:line="245" w:lineRule="auto"/>
        <w:tabs>
          <w:tab w:leader="none" w:pos="51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that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217170</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84"/>
          </w:cols>
          <w:pgMar w:left="596" w:top="123" w:right="319" w:bottom="1440" w:gutter="0" w:footer="0" w:header="0"/>
        </w:sectPr>
      </w:pPr>
    </w:p>
    <w:bookmarkStart w:id="24" w:name="page25"/>
    <w:bookmarkEnd w:id="24"/>
    <w:p>
      <w:pPr>
        <w:jc w:val="both"/>
        <w:ind w:left="-560" w:firstLine="561"/>
        <w:spacing w:after="0" w:line="257" w:lineRule="auto"/>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Effectiveness Period, the number of Registrable Securities at any time exceeds 100% of the number of shares of Common Stock then registered in a Registration Statement, then the Company shall, subject to Sections 2(b) and 2(c), if applicable, file as soon as reasonably practicable, but in any case prior to the applicable Filing Date, an additional Registration Statement covering the resale by the Holders of not less than the number of such Registrable Securities.</w:t>
      </w:r>
    </w:p>
    <w:p>
      <w:pPr>
        <w:spacing w:after="0" w:line="160" w:lineRule="exact"/>
        <w:rPr>
          <w:rFonts w:ascii="Times New Roman" w:cs="Times New Roman" w:eastAsia="Times New Roman" w:hAnsi="Times New Roman"/>
          <w:sz w:val="16"/>
          <w:szCs w:val="16"/>
          <w:color w:val="auto"/>
        </w:rPr>
      </w:pPr>
    </w:p>
    <w:p>
      <w:pPr>
        <w:jc w:val="both"/>
        <w:ind w:left="-560" w:firstLine="561"/>
        <w:spacing w:after="0" w:line="246" w:lineRule="auto"/>
        <w:tabs>
          <w:tab w:leader="none" w:pos="2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action, suit, proceeding, inquiry or investigation before or brought by any Governmental Entity (a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any such notice contain any information that would constitute material, non-public information regarding the Company or any of its subsidiaries.</w:t>
      </w:r>
    </w:p>
    <w:p>
      <w:pPr>
        <w:spacing w:after="0" w:line="174" w:lineRule="exact"/>
        <w:rPr>
          <w:rFonts w:ascii="Times New Roman" w:cs="Times New Roman" w:eastAsia="Times New Roman" w:hAnsi="Times New Roman"/>
          <w:sz w:val="16"/>
          <w:szCs w:val="16"/>
          <w:color w:val="auto"/>
        </w:rPr>
      </w:pPr>
    </w:p>
    <w:p>
      <w:pPr>
        <w:jc w:val="both"/>
        <w:ind w:left="-560" w:firstLine="561"/>
        <w:spacing w:after="0" w:line="257" w:lineRule="auto"/>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209550</wp:posOffset>
            </wp:positionV>
            <wp:extent cx="715010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5" w:name="page26"/>
    <w:bookmarkEnd w:id="25"/>
    <w:p>
      <w:pPr>
        <w:jc w:val="both"/>
        <w:ind w:left="-560" w:firstLine="561"/>
        <w:spacing w:after="0" w:line="253" w:lineRule="auto"/>
        <w:tabs>
          <w:tab w:leader="none" w:pos="21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a Holder,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that is available on the EDGAR system (or successor thereto) need not be furnished in physical form.</w:t>
      </w:r>
    </w:p>
    <w:p>
      <w:pPr>
        <w:spacing w:after="0" w:line="163" w:lineRule="exact"/>
        <w:rPr>
          <w:rFonts w:ascii="Times New Roman" w:cs="Times New Roman" w:eastAsia="Times New Roman" w:hAnsi="Times New Roman"/>
          <w:sz w:val="16"/>
          <w:szCs w:val="16"/>
          <w:color w:val="auto"/>
        </w:rPr>
      </w:pPr>
    </w:p>
    <w:p>
      <w:pPr>
        <w:jc w:val="both"/>
        <w:ind w:left="-560" w:right="20" w:firstLine="561"/>
        <w:spacing w:after="0" w:line="257" w:lineRule="auto"/>
        <w:tabs>
          <w:tab w:leader="none" w:pos="23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60" w:lineRule="exact"/>
        <w:rPr>
          <w:rFonts w:ascii="Times New Roman" w:cs="Times New Roman" w:eastAsia="Times New Roman" w:hAnsi="Times New Roman"/>
          <w:sz w:val="16"/>
          <w:szCs w:val="16"/>
          <w:color w:val="auto"/>
        </w:rPr>
      </w:pPr>
    </w:p>
    <w:p>
      <w:pPr>
        <w:jc w:val="both"/>
        <w:ind w:left="-560" w:firstLine="561"/>
        <w:spacing w:after="0" w:line="249" w:lineRule="auto"/>
        <w:tabs>
          <w:tab w:leader="none" w:pos="2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66" w:lineRule="exact"/>
        <w:rPr>
          <w:rFonts w:ascii="Times New Roman" w:cs="Times New Roman" w:eastAsia="Times New Roman" w:hAnsi="Times New Roman"/>
          <w:sz w:val="16"/>
          <w:szCs w:val="16"/>
          <w:color w:val="auto"/>
        </w:rPr>
      </w:pPr>
    </w:p>
    <w:p>
      <w:pPr>
        <w:jc w:val="both"/>
        <w:ind w:left="-560" w:firstLine="561"/>
        <w:spacing w:after="0" w:line="251" w:lineRule="auto"/>
        <w:tabs>
          <w:tab w:leader="none" w:pos="2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reasonably request; provided that Holder furnishes to Company a completed Holder Representation Letter in substantially the form attached hereto as </w:t>
      </w:r>
      <w:r>
        <w:rPr>
          <w:rFonts w:ascii="Times New Roman" w:cs="Times New Roman" w:eastAsia="Times New Roman" w:hAnsi="Times New Roman"/>
          <w:sz w:val="16"/>
          <w:szCs w:val="16"/>
          <w:u w:val="single" w:color="auto"/>
          <w:color w:val="auto"/>
        </w:rPr>
        <w:t>Annex D</w:t>
      </w:r>
      <w:r>
        <w:rPr>
          <w:rFonts w:ascii="Times New Roman" w:cs="Times New Roman" w:eastAsia="Times New Roman" w:hAnsi="Times New Roman"/>
          <w:sz w:val="16"/>
          <w:szCs w:val="16"/>
          <w:color w:val="auto"/>
        </w:rPr>
        <w:t xml:space="preserve"> and such other customary representations as may be required in connection therewith.</w:t>
      </w:r>
    </w:p>
    <w:p>
      <w:pPr>
        <w:spacing w:after="0" w:line="165" w:lineRule="exact"/>
        <w:rPr>
          <w:rFonts w:ascii="Times New Roman" w:cs="Times New Roman" w:eastAsia="Times New Roman" w:hAnsi="Times New Roman"/>
          <w:sz w:val="16"/>
          <w:szCs w:val="16"/>
          <w:color w:val="auto"/>
        </w:rPr>
      </w:pPr>
    </w:p>
    <w:p>
      <w:pPr>
        <w:jc w:val="both"/>
        <w:ind w:left="-560" w:firstLine="561"/>
        <w:spacing w:after="0" w:line="247" w:lineRule="auto"/>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provided that the Company shall only be entitled to exercise its right under this Section 3(j) to suspend the availability of a Registration Statement and Prospectus for a period not to exceed 60 calendar days (which need not be consecutive days) in any 12-month period. The Company will use its reasonable best efforts to ensure that the use of the Prospectus may be resumed as promptly as is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217170</wp:posOffset>
            </wp:positionV>
            <wp:extent cx="715010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6" w:name="page27"/>
    <w:bookmarkEnd w:id="26"/>
    <w:p>
      <w:pPr>
        <w:jc w:val="both"/>
        <w:ind w:left="-560" w:firstLine="561"/>
        <w:spacing w:after="0" w:line="251" w:lineRule="auto"/>
        <w:tabs>
          <w:tab w:leader="none" w:pos="24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65" w:lineRule="exact"/>
        <w:rPr>
          <w:rFonts w:ascii="Times New Roman" w:cs="Times New Roman" w:eastAsia="Times New Roman" w:hAnsi="Times New Roman"/>
          <w:sz w:val="16"/>
          <w:szCs w:val="16"/>
          <w:color w:val="auto"/>
        </w:rPr>
      </w:pPr>
    </w:p>
    <w:p>
      <w:pPr>
        <w:ind w:left="-560" w:right="20" w:firstLine="561"/>
        <w:spacing w:after="0" w:line="270" w:lineRule="auto"/>
        <w:tabs>
          <w:tab w:leader="none" w:pos="19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commercially reasonable efforts to maintain eligibility for use of Form S-3 (or any successor form thereto) for the registration of the resale of the Registrable Securities once eligible to use such form.</w:t>
      </w:r>
    </w:p>
    <w:p>
      <w:pPr>
        <w:spacing w:after="0" w:line="149" w:lineRule="exact"/>
        <w:rPr>
          <w:rFonts w:ascii="Times New Roman" w:cs="Times New Roman" w:eastAsia="Times New Roman" w:hAnsi="Times New Roman"/>
          <w:sz w:val="16"/>
          <w:szCs w:val="16"/>
          <w:color w:val="auto"/>
        </w:rPr>
      </w:pPr>
    </w:p>
    <w:p>
      <w:pPr>
        <w:ind w:left="-560" w:right="20" w:firstLine="561"/>
        <w:spacing w:after="0" w:line="270" w:lineRule="auto"/>
        <w:tabs>
          <w:tab w:leader="none" w:pos="2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49" w:lineRule="exact"/>
        <w:rPr>
          <w:rFonts w:ascii="Times New Roman" w:cs="Times New Roman" w:eastAsia="Times New Roman" w:hAnsi="Times New Roman"/>
          <w:sz w:val="16"/>
          <w:szCs w:val="16"/>
          <w:color w:val="auto"/>
        </w:rPr>
      </w:pPr>
    </w:p>
    <w:p>
      <w:pPr>
        <w:ind w:left="-560" w:firstLine="561"/>
        <w:spacing w:after="0" w:line="270" w:lineRule="auto"/>
        <w:tabs>
          <w:tab w:leader="none" w:pos="22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reasonable best efforts to cause (i) all Shares to be listed on each securities exchange or market, if any, on which the shares of Gem Common Stock have been listed.</w:t>
      </w:r>
    </w:p>
    <w:p>
      <w:pPr>
        <w:spacing w:after="0" w:line="149" w:lineRule="exact"/>
        <w:rPr>
          <w:rFonts w:ascii="Times New Roman" w:cs="Times New Roman" w:eastAsia="Times New Roman" w:hAnsi="Times New Roman"/>
          <w:sz w:val="16"/>
          <w:szCs w:val="16"/>
          <w:color w:val="auto"/>
        </w:rPr>
      </w:pPr>
    </w:p>
    <w:p>
      <w:pPr>
        <w:jc w:val="both"/>
        <w:ind w:left="-560" w:firstLine="561"/>
        <w:spacing w:after="0" w:line="246" w:lineRule="auto"/>
        <w:tabs>
          <w:tab w:leader="none" w:pos="22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its sole expense, upon appropriate notice from a Holder stating that Registrable Securities have been sold or transferred pursuant to an effective Registration Statement, timely prepare and deliver certificates or evidence of book-entry positions representing the Registrable Securities to be delivered to a transferee pursuant to such Registration Statement, which certificates or book-entry positions shall be free of any restrictive legends and in such denominations and registered in such names as the undersigned may request. Further, the Company shall use its commercially reasonable efforts, at its sole expense, to cause its legal counsel to (a) issue to the transfer agent and maintain a “blanket” legal opinion instructing the transfer agent that, in connection with a sale or transfer of “restricted securities” (i.e., securities issued pursuant to an exemption from the registration requirements of Section 5 of the Securities Act), the resale or transfer of which restricted securities has been registered pursuant to an effective Registration Statement by the holder thereof named in such Registration Statement, upon receipt of an appropriate broker representation letter and other such documentation as the Company’s counsel deems necessary and appropriate and after confirming compliance with relevant prospectus delivery requirements, is authorized to remove any applicable restrictive legend in connection with such sale or transfer and (b) if the Registrable Securities are not registered pursuant to an effective Registration Statement, issue to the transfer agent a legal opinion to facilitate the sale or transfer of the Registrable Securities and removal of any restrictive legends pursuant to any exemption from the registration requirements of Section 5 of the Securities Act that may be available to the undersigned, upon request; provided, that in the case of a request to remove such restrictive legends in connection with a sale or transfer of Registrable Securities pursuant to clause (a) or (b) above, the Company shall use its commercially reasonable efforts to cause the Company’s transfer agent to remove any such applicable restrictive legends in connection with such sale or transfer within two Business Days of such request. The Company shall be responsible for the fees of its transfer agent, its legal counsel and all DTC fees associated with any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219710</wp:posOffset>
            </wp:positionV>
            <wp:extent cx="715010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7" w:name="page28"/>
    <w:bookmarkEnd w:id="27"/>
    <w:p>
      <w:pPr>
        <w:jc w:val="both"/>
        <w:ind w:left="-276" w:firstLine="315"/>
        <w:spacing w:after="0" w:line="247" w:lineRule="auto"/>
        <w:tabs>
          <w:tab w:leader="none" w:pos="20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National Exchange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the reasonable fees and expenses, not to exceed $35,000, of one counsel for the selling Holders selected by the Holders of a majority of the Registrable Securities to be registered.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Purchase Agreement or this Agreement, any legal fees or other costs of the Holders.</w:t>
      </w:r>
    </w:p>
    <w:p>
      <w:pPr>
        <w:spacing w:after="0" w:line="16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91" w:lineRule="exact"/>
        <w:rPr>
          <w:rFonts w:ascii="Times New Roman" w:cs="Times New Roman" w:eastAsia="Times New Roman" w:hAnsi="Times New Roman"/>
          <w:sz w:val="16"/>
          <w:szCs w:val="16"/>
          <w:color w:val="auto"/>
        </w:rPr>
      </w:pPr>
    </w:p>
    <w:p>
      <w:pPr>
        <w:jc w:val="both"/>
        <w:ind w:left="284" w:firstLine="561"/>
        <w:spacing w:after="0" w:line="263" w:lineRule="auto"/>
        <w:tabs>
          <w:tab w:leader="none" w:pos="1060" w:val="left"/>
        </w:tabs>
        <w:numPr>
          <w:ilvl w:val="2"/>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by the Company</w:t>
      </w:r>
      <w:r>
        <w:rPr>
          <w:rFonts w:ascii="Times New Roman" w:cs="Times New Roman" w:eastAsia="Times New Roman" w:hAnsi="Times New Roman"/>
          <w:sz w:val="15"/>
          <w:szCs w:val="15"/>
          <w:color w:val="auto"/>
        </w:rPr>
        <w:t>. The Company shall, notwithstanding any termination of this Agreement, indemnify and hold harmless each Holder and its affiliates,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5"/>
          <w:szCs w:val="15"/>
          <w:u w:val="single" w:color="auto"/>
          <w:color w:val="auto"/>
        </w:rPr>
        <w:t>Losses</w:t>
      </w:r>
      <w:r>
        <w:rPr>
          <w:rFonts w:ascii="Times New Roman" w:cs="Times New Roman" w:eastAsia="Times New Roman" w:hAnsi="Times New Roman"/>
          <w:sz w:val="15"/>
          <w:szCs w:val="15"/>
          <w:color w:val="auto"/>
        </w:rPr>
        <w:t>”), as incurred, arising out of or based solely upon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211455</wp:posOffset>
            </wp:positionV>
            <wp:extent cx="715010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84"/>
          </w:cols>
          <w:pgMar w:left="596" w:top="123" w:right="319" w:bottom="1440" w:gutter="0" w:footer="0" w:header="0"/>
        </w:sectPr>
      </w:pPr>
    </w:p>
    <w:bookmarkStart w:id="28" w:name="page29"/>
    <w:bookmarkEnd w:id="28"/>
    <w:p>
      <w:pPr>
        <w:jc w:val="both"/>
        <w:ind w:firstLine="561"/>
        <w:spacing w:after="0" w:line="264" w:lineRule="auto"/>
        <w:tabs>
          <w:tab w:leader="none" w:pos="80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by Holders</w:t>
      </w:r>
      <w:r>
        <w:rPr>
          <w:rFonts w:ascii="Times New Roman" w:cs="Times New Roman" w:eastAsia="Times New Roman" w:hAnsi="Times New Roman"/>
          <w:sz w:val="15"/>
          <w:szCs w:val="15"/>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to the extent, but only to the extent, that such untrue statement or omission is contained in any information so furnished in writing by such Holder to the Company expressly for inclusion in such Registration Statement or such Prospectus, including information provided in the Selling Stockholder Questionnaire or regarding the proposed method of distribution of Registrable Securities that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63" w:lineRule="exact"/>
        <w:rPr>
          <w:rFonts w:ascii="Times New Roman" w:cs="Times New Roman" w:eastAsia="Times New Roman" w:hAnsi="Times New Roman"/>
          <w:sz w:val="15"/>
          <w:szCs w:val="15"/>
          <w:color w:val="auto"/>
        </w:rPr>
      </w:pPr>
    </w:p>
    <w:p>
      <w:pPr>
        <w:jc w:val="both"/>
        <w:ind w:firstLine="561"/>
        <w:spacing w:after="0" w:line="270" w:lineRule="auto"/>
        <w:tabs>
          <w:tab w:leader="none" w:pos="77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Conduct of Indemnification Proceedings</w:t>
      </w:r>
      <w:r>
        <w:rPr>
          <w:rFonts w:ascii="Times New Roman" w:cs="Times New Roman" w:eastAsia="Times New Roman" w:hAnsi="Times New Roman"/>
          <w:sz w:val="15"/>
          <w:szCs w:val="15"/>
          <w:color w:val="auto"/>
        </w:rPr>
        <w:t>. If any Proceeding shall be brought or asserted against any Person entitled to indemnity hereunder (an “</w:t>
      </w:r>
      <w:r>
        <w:rPr>
          <w:rFonts w:ascii="Times New Roman" w:cs="Times New Roman" w:eastAsia="Times New Roman" w:hAnsi="Times New Roman"/>
          <w:sz w:val="15"/>
          <w:szCs w:val="15"/>
          <w:u w:val="single" w:color="auto"/>
          <w:color w:val="auto"/>
        </w:rPr>
        <w:t>Indemnified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such Indemnified Party shall promptly notify the Person from whom indemnity is sought (the “</w:t>
      </w:r>
      <w:r>
        <w:rPr>
          <w:rFonts w:ascii="Times New Roman" w:cs="Times New Roman" w:eastAsia="Times New Roman" w:hAnsi="Times New Roman"/>
          <w:sz w:val="15"/>
          <w:szCs w:val="15"/>
          <w:u w:val="single" w:color="auto"/>
          <w:color w:val="auto"/>
        </w:rPr>
        <w:t>Indemnifying Party</w:t>
      </w:r>
      <w:r>
        <w:rPr>
          <w:rFonts w:ascii="Times New Roman" w:cs="Times New Roman" w:eastAsia="Times New Roman" w:hAnsi="Times New Roman"/>
          <w:sz w:val="15"/>
          <w:szCs w:val="15"/>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51" w:lineRule="exact"/>
        <w:rPr>
          <w:sz w:val="20"/>
          <w:szCs w:val="20"/>
          <w:color w:val="auto"/>
        </w:rPr>
      </w:pPr>
    </w:p>
    <w:p>
      <w:pPr>
        <w:jc w:val="both"/>
        <w:ind w:firstLine="564"/>
        <w:spacing w:after="0" w:line="247" w:lineRule="auto"/>
        <w:rPr>
          <w:sz w:val="20"/>
          <w:szCs w:val="20"/>
          <w:color w:val="auto"/>
        </w:rPr>
      </w:pPr>
      <w:r>
        <w:rPr>
          <w:rFonts w:ascii="Times New Roman" w:cs="Times New Roman" w:eastAsia="Times New Roman" w:hAnsi="Times New Roman"/>
          <w:sz w:val="16"/>
          <w:szCs w:val="16"/>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216535</wp:posOffset>
            </wp:positionV>
            <wp:extent cx="715010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23" w:right="319" w:bottom="1440" w:gutter="0" w:footer="0" w:header="0"/>
        </w:sectPr>
      </w:pPr>
    </w:p>
    <w:bookmarkStart w:id="29" w:name="page30"/>
    <w:bookmarkEnd w:id="29"/>
    <w:p>
      <w:pPr>
        <w:jc w:val="both"/>
        <w:ind w:firstLine="564"/>
        <w:spacing w:after="0" w:line="251" w:lineRule="auto"/>
        <w:rPr>
          <w:sz w:val="20"/>
          <w:szCs w:val="20"/>
          <w:color w:val="auto"/>
        </w:rPr>
      </w:pPr>
      <w:r>
        <w:rPr>
          <w:rFonts w:ascii="Times New Roman" w:cs="Times New Roman" w:eastAsia="Times New Roman" w:hAnsi="Times New Roman"/>
          <w:sz w:val="16"/>
          <w:szCs w:val="16"/>
          <w:color w:val="auto"/>
        </w:rPr>
        <w:t>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65" w:lineRule="exact"/>
        <w:rPr>
          <w:sz w:val="20"/>
          <w:szCs w:val="20"/>
          <w:color w:val="auto"/>
        </w:rPr>
      </w:pPr>
    </w:p>
    <w:p>
      <w:pPr>
        <w:jc w:val="both"/>
        <w:ind w:firstLine="561"/>
        <w:spacing w:after="0" w:line="266" w:lineRule="auto"/>
        <w:tabs>
          <w:tab w:leader="none" w:pos="785"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58" w:lineRule="exact"/>
        <w:rPr>
          <w:sz w:val="20"/>
          <w:szCs w:val="20"/>
          <w:color w:val="auto"/>
        </w:rPr>
      </w:pPr>
    </w:p>
    <w:p>
      <w:pPr>
        <w:jc w:val="both"/>
        <w:ind w:firstLine="564"/>
        <w:spacing w:after="0" w:line="251" w:lineRule="auto"/>
        <w:rPr>
          <w:sz w:val="20"/>
          <w:szCs w:val="20"/>
          <w:color w:val="auto"/>
        </w:rPr>
      </w:pPr>
      <w:r>
        <w:rPr>
          <w:rFonts w:ascii="Times New Roman" w:cs="Times New Roman" w:eastAsia="Times New Roman" w:hAnsi="Times New Roman"/>
          <w:sz w:val="16"/>
          <w:szCs w:val="16"/>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indemnity and contribution agreements contained in this Section are in addition to any liability that the Indemnifying Parties may have to the Indemnified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219075</wp:posOffset>
            </wp:positionV>
            <wp:extent cx="715010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23" w:right="319" w:bottom="1440" w:gutter="0" w:footer="0" w:header="0"/>
        </w:sectPr>
      </w:pPr>
    </w:p>
    <w:bookmarkStart w:id="30" w:name="page31"/>
    <w:bookmarkEnd w:id="30"/>
    <w:p>
      <w:pPr>
        <w:ind w:left="284" w:hanging="284"/>
        <w:spacing w:after="0"/>
        <w:tabs>
          <w:tab w:leader="none" w:pos="28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1" w:lineRule="exact"/>
        <w:rPr>
          <w:rFonts w:ascii="Times New Roman" w:cs="Times New Roman" w:eastAsia="Times New Roman" w:hAnsi="Times New Roman"/>
          <w:sz w:val="16"/>
          <w:szCs w:val="16"/>
          <w:color w:val="auto"/>
        </w:rPr>
      </w:pPr>
    </w:p>
    <w:p>
      <w:pPr>
        <w:jc w:val="both"/>
        <w:ind w:left="284" w:firstLine="561"/>
        <w:spacing w:after="0" w:line="251" w:lineRule="auto"/>
        <w:tabs>
          <w:tab w:leader="none" w:pos="10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65" w:lineRule="exact"/>
        <w:rPr>
          <w:rFonts w:ascii="Times New Roman" w:cs="Times New Roman" w:eastAsia="Times New Roman" w:hAnsi="Times New Roman"/>
          <w:sz w:val="16"/>
          <w:szCs w:val="16"/>
          <w:color w:val="auto"/>
        </w:rPr>
      </w:pPr>
    </w:p>
    <w:p>
      <w:pPr>
        <w:jc w:val="both"/>
        <w:ind w:left="284" w:firstLine="561"/>
        <w:spacing w:after="0" w:line="250" w:lineRule="auto"/>
        <w:tabs>
          <w:tab w:leader="none" w:pos="1081"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Piggyback on Registrations; Prohibition on Filing Other Registration Statements.</w:t>
      </w:r>
      <w:r>
        <w:rPr>
          <w:rFonts w:ascii="Times New Roman" w:cs="Times New Roman" w:eastAsia="Times New Roman" w:hAnsi="Times New Roman"/>
          <w:sz w:val="16"/>
          <w:szCs w:val="16"/>
          <w:color w:val="auto"/>
        </w:rPr>
        <w:t xml:space="preserve">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 nor preparing and filing with the Commission a registration statements on Form S-8 relating to its equity incentive plans.</w:t>
      </w:r>
    </w:p>
    <w:p>
      <w:pPr>
        <w:spacing w:after="0" w:line="165" w:lineRule="exact"/>
        <w:rPr>
          <w:rFonts w:ascii="Times New Roman" w:cs="Times New Roman" w:eastAsia="Times New Roman" w:hAnsi="Times New Roman"/>
          <w:sz w:val="16"/>
          <w:szCs w:val="16"/>
          <w:color w:val="auto"/>
        </w:rPr>
      </w:pPr>
    </w:p>
    <w:p>
      <w:pPr>
        <w:jc w:val="both"/>
        <w:ind w:left="284" w:firstLine="561"/>
        <w:spacing w:after="0" w:line="275" w:lineRule="auto"/>
        <w:tabs>
          <w:tab w:leader="none" w:pos="106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Discontinued Disposition</w:t>
      </w:r>
      <w:r>
        <w:rPr>
          <w:rFonts w:ascii="Times New Roman" w:cs="Times New Roman" w:eastAsia="Times New Roman" w:hAnsi="Times New Roman"/>
          <w:sz w:val="15"/>
          <w:szCs w:val="15"/>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5"/>
          <w:szCs w:val="15"/>
          <w:u w:val="single" w:color="auto"/>
          <w:color w:val="auto"/>
        </w:rPr>
        <w:t>Advice</w:t>
      </w:r>
      <w:r>
        <w:rPr>
          <w:rFonts w:ascii="Times New Roman" w:cs="Times New Roman" w:eastAsia="Times New Roman" w:hAnsi="Times New Roman"/>
          <w:sz w:val="15"/>
          <w:szCs w:val="15"/>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spacing w:after="0" w:line="148" w:lineRule="exact"/>
        <w:rPr>
          <w:rFonts w:ascii="Times New Roman" w:cs="Times New Roman" w:eastAsia="Times New Roman" w:hAnsi="Times New Roman"/>
          <w:sz w:val="15"/>
          <w:szCs w:val="15"/>
          <w:color w:val="auto"/>
        </w:rPr>
      </w:pPr>
    </w:p>
    <w:p>
      <w:pPr>
        <w:jc w:val="both"/>
        <w:ind w:left="284" w:firstLine="561"/>
        <w:spacing w:after="0" w:line="265" w:lineRule="auto"/>
        <w:tabs>
          <w:tab w:leader="none" w:pos="1069"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Amendments and Waivers</w:t>
      </w:r>
      <w:r>
        <w:rPr>
          <w:rFonts w:ascii="Times New Roman" w:cs="Times New Roman" w:eastAsia="Times New Roman" w:hAnsi="Times New Roman"/>
          <w:sz w:val="15"/>
          <w:szCs w:val="15"/>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Required Holders,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 As used herein, “</w:t>
      </w:r>
      <w:r>
        <w:rPr>
          <w:rFonts w:ascii="Times New Roman" w:cs="Times New Roman" w:eastAsia="Times New Roman" w:hAnsi="Times New Roman"/>
          <w:sz w:val="15"/>
          <w:szCs w:val="15"/>
          <w:u w:val="single" w:color="auto"/>
          <w:color w:val="auto"/>
        </w:rPr>
        <w:t>Required Holders</w:t>
      </w:r>
      <w:r>
        <w:rPr>
          <w:rFonts w:ascii="Times New Roman" w:cs="Times New Roman" w:eastAsia="Times New Roman" w:hAnsi="Times New Roman"/>
          <w:sz w:val="15"/>
          <w:szCs w:val="15"/>
          <w:color w:val="auto"/>
        </w:rPr>
        <w:t>” means Holders of 50.1% or more of the then outstanding Registrable Securities (for purposes of clarification, this includes any securities issuable upon conversion or exercise of any Registrable Security).</w:t>
      </w:r>
    </w:p>
    <w:p>
      <w:pPr>
        <w:spacing w:after="0" w:line="156" w:lineRule="exact"/>
        <w:rPr>
          <w:rFonts w:ascii="Times New Roman" w:cs="Times New Roman" w:eastAsia="Times New Roman" w:hAnsi="Times New Roman"/>
          <w:sz w:val="15"/>
          <w:szCs w:val="15"/>
          <w:color w:val="auto"/>
        </w:rPr>
      </w:pPr>
    </w:p>
    <w:p>
      <w:pPr>
        <w:ind w:left="284" w:firstLine="561"/>
        <w:spacing w:after="0" w:line="270" w:lineRule="auto"/>
        <w:tabs>
          <w:tab w:leader="none" w:pos="1072"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delivered as set forth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202565</wp:posOffset>
            </wp:positionV>
            <wp:extent cx="715010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84"/>
          </w:cols>
          <w:pgMar w:left="596" w:top="123" w:right="319" w:bottom="1440" w:gutter="0" w:footer="0" w:header="0"/>
        </w:sectPr>
      </w:pPr>
    </w:p>
    <w:bookmarkStart w:id="31" w:name="page32"/>
    <w:bookmarkEnd w:id="31"/>
    <w:p>
      <w:pPr>
        <w:jc w:val="both"/>
        <w:ind w:left="-560" w:firstLine="561"/>
        <w:spacing w:after="0" w:line="253" w:lineRule="auto"/>
        <w:tabs>
          <w:tab w:leader="none" w:pos="1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9.04 of the Purchase Agreement.</w:t>
      </w:r>
    </w:p>
    <w:p>
      <w:pPr>
        <w:spacing w:after="0" w:line="163" w:lineRule="exact"/>
        <w:rPr>
          <w:rFonts w:ascii="Times New Roman" w:cs="Times New Roman" w:eastAsia="Times New Roman" w:hAnsi="Times New Roman"/>
          <w:sz w:val="16"/>
          <w:szCs w:val="16"/>
          <w:color w:val="auto"/>
        </w:rPr>
      </w:pPr>
    </w:p>
    <w:p>
      <w:pPr>
        <w:jc w:val="both"/>
        <w:ind w:left="-560" w:firstLine="561"/>
        <w:spacing w:after="0" w:line="253" w:lineRule="auto"/>
        <w:tabs>
          <w:tab w:leader="none" w:pos="24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63" w:lineRule="exact"/>
        <w:rPr>
          <w:rFonts w:ascii="Times New Roman" w:cs="Times New Roman" w:eastAsia="Times New Roman" w:hAnsi="Times New Roman"/>
          <w:sz w:val="16"/>
          <w:szCs w:val="16"/>
          <w:color w:val="auto"/>
        </w:rPr>
      </w:pPr>
    </w:p>
    <w:p>
      <w:pPr>
        <w:jc w:val="both"/>
        <w:ind w:left="-560" w:firstLine="561"/>
        <w:spacing w:after="0" w:line="251" w:lineRule="auto"/>
        <w:tabs>
          <w:tab w:leader="none" w:pos="22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and Counterparts</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65" w:lineRule="exact"/>
        <w:rPr>
          <w:rFonts w:ascii="Times New Roman" w:cs="Times New Roman" w:eastAsia="Times New Roman" w:hAnsi="Times New Roman"/>
          <w:sz w:val="16"/>
          <w:szCs w:val="16"/>
          <w:color w:val="auto"/>
        </w:rPr>
      </w:pPr>
    </w:p>
    <w:p>
      <w:pPr>
        <w:ind w:left="-560" w:right="20" w:firstLine="561"/>
        <w:spacing w:after="0" w:line="270" w:lineRule="auto"/>
        <w:tabs>
          <w:tab w:leader="none" w:pos="19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this Agreement shall be determined in accordance with the provisions of the Purchase Agreement.</w:t>
      </w:r>
    </w:p>
    <w:p>
      <w:pPr>
        <w:spacing w:after="0" w:line="149" w:lineRule="exact"/>
        <w:rPr>
          <w:rFonts w:ascii="Times New Roman" w:cs="Times New Roman" w:eastAsia="Times New Roman" w:hAnsi="Times New Roman"/>
          <w:sz w:val="16"/>
          <w:szCs w:val="16"/>
          <w:color w:val="auto"/>
        </w:rPr>
      </w:pPr>
    </w:p>
    <w:p>
      <w:pPr>
        <w:ind w:left="180" w:hanging="179"/>
        <w:spacing w:after="0"/>
        <w:tabs>
          <w:tab w:leader="none" w:pos="1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The remedies provided herein are cumulative and not exclusive of any other remedies provided by law.</w:t>
      </w:r>
    </w:p>
    <w:p>
      <w:pPr>
        <w:spacing w:after="0" w:line="191" w:lineRule="exact"/>
        <w:rPr>
          <w:rFonts w:ascii="Times New Roman" w:cs="Times New Roman" w:eastAsia="Times New Roman" w:hAnsi="Times New Roman"/>
          <w:sz w:val="16"/>
          <w:szCs w:val="16"/>
          <w:color w:val="auto"/>
        </w:rPr>
      </w:pPr>
    </w:p>
    <w:p>
      <w:pPr>
        <w:jc w:val="both"/>
        <w:ind w:left="-560" w:firstLine="561"/>
        <w:spacing w:after="0" w:line="250" w:lineRule="auto"/>
        <w:tabs>
          <w:tab w:leader="none" w:pos="23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5" w:lineRule="exact"/>
        <w:rPr>
          <w:rFonts w:ascii="Times New Roman" w:cs="Times New Roman" w:eastAsia="Times New Roman" w:hAnsi="Times New Roman"/>
          <w:sz w:val="16"/>
          <w:szCs w:val="16"/>
          <w:color w:val="auto"/>
        </w:rPr>
      </w:pPr>
    </w:p>
    <w:p>
      <w:pPr>
        <w:ind w:left="-560" w:right="20" w:firstLine="561"/>
        <w:spacing w:after="0" w:line="270" w:lineRule="auto"/>
        <w:tabs>
          <w:tab w:leader="none" w:pos="19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in this Agreement are for convenience only, do not constitute a part of the Agreement and shall not be deemed to limit or affect any of the provisions hereof.</w:t>
      </w:r>
    </w:p>
    <w:p>
      <w:pPr>
        <w:spacing w:after="0" w:line="149" w:lineRule="exact"/>
        <w:rPr>
          <w:rFonts w:ascii="Times New Roman" w:cs="Times New Roman" w:eastAsia="Times New Roman" w:hAnsi="Times New Roman"/>
          <w:sz w:val="16"/>
          <w:szCs w:val="16"/>
          <w:color w:val="auto"/>
        </w:rPr>
      </w:pPr>
    </w:p>
    <w:p>
      <w:pPr>
        <w:jc w:val="both"/>
        <w:ind w:left="-560" w:firstLine="561"/>
        <w:spacing w:after="0" w:line="247" w:lineRule="auto"/>
        <w:tabs>
          <w:tab w:leader="none" w:pos="26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Nature of Holders’ Obligations and Rights</w:t>
      </w:r>
      <w:r>
        <w:rPr>
          <w:rFonts w:ascii="Times New Roman" w:cs="Times New Roman" w:eastAsia="Times New Roman" w:hAnsi="Times New Roman"/>
          <w:sz w:val="16"/>
          <w:szCs w:val="16"/>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7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230505</wp:posOffset>
            </wp:positionV>
            <wp:extent cx="715010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color w:val="auto"/>
        </w:rPr>
        <w:t>IN WITNESS WHEREOF, the parties have executed this Registration Rights Agreement as of the date first written above.</w:t>
      </w:r>
    </w:p>
    <w:p>
      <w:pPr>
        <w:spacing w:after="0" w:line="2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DISC MEDICINE OPCO, INC.</w:t>
      </w:r>
    </w:p>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-115570</wp:posOffset>
            </wp:positionV>
            <wp:extent cx="321373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6"/>
          <w:szCs w:val="16"/>
          <w:color w:val="auto"/>
        </w:rPr>
        <w:t>Title:</w:t>
      </w:r>
    </w:p>
    <w:p>
      <w:pPr>
        <w:spacing w:after="0" w:line="18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229235</wp:posOffset>
            </wp:positionV>
            <wp:extent cx="715010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579"/>
          </w:cols>
          <w:pgMar w:left="880" w:top="123" w:right="1440" w:bottom="1440" w:gutter="0" w:footer="0" w:header="0"/>
        </w:sectPr>
      </w:pPr>
    </w:p>
    <w:bookmarkStart w:id="33" w:name="page34"/>
    <w:bookmarkEnd w:id="33"/>
    <w:p>
      <w:pPr>
        <w:jc w:val="right"/>
        <w:ind w:right="2819"/>
        <w:spacing w:after="0"/>
        <w:rPr>
          <w:sz w:val="20"/>
          <w:szCs w:val="20"/>
          <w:color w:val="auto"/>
        </w:rPr>
      </w:pPr>
      <w:r>
        <w:rPr>
          <w:rFonts w:ascii="Times New Roman" w:cs="Times New Roman" w:eastAsia="Times New Roman" w:hAnsi="Times New Roman"/>
          <w:sz w:val="16"/>
          <w:szCs w:val="16"/>
          <w:color w:val="auto"/>
        </w:rPr>
        <w:t>[SIGNATURE PAGE OF HOLDERS TO DISC RRA]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20320</wp:posOffset>
            </wp:positionV>
            <wp:extent cx="213995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39950" cy="146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Holder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21590</wp:posOffset>
            </wp:positionV>
            <wp:extent cx="213995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9950" cy="146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20320</wp:posOffset>
            </wp:positionV>
            <wp:extent cx="214757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7570" cy="146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20320</wp:posOffset>
            </wp:positionV>
            <wp:extent cx="214757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7570" cy="14605"/>
                    </a:xfrm>
                    <a:prstGeom prst="rect">
                      <a:avLst/>
                    </a:prstGeom>
                    <a:noFill/>
                  </pic:spPr>
                </pic:pic>
              </a:graphicData>
            </a:graphic>
          </wp:anchor>
        </w:drawing>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Plan of Distribution</w:t>
      </w:r>
    </w:p>
    <w:p>
      <w:pPr>
        <w:spacing w:after="0" w:line="176" w:lineRule="exact"/>
        <w:rPr>
          <w:sz w:val="20"/>
          <w:szCs w:val="20"/>
          <w:color w:val="auto"/>
        </w:rPr>
      </w:pPr>
    </w:p>
    <w:p>
      <w:pPr>
        <w:jc w:val="both"/>
        <w:ind w:firstLine="564"/>
        <w:spacing w:after="0" w:line="257" w:lineRule="auto"/>
        <w:rPr>
          <w:sz w:val="20"/>
          <w:szCs w:val="20"/>
          <w:color w:val="auto"/>
        </w:rPr>
      </w:pPr>
      <w:r>
        <w:rPr>
          <w:rFonts w:ascii="Times New Roman" w:cs="Times New Roman" w:eastAsia="Times New Roman" w:hAnsi="Times New Roman"/>
          <w:sz w:val="16"/>
          <w:szCs w:val="16"/>
          <w:color w:val="auto"/>
        </w:rPr>
        <w:t>Each Selling Stockholder (the “</w:t>
      </w:r>
      <w:r>
        <w:rPr>
          <w:rFonts w:ascii="Times New Roman" w:cs="Times New Roman" w:eastAsia="Times New Roman" w:hAnsi="Times New Roman"/>
          <w:sz w:val="16"/>
          <w:szCs w:val="16"/>
          <w:u w:val="single" w:color="auto"/>
          <w:color w:val="auto"/>
        </w:rPr>
        <w:t>Selling Stockholders</w:t>
      </w:r>
      <w:r>
        <w:rPr>
          <w:rFonts w:ascii="Times New Roman" w:cs="Times New Roman" w:eastAsia="Times New Roman" w:hAnsi="Times New Roman"/>
          <w:sz w:val="16"/>
          <w:szCs w:val="16"/>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60" w:lineRule="exact"/>
        <w:rPr>
          <w:sz w:val="20"/>
          <w:szCs w:val="20"/>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9" w:lineRule="exact"/>
        <w:rPr>
          <w:rFonts w:ascii="Times New Roman" w:cs="Times New Roman" w:eastAsia="Times New Roman" w:hAnsi="Times New Roman"/>
          <w:sz w:val="16"/>
          <w:szCs w:val="16"/>
          <w:color w:val="auto"/>
        </w:rPr>
      </w:pPr>
    </w:p>
    <w:p>
      <w:pPr>
        <w:ind w:left="1120" w:right="200" w:hanging="281"/>
        <w:spacing w:after="0" w:line="245" w:lineRule="auto"/>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securities as agent but may position and resell a portion of the block as principal to facilitate the transaction;</w:t>
      </w: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through broker-dealers that agree with the Selling Stockholders to sell a specified number of such securities at a stipulated price per security;</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through an options exchange or otherwise;</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or</w:t>
      </w:r>
    </w:p>
    <w:p>
      <w:pPr>
        <w:spacing w:after="0" w:line="3"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76" w:lineRule="exact"/>
        <w:rPr>
          <w:sz w:val="20"/>
          <w:szCs w:val="20"/>
          <w:color w:val="auto"/>
        </w:rPr>
      </w:pPr>
    </w:p>
    <w:p>
      <w:pPr>
        <w:jc w:val="both"/>
        <w:ind w:firstLine="564"/>
        <w:spacing w:after="0" w:line="270" w:lineRule="auto"/>
        <w:rPr>
          <w:sz w:val="20"/>
          <w:szCs w:val="20"/>
          <w:color w:val="auto"/>
        </w:rPr>
      </w:pPr>
      <w:r>
        <w:rPr>
          <w:rFonts w:ascii="Times New Roman" w:cs="Times New Roman" w:eastAsia="Times New Roman" w:hAnsi="Times New Roman"/>
          <w:sz w:val="16"/>
          <w:szCs w:val="16"/>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if available, rather than under this prospectus.</w:t>
      </w:r>
    </w:p>
    <w:p>
      <w:pPr>
        <w:spacing w:after="0" w:line="150" w:lineRule="exact"/>
        <w:rPr>
          <w:sz w:val="20"/>
          <w:szCs w:val="20"/>
          <w:color w:val="auto"/>
        </w:rPr>
      </w:pPr>
    </w:p>
    <w:p>
      <w:pPr>
        <w:jc w:val="both"/>
        <w:ind w:firstLine="564"/>
        <w:spacing w:after="0" w:line="253"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64" w:lineRule="exact"/>
        <w:rPr>
          <w:sz w:val="20"/>
          <w:szCs w:val="20"/>
          <w:color w:val="auto"/>
        </w:rPr>
      </w:pPr>
    </w:p>
    <w:p>
      <w:pPr>
        <w:jc w:val="both"/>
        <w:ind w:right="20" w:firstLine="564"/>
        <w:spacing w:after="0" w:line="250" w:lineRule="auto"/>
        <w:rPr>
          <w:sz w:val="20"/>
          <w:szCs w:val="20"/>
          <w:color w:val="auto"/>
        </w:rPr>
      </w:pPr>
      <w:r>
        <w:rPr>
          <w:rFonts w:ascii="Times New Roman" w:cs="Times New Roman" w:eastAsia="Times New Roman" w:hAnsi="Times New Roman"/>
          <w:sz w:val="16"/>
          <w:szCs w:val="16"/>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ind w:firstLine="564"/>
        <w:spacing w:after="0" w:line="253" w:lineRule="auto"/>
        <w:rPr>
          <w:sz w:val="20"/>
          <w:szCs w:val="20"/>
          <w:color w:val="auto"/>
        </w:rPr>
      </w:pPr>
      <w:r>
        <w:rPr>
          <w:rFonts w:ascii="Times New Roman" w:cs="Times New Roman" w:eastAsia="Times New Roman" w:hAnsi="Times New Roman"/>
          <w:sz w:val="16"/>
          <w:szCs w:val="16"/>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jc w:val="both"/>
        <w:ind w:right="20" w:firstLine="564"/>
        <w:spacing w:after="0" w:line="270" w:lineRule="auto"/>
        <w:rPr>
          <w:sz w:val="20"/>
          <w:szCs w:val="20"/>
          <w:color w:val="auto"/>
        </w:rPr>
      </w:pPr>
      <w:r>
        <w:rPr>
          <w:rFonts w:ascii="Times New Roman" w:cs="Times New Roman" w:eastAsia="Times New Roman" w:hAnsi="Times New Roman"/>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50" w:lineRule="exact"/>
        <w:rPr>
          <w:sz w:val="20"/>
          <w:szCs w:val="20"/>
          <w:color w:val="auto"/>
        </w:rPr>
      </w:pPr>
    </w:p>
    <w:p>
      <w:pPr>
        <w:jc w:val="both"/>
        <w:ind w:firstLine="564"/>
        <w:spacing w:after="0" w:line="250" w:lineRule="auto"/>
        <w:rPr>
          <w:sz w:val="20"/>
          <w:szCs w:val="20"/>
          <w:color w:val="auto"/>
        </w:rPr>
      </w:pPr>
      <w:r>
        <w:rPr>
          <w:rFonts w:ascii="Times New Roman" w:cs="Times New Roman" w:eastAsia="Times New Roman" w:hAnsi="Times New Roman"/>
          <w:sz w:val="16"/>
          <w:szCs w:val="16"/>
          <w:color w:val="auto"/>
        </w:rPr>
        <w:t>We agreed to keep this prospectus effective until the earlier of (i) the date on which the securities may be resold by the Selling Stockholders without registration and without regard to any volume or manner-of-sale limitations by reason of Rule 144, and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ind w:firstLine="564"/>
        <w:spacing w:after="0" w:line="250" w:lineRule="auto"/>
        <w:rPr>
          <w:sz w:val="20"/>
          <w:szCs w:val="20"/>
          <w:color w:val="auto"/>
        </w:rPr>
      </w:pPr>
      <w:r>
        <w:rPr>
          <w:rFonts w:ascii="Times New Roman" w:cs="Times New Roman" w:eastAsia="Times New Roman" w:hAnsi="Times New Roman"/>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5010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6"/>
          <w:szCs w:val="16"/>
          <w:b w:val="1"/>
          <w:bCs w:val="1"/>
          <w:color w:val="auto"/>
        </w:rPr>
        <w:t>Annex B</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76" w:lineRule="exact"/>
        <w:rPr>
          <w:sz w:val="20"/>
          <w:szCs w:val="20"/>
          <w:color w:val="auto"/>
        </w:rPr>
      </w:pPr>
    </w:p>
    <w:p>
      <w:pPr>
        <w:jc w:val="both"/>
        <w:ind w:right="20" w:firstLine="564"/>
        <w:spacing w:after="0" w:line="257" w:lineRule="auto"/>
        <w:rPr>
          <w:sz w:val="20"/>
          <w:szCs w:val="20"/>
          <w:color w:val="auto"/>
        </w:rPr>
      </w:pPr>
      <w:r>
        <w:rPr>
          <w:rFonts w:ascii="Times New Roman" w:cs="Times New Roman" w:eastAsia="Times New Roman" w:hAnsi="Times New Roman"/>
          <w:sz w:val="16"/>
          <w:szCs w:val="16"/>
          <w:color w:val="auto"/>
        </w:rPr>
        <w:t>For additional information regarding the issuances of those shares of common stock being registered for resale in this registration statement, see “Private Placement of Shares of Common Stock” and “Business Combination of [•] and [•]” above. We are registering the shares of common stock in order to permit the selling stockholders to offer the shares for resale from time to time.</w:t>
      </w:r>
    </w:p>
    <w:p>
      <w:pPr>
        <w:spacing w:after="0" w:line="160" w:lineRule="exact"/>
        <w:rPr>
          <w:sz w:val="20"/>
          <w:szCs w:val="20"/>
          <w:color w:val="auto"/>
        </w:rPr>
      </w:pPr>
    </w:p>
    <w:p>
      <w:pPr>
        <w:jc w:val="both"/>
        <w:ind w:right="20" w:firstLine="564"/>
        <w:spacing w:after="0" w:line="272" w:lineRule="auto"/>
        <w:rPr>
          <w:sz w:val="20"/>
          <w:szCs w:val="20"/>
          <w:color w:val="auto"/>
        </w:rPr>
      </w:pPr>
      <w:r>
        <w:rPr>
          <w:rFonts w:ascii="Times New Roman" w:cs="Times New Roman" w:eastAsia="Times New Roman" w:hAnsi="Times New Roman"/>
          <w:sz w:val="15"/>
          <w:szCs w:val="15"/>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as of</w:t>
      </w:r>
    </w:p>
    <w:p>
      <w:pPr>
        <w:spacing w:after="0"/>
        <w:rPr>
          <w:sz w:val="20"/>
          <w:szCs w:val="20"/>
          <w:color w:val="auto"/>
        </w:rPr>
      </w:pPr>
      <w:r>
        <w:rPr>
          <w:rFonts w:ascii="Times New Roman" w:cs="Times New Roman" w:eastAsia="Times New Roman" w:hAnsi="Times New Roman"/>
          <w:sz w:val="16"/>
          <w:szCs w:val="16"/>
          <w:color w:val="auto"/>
        </w:rPr>
        <w:t>________, 2022.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third column lists the shares of common stock being offered by this prospectus by the selling stockholders.</w:t>
      </w:r>
    </w:p>
    <w:p>
      <w:pPr>
        <w:spacing w:after="0" w:line="192" w:lineRule="exact"/>
        <w:rPr>
          <w:sz w:val="20"/>
          <w:szCs w:val="20"/>
          <w:color w:val="auto"/>
        </w:rPr>
      </w:pPr>
    </w:p>
    <w:p>
      <w:pPr>
        <w:jc w:val="both"/>
        <w:ind w:firstLine="564"/>
        <w:spacing w:after="0" w:line="270" w:lineRule="auto"/>
        <w:rPr>
          <w:sz w:val="20"/>
          <w:szCs w:val="20"/>
          <w:color w:val="auto"/>
        </w:rPr>
      </w:pPr>
      <w:r>
        <w:rPr>
          <w:rFonts w:ascii="Times New Roman" w:cs="Times New Roman" w:eastAsia="Times New Roman" w:hAnsi="Times New Roman"/>
          <w:sz w:val="16"/>
          <w:szCs w:val="16"/>
          <w:color w:val="auto"/>
        </w:rPr>
        <w:t>The fourth column reflects the number of shares of common stock beneficially owned by each selling stockholder, assuming the sale of all of the shares offered by the selling stockholders pursuant to this prospectus.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selling stockholders may sell all, some or none of their shares in this offering. See “Plan of Distribution.”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Maximum Number</w:t>
            </w:r>
          </w:p>
        </w:tc>
        <w:tc>
          <w:tcPr>
            <w:tcW w:w="2240" w:type="dxa"/>
            <w:vAlign w:val="bottom"/>
            <w:tcBorders>
              <w:top w:val="single" w:sz="8" w:color="auto"/>
            </w:tcBorders>
          </w:tcPr>
          <w:p>
            <w:pPr>
              <w:spacing w:after="0"/>
              <w:rPr>
                <w:sz w:val="16"/>
                <w:szCs w:val="16"/>
                <w:color w:val="auto"/>
              </w:rPr>
            </w:pPr>
          </w:p>
        </w:tc>
      </w:tr>
      <w:tr>
        <w:trPr>
          <w:trHeight w:val="188"/>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of shares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 shares</w:t>
            </w:r>
          </w:p>
        </w:tc>
      </w:tr>
      <w:tr>
        <w:trPr>
          <w:trHeight w:val="188"/>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of Common Stock</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Common Stock to</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Common Stock</w:t>
            </w:r>
          </w:p>
        </w:tc>
      </w:tr>
      <w:tr>
        <w:trPr>
          <w:trHeight w:val="188"/>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Owned Prior to</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be Sold Pursuant to</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 After</w:t>
            </w:r>
          </w:p>
        </w:tc>
      </w:tr>
      <w:tr>
        <w:trPr>
          <w:trHeight w:val="210"/>
        </w:trPr>
        <w:tc>
          <w:tcPr>
            <w:tcW w:w="406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this Prospectus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r>
      <w:tr>
        <w:trPr>
          <w:trHeight w:val="344"/>
        </w:trPr>
        <w:tc>
          <w:tcPr>
            <w:tcW w:w="38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37" w:name="page38"/>
    <w:bookmarkEnd w:id="37"/>
    <w:p>
      <w:pPr>
        <w:ind w:left="10666"/>
        <w:spacing w:after="0"/>
        <w:rPr>
          <w:sz w:val="20"/>
          <w:szCs w:val="20"/>
          <w:color w:val="auto"/>
        </w:rPr>
      </w:pPr>
      <w:r>
        <w:rPr>
          <w:rFonts w:ascii="Times New Roman" w:cs="Times New Roman" w:eastAsia="Times New Roman" w:hAnsi="Times New Roman"/>
          <w:sz w:val="15"/>
          <w:szCs w:val="15"/>
          <w:b w:val="1"/>
          <w:bCs w:val="1"/>
          <w:color w:val="auto"/>
        </w:rPr>
        <w:t>Annex C</w:t>
      </w:r>
    </w:p>
    <w:p>
      <w:pPr>
        <w:spacing w:after="0" w:line="3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Selling Stockholder Notice and Questionnaire</w:t>
      </w:r>
    </w:p>
    <w:p>
      <w:pPr>
        <w:spacing w:after="0" w:line="176" w:lineRule="exact"/>
        <w:rPr>
          <w:sz w:val="20"/>
          <w:szCs w:val="20"/>
          <w:color w:val="auto"/>
        </w:rPr>
      </w:pPr>
    </w:p>
    <w:p>
      <w:pPr>
        <w:jc w:val="both"/>
        <w:ind w:left="6" w:firstLine="564"/>
        <w:spacing w:after="0" w:line="250" w:lineRule="auto"/>
        <w:rPr>
          <w:sz w:val="20"/>
          <w:szCs w:val="20"/>
          <w:color w:val="auto"/>
        </w:rPr>
      </w:pPr>
      <w:r>
        <w:rPr>
          <w:rFonts w:ascii="Times New Roman" w:cs="Times New Roman" w:eastAsia="Times New Roman" w:hAnsi="Times New Roman"/>
          <w:sz w:val="16"/>
          <w:szCs w:val="16"/>
          <w:color w:val="auto"/>
        </w:rPr>
        <w:t>The undersigned owner of Registrable Securities (as such term is defined in the Registration Rights Agreement) of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understands that the Company has filed or intends to file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a Registration Statement for the registration and resale under Rule 415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of the Registrable Securities, in accordance with the terms of the Registration Rights Agreement dated as of December 28, 2022 to which the Company and the undersigned are parties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5" w:lineRule="exact"/>
        <w:rPr>
          <w:sz w:val="20"/>
          <w:szCs w:val="20"/>
          <w:color w:val="auto"/>
        </w:rPr>
      </w:pPr>
    </w:p>
    <w:p>
      <w:pPr>
        <w:jc w:val="both"/>
        <w:ind w:left="6" w:firstLine="564"/>
        <w:spacing w:after="0" w:line="257" w:lineRule="auto"/>
        <w:rPr>
          <w:sz w:val="20"/>
          <w:szCs w:val="20"/>
          <w:color w:val="auto"/>
        </w:rPr>
      </w:pPr>
      <w:r>
        <w:rPr>
          <w:rFonts w:ascii="Times New Roman" w:cs="Times New Roman" w:eastAsia="Times New Roman" w:hAnsi="Times New Roman"/>
          <w:sz w:val="16"/>
          <w:szCs w:val="16"/>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5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NOTICE</w:t>
      </w:r>
    </w:p>
    <w:p>
      <w:pPr>
        <w:spacing w:after="0" w:line="194" w:lineRule="exact"/>
        <w:rPr>
          <w:sz w:val="20"/>
          <w:szCs w:val="20"/>
          <w:color w:val="auto"/>
        </w:rPr>
      </w:pPr>
    </w:p>
    <w:p>
      <w:pPr>
        <w:jc w:val="both"/>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The undersigned beneficial owner (the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5010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The undersigned hereby provides the following information to the Company and represents and warrants that such information is accurate:</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QUESTIONNAIRE</w:t>
      </w:r>
    </w:p>
    <w:p>
      <w:pPr>
        <w:spacing w:after="0" w:line="192" w:lineRule="exact"/>
        <w:rPr>
          <w:sz w:val="20"/>
          <w:szCs w:val="20"/>
          <w:color w:val="auto"/>
        </w:rPr>
      </w:pPr>
    </w:p>
    <w:p>
      <w:pPr>
        <w:ind w:left="686" w:hanging="686"/>
        <w:spacing w:after="0"/>
        <w:tabs>
          <w:tab w:leader="none" w:pos="686"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Name.</w:t>
      </w:r>
    </w:p>
    <w:p>
      <w:pPr>
        <w:spacing w:after="0" w:line="21" w:lineRule="exact"/>
        <w:rPr>
          <w:rFonts w:ascii="Times New Roman" w:cs="Times New Roman" w:eastAsia="Times New Roman" w:hAnsi="Times New Roman"/>
          <w:sz w:val="16"/>
          <w:szCs w:val="16"/>
          <w:b w:val="1"/>
          <w:bCs w:val="1"/>
          <w:color w:val="auto"/>
        </w:rPr>
      </w:pPr>
    </w:p>
    <w:p>
      <w:pPr>
        <w:ind w:left="1366" w:hanging="685"/>
        <w:spacing w:after="0"/>
        <w:tabs>
          <w:tab w:leader="none" w:pos="136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Legal Name of Selling Stockholder</w:t>
      </w:r>
    </w:p>
    <w:p>
      <w:pPr>
        <w:spacing w:after="0" w:line="199" w:lineRule="exact"/>
        <w:rPr>
          <w:rFonts w:ascii="Times New Roman" w:cs="Times New Roman" w:eastAsia="Times New Roman" w:hAnsi="Times New Roman"/>
          <w:sz w:val="16"/>
          <w:szCs w:val="16"/>
          <w:color w:val="auto"/>
        </w:rPr>
      </w:pPr>
    </w:p>
    <w:p>
      <w:pPr>
        <w:ind w:left="1366" w:hanging="685"/>
        <w:spacing w:after="0"/>
        <w:tabs>
          <w:tab w:leader="none" w:pos="136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Legal Name of Registered Holder (if not the same as (a) above) through which Registrable Securities are held:</w:t>
      </w:r>
    </w:p>
    <w:p>
      <w:pPr>
        <w:spacing w:after="0" w:line="215" w:lineRule="exact"/>
        <w:rPr>
          <w:rFonts w:ascii="Times New Roman" w:cs="Times New Roman" w:eastAsia="Times New Roman" w:hAnsi="Times New Roman"/>
          <w:sz w:val="16"/>
          <w:szCs w:val="16"/>
          <w:color w:val="auto"/>
        </w:rPr>
      </w:pPr>
    </w:p>
    <w:p>
      <w:pPr>
        <w:ind w:left="1366" w:right="20" w:hanging="685"/>
        <w:spacing w:after="0" w:line="270" w:lineRule="auto"/>
        <w:tabs>
          <w:tab w:leader="none" w:pos="136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Legal Name of Natural Control Person (which means a natural person who directly or indirectly alone or with others has power to vote or dispose of the securities covered by this Questionnaire):</w:t>
      </w:r>
    </w:p>
    <w:p>
      <w:pPr>
        <w:spacing w:after="0" w:line="358"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-238760</wp:posOffset>
            </wp:positionV>
            <wp:extent cx="628523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5230" cy="14605"/>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-611505</wp:posOffset>
            </wp:positionV>
            <wp:extent cx="628523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5230" cy="14605"/>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-864870</wp:posOffset>
            </wp:positionV>
            <wp:extent cx="628523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5230" cy="14605"/>
                    </a:xfrm>
                    <a:prstGeom prst="rect">
                      <a:avLst/>
                    </a:prstGeom>
                    <a:noFill/>
                  </pic:spPr>
                </pic:pic>
              </a:graphicData>
            </a:graphic>
          </wp:anchor>
        </w:drawing>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12700</wp:posOffset>
            </wp:positionV>
            <wp:extent cx="657606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76060" cy="14605"/>
                    </a:xfrm>
                    <a:prstGeom prst="rect">
                      <a:avLst/>
                    </a:prstGeom>
                    <a:noFill/>
                  </pic:spPr>
                </pic:pic>
              </a:graphicData>
            </a:graphic>
          </wp:anchor>
        </w:drawing>
      </w:r>
    </w:p>
    <w:p>
      <w:pPr>
        <w:spacing w:after="0" w:line="1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85927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927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266700</wp:posOffset>
            </wp:positionV>
            <wp:extent cx="715010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38" w:name="page39"/>
    <w:bookmarkEnd w:id="38"/>
    <w:p>
      <w:pPr>
        <w:ind w:left="6"/>
        <w:spacing w:after="0"/>
        <w:rPr>
          <w:sz w:val="20"/>
          <w:szCs w:val="20"/>
          <w:color w:val="auto"/>
        </w:rPr>
      </w:pPr>
      <w:r>
        <w:rPr>
          <w:rFonts w:ascii="Times New Roman" w:cs="Times New Roman" w:eastAsia="Times New Roman" w:hAnsi="Times New Roman"/>
          <w:sz w:val="16"/>
          <w:szCs w:val="16"/>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12700</wp:posOffset>
            </wp:positionV>
            <wp:extent cx="628523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85230" cy="14605"/>
                    </a:xfrm>
                    <a:prstGeom prst="rect">
                      <a:avLst/>
                    </a:prstGeom>
                    <a:noFill/>
                  </pic:spPr>
                </pic:pic>
              </a:graphicData>
            </a:graphic>
          </wp:anchor>
        </w:drawing>
      </w:r>
    </w:p>
    <w:p>
      <w:pPr>
        <w:spacing w:after="0" w:line="193" w:lineRule="exact"/>
        <w:rPr>
          <w:sz w:val="20"/>
          <w:szCs w:val="20"/>
          <w:color w:val="auto"/>
        </w:rPr>
      </w:pPr>
    </w:p>
    <w:p>
      <w:pPr>
        <w:ind w:left="166" w:hanging="166"/>
        <w:spacing w:after="0"/>
        <w:tabs>
          <w:tab w:leader="none" w:pos="166"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Broker-Dealer Status:</w:t>
      </w:r>
    </w:p>
    <w:p>
      <w:pPr>
        <w:spacing w:after="0" w:line="193" w:lineRule="exact"/>
        <w:rPr>
          <w:rFonts w:ascii="Times New Roman" w:cs="Times New Roman" w:eastAsia="Times New Roman" w:hAnsi="Times New Roman"/>
          <w:sz w:val="16"/>
          <w:szCs w:val="16"/>
          <w:b w:val="1"/>
          <w:bCs w:val="1"/>
          <w:color w:val="auto"/>
        </w:rPr>
      </w:pPr>
    </w:p>
    <w:p>
      <w:pPr>
        <w:ind w:left="1366" w:hanging="685"/>
        <w:spacing w:after="0"/>
        <w:tabs>
          <w:tab w:leader="none" w:pos="136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you a broker-dealer?</w:t>
      </w:r>
    </w:p>
    <w:p>
      <w:pPr>
        <w:spacing w:after="0" w:line="16" w:lineRule="exact"/>
        <w:rPr>
          <w:sz w:val="20"/>
          <w:szCs w:val="20"/>
          <w:color w:val="auto"/>
        </w:rPr>
      </w:pPr>
    </w:p>
    <w:p>
      <w:pPr>
        <w:jc w:val="center"/>
        <w:ind w:right="-5"/>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0" w:lineRule="exact"/>
        <w:rPr>
          <w:sz w:val="20"/>
          <w:szCs w:val="20"/>
          <w:color w:val="auto"/>
        </w:rPr>
      </w:pPr>
    </w:p>
    <w:p>
      <w:pPr>
        <w:ind w:left="1366" w:hanging="685"/>
        <w:spacing w:after="0"/>
        <w:tabs>
          <w:tab w:leader="none" w:pos="13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“yes” to Section 3(a), did you receive your Registrable Securities as compensation for investment banking services to the Company?</w:t>
      </w:r>
    </w:p>
    <w:p>
      <w:pPr>
        <w:spacing w:after="0" w:line="167" w:lineRule="exact"/>
        <w:rPr>
          <w:rFonts w:ascii="Times New Roman" w:cs="Times New Roman" w:eastAsia="Times New Roman" w:hAnsi="Times New Roman"/>
          <w:sz w:val="16"/>
          <w:szCs w:val="16"/>
          <w:color w:val="auto"/>
        </w:rPr>
      </w:pPr>
    </w:p>
    <w:p>
      <w:pPr>
        <w:ind w:left="5226"/>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6" w:lineRule="exact"/>
        <w:rPr>
          <w:sz w:val="20"/>
          <w:szCs w:val="20"/>
          <w:color w:val="auto"/>
        </w:rPr>
      </w:pPr>
    </w:p>
    <w:p>
      <w:pPr>
        <w:ind w:left="686"/>
        <w:spacing w:after="0"/>
        <w:tabs>
          <w:tab w:leader="none" w:pos="1346" w:val="left"/>
        </w:tabs>
        <w:rPr>
          <w:sz w:val="20"/>
          <w:szCs w:val="20"/>
          <w:color w:val="auto"/>
        </w:rPr>
      </w:pPr>
      <w:r>
        <w:rPr>
          <w:rFonts w:ascii="Times New Roman" w:cs="Times New Roman" w:eastAsia="Times New Roman" w:hAnsi="Times New Roman"/>
          <w:sz w:val="16"/>
          <w:szCs w:val="16"/>
          <w:color w:val="auto"/>
        </w:rPr>
        <w:t>Note:</w:t>
      </w:r>
      <w:r>
        <w:rPr>
          <w:sz w:val="20"/>
          <w:szCs w:val="20"/>
          <w:color w:val="auto"/>
        </w:rPr>
        <w:tab/>
      </w:r>
      <w:r>
        <w:rPr>
          <w:rFonts w:ascii="Times New Roman" w:cs="Times New Roman" w:eastAsia="Times New Roman" w:hAnsi="Times New Roman"/>
          <w:sz w:val="16"/>
          <w:szCs w:val="16"/>
          <w:color w:val="auto"/>
        </w:rPr>
        <w:t>If “no” to Section 3(b), the Commission’s staff has indicated that you should be identified as an underwriter in the Registration Statement.</w:t>
      </w:r>
    </w:p>
    <w:p>
      <w:pPr>
        <w:spacing w:after="0" w:line="192" w:lineRule="exact"/>
        <w:rPr>
          <w:sz w:val="20"/>
          <w:szCs w:val="20"/>
          <w:color w:val="auto"/>
        </w:rPr>
      </w:pPr>
    </w:p>
    <w:p>
      <w:pPr>
        <w:ind w:left="1366" w:hanging="685"/>
        <w:spacing w:after="0"/>
        <w:tabs>
          <w:tab w:leader="none" w:pos="136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you an affiliate of a broker-dealer?</w:t>
      </w:r>
    </w:p>
    <w:p>
      <w:pPr>
        <w:spacing w:after="0" w:line="168" w:lineRule="exact"/>
        <w:rPr>
          <w:sz w:val="20"/>
          <w:szCs w:val="20"/>
          <w:color w:val="auto"/>
        </w:rPr>
      </w:pPr>
    </w:p>
    <w:p>
      <w:pPr>
        <w:jc w:val="center"/>
        <w:ind w:right="-5"/>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6" w:lineRule="exact"/>
        <w:rPr>
          <w:sz w:val="20"/>
          <w:szCs w:val="20"/>
          <w:color w:val="auto"/>
        </w:rPr>
      </w:pPr>
    </w:p>
    <w:p>
      <w:pPr>
        <w:jc w:val="both"/>
        <w:ind w:left="1366" w:right="20" w:hanging="685"/>
        <w:spacing w:after="0" w:line="257" w:lineRule="auto"/>
        <w:tabs>
          <w:tab w:leader="none" w:pos="136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7" w:lineRule="exact"/>
        <w:rPr>
          <w:sz w:val="20"/>
          <w:szCs w:val="20"/>
          <w:color w:val="auto"/>
        </w:rPr>
      </w:pPr>
    </w:p>
    <w:p>
      <w:pPr>
        <w:jc w:val="center"/>
        <w:ind w:right="-5"/>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6" w:lineRule="exact"/>
        <w:rPr>
          <w:sz w:val="20"/>
          <w:szCs w:val="20"/>
          <w:color w:val="auto"/>
        </w:rPr>
      </w:pPr>
    </w:p>
    <w:p>
      <w:pPr>
        <w:ind w:left="686"/>
        <w:spacing w:after="0"/>
        <w:tabs>
          <w:tab w:leader="none" w:pos="1346" w:val="left"/>
        </w:tabs>
        <w:rPr>
          <w:sz w:val="20"/>
          <w:szCs w:val="20"/>
          <w:color w:val="auto"/>
        </w:rPr>
      </w:pPr>
      <w:r>
        <w:rPr>
          <w:rFonts w:ascii="Times New Roman" w:cs="Times New Roman" w:eastAsia="Times New Roman" w:hAnsi="Times New Roman"/>
          <w:sz w:val="16"/>
          <w:szCs w:val="16"/>
          <w:color w:val="auto"/>
        </w:rPr>
        <w:t>Note:</w:t>
      </w:r>
      <w:r>
        <w:rPr>
          <w:sz w:val="20"/>
          <w:szCs w:val="20"/>
          <w:color w:val="auto"/>
        </w:rPr>
        <w:tab/>
      </w:r>
      <w:r>
        <w:rPr>
          <w:rFonts w:ascii="Times New Roman" w:cs="Times New Roman" w:eastAsia="Times New Roman" w:hAnsi="Times New Roman"/>
          <w:sz w:val="16"/>
          <w:szCs w:val="16"/>
          <w:color w:val="auto"/>
        </w:rPr>
        <w:t>If “no” to Section 3(d), the Commission’s staff has indicated that you should be identified as an underwriter in the Registration Statement.</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 Ownership of Securities of the Company Owned by the Selling Stockholder.</w:t>
      </w:r>
    </w:p>
    <w:p>
      <w:pPr>
        <w:spacing w:after="0" w:line="192" w:lineRule="exact"/>
        <w:rPr>
          <w:sz w:val="20"/>
          <w:szCs w:val="20"/>
          <w:color w:val="auto"/>
        </w:rPr>
      </w:pPr>
    </w:p>
    <w:p>
      <w:pPr>
        <w:ind w:left="566"/>
        <w:spacing w:after="0" w:line="273" w:lineRule="auto"/>
        <w:rPr>
          <w:sz w:val="20"/>
          <w:szCs w:val="20"/>
          <w:color w:val="auto"/>
        </w:rPr>
      </w:pPr>
      <w:r>
        <w:rPr>
          <w:rFonts w:ascii="Times New Roman" w:cs="Times New Roman" w:eastAsia="Times New Roman" w:hAnsi="Times New Roman"/>
          <w:sz w:val="16"/>
          <w:szCs w:val="16"/>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47" w:lineRule="exact"/>
        <w:rPr>
          <w:sz w:val="20"/>
          <w:szCs w:val="20"/>
          <w:color w:val="auto"/>
        </w:rPr>
      </w:pPr>
    </w:p>
    <w:p>
      <w:pPr>
        <w:ind w:left="1366" w:hanging="685"/>
        <w:spacing w:after="0"/>
        <w:tabs>
          <w:tab w:leader="none" w:pos="1366"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and Amount of other Company securities owned by the Selling Stockholder (including beneficially owned, as applicable):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2"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Relationships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-238760</wp:posOffset>
            </wp:positionV>
            <wp:extent cx="628523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5230" cy="14605"/>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-372745</wp:posOffset>
            </wp:positionV>
            <wp:extent cx="628523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5230" cy="14605"/>
                    </a:xfrm>
                    <a:prstGeom prst="rect">
                      <a:avLst/>
                    </a:prstGeom>
                    <a:noFill/>
                  </pic:spPr>
                </pic:pic>
              </a:graphicData>
            </a:graphic>
          </wp:anchor>
        </w:drawing>
      </w:r>
    </w:p>
    <w:p>
      <w:pPr>
        <w:spacing w:after="0" w:line="172" w:lineRule="exact"/>
        <w:rPr>
          <w:sz w:val="20"/>
          <w:szCs w:val="20"/>
          <w:color w:val="auto"/>
        </w:rPr>
      </w:pPr>
    </w:p>
    <w:p>
      <w:pPr>
        <w:jc w:val="both"/>
        <w:ind w:left="566" w:right="20"/>
        <w:spacing w:after="0" w:line="259" w:lineRule="auto"/>
        <w:rPr>
          <w:sz w:val="20"/>
          <w:szCs w:val="20"/>
          <w:color w:val="auto"/>
        </w:rPr>
      </w:pPr>
      <w:r>
        <w:rPr>
          <w:rFonts w:ascii="Times New Roman" w:cs="Times New Roman" w:eastAsia="Times New Roman" w:hAnsi="Times New Roman"/>
          <w:sz w:val="16"/>
          <w:szCs w:val="16"/>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58"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386080</wp:posOffset>
            </wp:positionV>
            <wp:extent cx="671766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17665" cy="1460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251460</wp:posOffset>
            </wp:positionV>
            <wp:extent cx="671766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17665"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616585</wp:posOffset>
            </wp:positionV>
            <wp:extent cx="715010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39" w:name="page40"/>
    <w:bookmarkEnd w:id="39"/>
    <w:p>
      <w:pPr>
        <w:jc w:val="both"/>
        <w:ind w:firstLine="564"/>
        <w:spacing w:after="0" w:line="257" w:lineRule="auto"/>
        <w:rPr>
          <w:sz w:val="20"/>
          <w:szCs w:val="20"/>
          <w:color w:val="auto"/>
        </w:rPr>
      </w:pPr>
      <w:r>
        <w:rPr>
          <w:rFonts w:ascii="Times New Roman" w:cs="Times New Roman" w:eastAsia="Times New Roman" w:hAnsi="Times New Roman"/>
          <w:sz w:val="16"/>
          <w:szCs w:val="16"/>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60" w:lineRule="exact"/>
        <w:rPr>
          <w:sz w:val="20"/>
          <w:szCs w:val="20"/>
          <w:color w:val="auto"/>
        </w:rPr>
      </w:pPr>
    </w:p>
    <w:p>
      <w:pPr>
        <w:jc w:val="both"/>
        <w:ind w:firstLine="564"/>
        <w:spacing w:after="0" w:line="282" w:lineRule="auto"/>
        <w:rPr>
          <w:sz w:val="20"/>
          <w:szCs w:val="20"/>
          <w:color w:val="auto"/>
        </w:rPr>
      </w:pPr>
      <w:r>
        <w:rPr>
          <w:rFonts w:ascii="Times New Roman" w:cs="Times New Roman" w:eastAsia="Times New Roman" w:hAnsi="Times New Roman"/>
          <w:sz w:val="15"/>
          <w:szCs w:val="15"/>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43" w:lineRule="exact"/>
        <w:rPr>
          <w:sz w:val="20"/>
          <w:szCs w:val="20"/>
          <w:color w:val="auto"/>
        </w:rPr>
      </w:pPr>
    </w:p>
    <w:p>
      <w:pPr>
        <w:jc w:val="both"/>
        <w:ind w:right="20" w:firstLine="564"/>
        <w:spacing w:after="0" w:line="270" w:lineRule="auto"/>
        <w:rPr>
          <w:sz w:val="20"/>
          <w:szCs w:val="20"/>
          <w:color w:val="auto"/>
        </w:rPr>
      </w:pPr>
      <w:r>
        <w:rPr>
          <w:rFonts w:ascii="Times New Roman" w:cs="Times New Roman" w:eastAsia="Times New Roman" w:hAnsi="Times New Roman"/>
          <w:sz w:val="16"/>
          <w:szCs w:val="16"/>
          <w:color w:val="auto"/>
        </w:rPr>
        <w:t>IN WITNESS WHEREOF the undersigned, by authority duly given, has caused this Notice and Questionnaire to be executed and delivered either in person or by its duly authorized agent.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92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Beneficial</w:t>
            </w:r>
          </w:p>
        </w:tc>
      </w:tr>
      <w:tr>
        <w:trPr>
          <w:trHeight w:val="196"/>
        </w:trPr>
        <w:tc>
          <w:tcPr>
            <w:tcW w:w="600" w:type="dxa"/>
            <w:vAlign w:val="bottom"/>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Owner: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-13970</wp:posOffset>
            </wp:positionV>
            <wp:extent cx="287020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70200" cy="14605"/>
                    </a:xfrm>
                    <a:prstGeom prst="rect">
                      <a:avLst/>
                    </a:prstGeom>
                    <a:noFill/>
                  </pic:spPr>
                </pic:pic>
              </a:graphicData>
            </a:graphic>
          </wp:anchor>
        </w:drawing>
      </w:r>
    </w:p>
    <w:p>
      <w:pPr>
        <w:spacing w:after="0" w:line="1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-115570</wp:posOffset>
            </wp:positionV>
            <wp:extent cx="322072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20720" cy="14605"/>
                    </a:xfrm>
                    <a:prstGeom prst="rect">
                      <a:avLst/>
                    </a:prstGeom>
                    <a:noFill/>
                  </pic:spPr>
                </pic:pic>
              </a:graphicData>
            </a:graphic>
          </wp:anchor>
        </w:drawing>
      </w:r>
    </w:p>
    <w:p>
      <w:pPr>
        <w:jc w:val="center"/>
        <w:ind w:left="340"/>
        <w:spacing w:after="0"/>
        <w:rPr>
          <w:sz w:val="20"/>
          <w:szCs w:val="20"/>
          <w:color w:val="auto"/>
        </w:rPr>
      </w:pPr>
      <w:r>
        <w:rPr>
          <w:rFonts w:ascii="Times New Roman" w:cs="Times New Roman" w:eastAsia="Times New Roman" w:hAnsi="Times New Roman"/>
          <w:sz w:val="16"/>
          <w:szCs w:val="16"/>
          <w:color w:val="auto"/>
        </w:rPr>
        <w:t>Title: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FAX A COPY (OR EMAIL A .PDF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010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Annex 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HOLDER REPRESENTATION LETTER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 __, 20__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Northern Ave.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Whom It May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undersigned (the “</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hereby requests that the federal securities law restrictive legend be removed from the book entries representing _________ of shares (the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w:t>
      </w:r>
    </w:p>
    <w:p>
      <w:pPr>
        <w:spacing w:after="0" w:line="3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of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Disc Medicine,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In connection with the legend removal, Holder hereby represents to, and agrees with, you as follows:</w:t>
      </w:r>
    </w:p>
    <w:p>
      <w:pPr>
        <w:spacing w:after="0" w:line="165" w:lineRule="exact"/>
        <w:rPr>
          <w:sz w:val="20"/>
          <w:szCs w:val="20"/>
          <w:color w:val="auto"/>
        </w:rPr>
      </w:pPr>
    </w:p>
    <w:p>
      <w:pPr>
        <w:ind w:left="840" w:hanging="282"/>
        <w:spacing w:after="0"/>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are owned of record and beneficially by Holder.</w:t>
      </w:r>
    </w:p>
    <w:p>
      <w:pPr>
        <w:spacing w:after="0" w:line="191" w:lineRule="exact"/>
        <w:rPr>
          <w:rFonts w:ascii="Times New Roman" w:cs="Times New Roman" w:eastAsia="Times New Roman" w:hAnsi="Times New Roman"/>
          <w:sz w:val="16"/>
          <w:szCs w:val="16"/>
          <w:color w:val="auto"/>
        </w:rPr>
      </w:pPr>
    </w:p>
    <w:p>
      <w:pPr>
        <w:jc w:val="both"/>
        <w:ind w:left="840" w:hanging="282"/>
        <w:spacing w:after="0" w:line="249" w:lineRule="auto"/>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that, if the Shares are not eligible to be sold pursuant to Rule 144 promulgated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any offer, sale or transfer of, or other transaction involving, the Shares will only be made (i) pursuant to the Company’s Registration Statement (the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filed pursuant to the Securities Act, in a transaction contemplated in the “Plan of Distribution” section of the prospectus included in the Registration Statement and in accordance with the terms and conditions set forth in the Registration Rights Agreement, dated December 28, 2022, by and among Disc Medicine, Inc. and Purchasers (the “</w:t>
      </w:r>
      <w:r>
        <w:rPr>
          <w:rFonts w:ascii="Times New Roman" w:cs="Times New Roman" w:eastAsia="Times New Roman" w:hAnsi="Times New Roman"/>
          <w:sz w:val="16"/>
          <w:szCs w:val="16"/>
          <w:u w:val="single" w:color="auto"/>
          <w:color w:val="auto"/>
        </w:rPr>
        <w:t>RRA</w:t>
      </w:r>
      <w:r>
        <w:rPr>
          <w:rFonts w:ascii="Times New Roman" w:cs="Times New Roman" w:eastAsia="Times New Roman" w:hAnsi="Times New Roman"/>
          <w:sz w:val="16"/>
          <w:szCs w:val="16"/>
          <w:color w:val="auto"/>
        </w:rPr>
        <w:t>”), including, but not limited to, the restrictions upon sales that may be imposed as set forth in the RRA or (ii) to an exemption from the registration requirements of the Securities Act subject to receipt of a legal opinion from Goodwin Procter LLP or other counsel acceptable to the Company that such offer, sale or transfer is exempt from the registration requirements of the Securities Act;</w:t>
      </w:r>
    </w:p>
    <w:p>
      <w:pPr>
        <w:spacing w:after="0" w:line="166" w:lineRule="exact"/>
        <w:rPr>
          <w:rFonts w:ascii="Times New Roman" w:cs="Times New Roman" w:eastAsia="Times New Roman" w:hAnsi="Times New Roman"/>
          <w:sz w:val="16"/>
          <w:szCs w:val="16"/>
          <w:color w:val="auto"/>
        </w:rPr>
      </w:pPr>
    </w:p>
    <w:p>
      <w:pPr>
        <w:jc w:val="both"/>
        <w:ind w:left="840" w:hanging="282"/>
        <w:spacing w:after="0" w:line="253" w:lineRule="auto"/>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for the benefit of the Company and Goodwin Procter LLP, that it will (i) not offer and sell, or cause or permit to be offered or sold, any Shares in violation of federal and state securities laws, including, without limitation, prospectus delivery requirements of the Securities Act and (ii) immediately stop selling or transferring Shares pursuant to the Registration Statement upon receipt of written notice from the Company that the Registration Statement may not be used to effect offers, sales or other transfers of the Shares;</w:t>
      </w:r>
    </w:p>
    <w:p>
      <w:pPr>
        <w:spacing w:after="0" w:line="163" w:lineRule="exact"/>
        <w:rPr>
          <w:rFonts w:ascii="Times New Roman" w:cs="Times New Roman" w:eastAsia="Times New Roman" w:hAnsi="Times New Roman"/>
          <w:sz w:val="16"/>
          <w:szCs w:val="16"/>
          <w:color w:val="auto"/>
        </w:rPr>
      </w:pPr>
    </w:p>
    <w:p>
      <w:pPr>
        <w:jc w:val="both"/>
        <w:ind w:left="840" w:hanging="282"/>
        <w:spacing w:after="0" w:line="257" w:lineRule="auto"/>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(or, in the case of individuals, Holder’s employer) has in place internal policies and procedures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010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jc w:val="both"/>
        <w:ind w:left="282" w:hanging="282"/>
        <w:spacing w:after="0" w:line="251"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that, in the event the Company in the future reasonably determines that the Shares should be evidenced by a certificate bearing appropriate restrictive transfer legends (and/or a book-entry including a notation of restricted security status) because the Registration Statement is not available for the resale of the Shares and the Shares are not eligible to be sold pursuant to Rule 144 promulgated under the Securities Act, the undersigned will take all reasonable action to cause all Shares it then owns or controls to be delivered promptly to the Company’s transfer agent in exchange for one or more stock certificates or warrant certificates bearing restrictive legends (and/or book-entries including a notation of restricted security status) deemed appropriate by the Company;</w:t>
      </w:r>
    </w:p>
    <w:p>
      <w:pPr>
        <w:spacing w:after="0" w:line="165" w:lineRule="exact"/>
        <w:rPr>
          <w:rFonts w:ascii="Times New Roman" w:cs="Times New Roman" w:eastAsia="Times New Roman" w:hAnsi="Times New Roman"/>
          <w:sz w:val="16"/>
          <w:szCs w:val="16"/>
          <w:color w:val="auto"/>
        </w:rPr>
      </w:pPr>
    </w:p>
    <w:p>
      <w:pPr>
        <w:jc w:val="both"/>
        <w:ind w:left="282" w:right="20" w:hanging="282"/>
        <w:spacing w:after="0" w:line="253"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acknowledges that the Shares shall remain “restricted securities” as that term is defined for purposes of the Securities Act notwithstanding the removal of their federal securities law restrictive legend, and Holder agrees that it will inform its brokers of the fact that such securities are “restricted securities” before any offer, sale or transfer of, or other transaction involving, the Shares. In addition, Holder shall notify the Company of all brokers in whose name, or on whose behalf, any of the Shares are being held on behalf of Holder; and</w:t>
      </w:r>
    </w:p>
    <w:p>
      <w:pPr>
        <w:spacing w:after="0" w:line="163" w:lineRule="exact"/>
        <w:rPr>
          <w:rFonts w:ascii="Times New Roman" w:cs="Times New Roman" w:eastAsia="Times New Roman" w:hAnsi="Times New Roman"/>
          <w:sz w:val="16"/>
          <w:szCs w:val="16"/>
          <w:color w:val="auto"/>
        </w:rPr>
      </w:pPr>
    </w:p>
    <w:p>
      <w:pPr>
        <w:jc w:val="both"/>
        <w:ind w:left="282" w:hanging="282"/>
        <w:spacing w:after="0" w:line="253"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is familiar with the requirements for effecting resales or transfers of, or other transactions involving, the Shares in compliance with federal and state securities laws and acknowledges and agrees that the Company and Goodwin Procter LLP (together,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are relying on Holder’s representations and agreements in this letter. Holder will indemnify and hold harmless the Indemnified Parties against any and all loss, damage, claim, liability and expense arising out of or resulting from the breach of any such representation or agreement.</w:t>
      </w:r>
    </w:p>
    <w:p>
      <w:pPr>
        <w:spacing w:after="0" w:line="164" w:lineRule="exact"/>
        <w:rPr>
          <w:sz w:val="20"/>
          <w:szCs w:val="20"/>
          <w:color w:val="auto"/>
        </w:rPr>
      </w:pPr>
    </w:p>
    <w:p>
      <w:pPr>
        <w:ind w:left="5062"/>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2" w:lineRule="exact"/>
        <w:rPr>
          <w:sz w:val="20"/>
          <w:szCs w:val="20"/>
          <w:color w:val="auto"/>
        </w:rPr>
      </w:pPr>
    </w:p>
    <w:p>
      <w:pPr>
        <w:ind w:left="5062"/>
        <w:spacing w:after="0"/>
        <w:rPr>
          <w:sz w:val="20"/>
          <w:szCs w:val="20"/>
          <w:color w:val="auto"/>
        </w:rPr>
      </w:pPr>
      <w:r>
        <w:rPr>
          <w:rFonts w:ascii="Times New Roman" w:cs="Times New Roman" w:eastAsia="Times New Roman" w:hAnsi="Times New Roman"/>
          <w:sz w:val="16"/>
          <w:szCs w:val="16"/>
          <w:color w:val="auto"/>
        </w:rPr>
        <w:t>[HOLDER]</w:t>
      </w:r>
    </w:p>
    <w:p>
      <w:pPr>
        <w:spacing w:after="0" w:line="192" w:lineRule="exact"/>
        <w:rPr>
          <w:sz w:val="20"/>
          <w:szCs w:val="20"/>
          <w:color w:val="auto"/>
        </w:rPr>
      </w:pPr>
    </w:p>
    <w:p>
      <w:pPr>
        <w:ind w:left="5062"/>
        <w:spacing w:after="0"/>
        <w:rPr>
          <w:sz w:val="20"/>
          <w:szCs w:val="20"/>
          <w:color w:val="auto"/>
        </w:rPr>
      </w:pPr>
      <w:r>
        <w:rPr>
          <w:rFonts w:ascii="Times New Roman" w:cs="Times New Roman" w:eastAsia="Times New Roman" w:hAnsi="Times New Roman"/>
          <w:sz w:val="16"/>
          <w:szCs w:val="16"/>
          <w:color w:val="auto"/>
        </w:rPr>
        <w:t>By:</w:t>
      </w:r>
    </w:p>
    <w:p>
      <w:pPr>
        <w:spacing w:after="0" w:line="27" w:lineRule="exact"/>
        <w:rPr>
          <w:sz w:val="20"/>
          <w:szCs w:val="20"/>
          <w:color w:val="auto"/>
        </w:rPr>
      </w:pPr>
    </w:p>
    <w:p>
      <w:pPr>
        <w:ind w:left="5062"/>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-113030</wp:posOffset>
            </wp:positionV>
            <wp:extent cx="264668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6680" cy="14605"/>
                    </a:xfrm>
                    <a:prstGeom prst="rect">
                      <a:avLst/>
                    </a:prstGeom>
                    <a:noFill/>
                  </pic:spPr>
                </pic:pic>
              </a:graphicData>
            </a:graphic>
          </wp:anchor>
        </w:drawing>
      </w:r>
    </w:p>
    <w:p>
      <w:pPr>
        <w:jc w:val="center"/>
        <w:ind w:right="218"/>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294005</wp:posOffset>
            </wp:positionV>
            <wp:extent cx="715010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2"/>
          </w:cols>
          <w:pgMar w:left="878" w:top="123"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10.2</w:t>
      </w:r>
    </w:p>
    <w:p>
      <w:pPr>
        <w:spacing w:after="0" w:line="1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CONTINGENT VALUE RIGHTS AGREEMENT</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BETWEEN</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and</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CONTINENTAL STOCK TRANSFER AND TRUST COMPANY</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color w:val="auto"/>
        </w:rPr>
        <w:t>Dated as of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229235</wp:posOffset>
            </wp:positionV>
            <wp:extent cx="715010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40"/>
          </w:cols>
          <w:pgMar w:left="1440" w:top="262" w:right="3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92" w:lineRule="exact"/>
        <w:rPr>
          <w:sz w:val="20"/>
          <w:szCs w:val="20"/>
          <w:color w:val="auto"/>
        </w:rPr>
      </w:pPr>
    </w:p>
    <w:p>
      <w:pPr>
        <w:ind w:firstLine="564"/>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THIS CONTINGENT VALUE RIGHTS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December 29, 2022 is entered into by and among Gemini Therapeutics, Inc.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Continental Stock Transfer and Trust Company, as initial Rights Agent (as defined herein).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PREAMBLE</w:t>
      </w:r>
    </w:p>
    <w:p>
      <w:pPr>
        <w:spacing w:after="0" w:line="194" w:lineRule="exact"/>
        <w:rPr>
          <w:sz w:val="20"/>
          <w:szCs w:val="20"/>
          <w:color w:val="auto"/>
        </w:rPr>
      </w:pPr>
    </w:p>
    <w:p>
      <w:pPr>
        <w:ind w:right="80" w:firstLine="564"/>
        <w:spacing w:after="0" w:line="282" w:lineRule="auto"/>
        <w:rPr>
          <w:sz w:val="20"/>
          <w:szCs w:val="20"/>
          <w:color w:val="auto"/>
        </w:rPr>
      </w:pPr>
      <w:r>
        <w:rPr>
          <w:rFonts w:ascii="Times New Roman" w:cs="Times New Roman" w:eastAsia="Times New Roman" w:hAnsi="Times New Roman"/>
          <w:sz w:val="15"/>
          <w:szCs w:val="15"/>
          <w:color w:val="auto"/>
        </w:rPr>
        <w:t>WHEREAS, Gem, Gemstone Merger Sub, Inc., a Delaware corporation and wholly-owned subsidiary of Gem (“</w:t>
      </w:r>
      <w:r>
        <w:rPr>
          <w:rFonts w:ascii="Times New Roman" w:cs="Times New Roman" w:eastAsia="Times New Roman" w:hAnsi="Times New Roman"/>
          <w:sz w:val="15"/>
          <w:szCs w:val="15"/>
          <w:u w:val="single" w:color="auto"/>
          <w:color w:val="auto"/>
        </w:rPr>
        <w:t>Merger Sub</w:t>
      </w:r>
      <w:r>
        <w:rPr>
          <w:rFonts w:ascii="Times New Roman" w:cs="Times New Roman" w:eastAsia="Times New Roman" w:hAnsi="Times New Roman"/>
          <w:sz w:val="15"/>
          <w:szCs w:val="15"/>
          <w:color w:val="auto"/>
        </w:rPr>
        <w:t>”), and Disc Medicine,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have entered into an Agreement and Plan of Merger and Reorganization, dated as of August 9, 2022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pursuant to which Merger Sub will merge with and into the Company (the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with the Company surviving the Merger as a wholly-owned subsidiary of Gem (the “</w:t>
      </w:r>
      <w:r>
        <w:rPr>
          <w:rFonts w:ascii="Times New Roman" w:cs="Times New Roman" w:eastAsia="Times New Roman" w:hAnsi="Times New Roman"/>
          <w:sz w:val="15"/>
          <w:szCs w:val="15"/>
          <w:u w:val="single" w:color="auto"/>
          <w:color w:val="auto"/>
        </w:rPr>
        <w:t>Surviving Corporation</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right="20" w:firstLine="564"/>
        <w:spacing w:after="0" w:line="257" w:lineRule="auto"/>
        <w:rPr>
          <w:sz w:val="20"/>
          <w:szCs w:val="20"/>
          <w:color w:val="auto"/>
        </w:rPr>
      </w:pPr>
      <w:r>
        <w:rPr>
          <w:rFonts w:ascii="Times New Roman" w:cs="Times New Roman" w:eastAsia="Times New Roman" w:hAnsi="Times New Roman"/>
          <w:sz w:val="16"/>
          <w:szCs w:val="16"/>
          <w:color w:val="auto"/>
        </w:rPr>
        <w:t>WHEREAS, pursuant to the Merger Agreement, and in accordance with the terms and conditions thereof, Gem has agreed to provide to the Holders (as defined herein), who shall initially be Persons who are stockholders of Gem as of immediately prior to the Effective Time, contingent value rights as hereinafter described, by way of a dividend or distribution consistent with the Merger Agreement; and</w:t>
      </w:r>
    </w:p>
    <w:p>
      <w:pPr>
        <w:spacing w:after="0" w:line="160" w:lineRule="exact"/>
        <w:rPr>
          <w:sz w:val="20"/>
          <w:szCs w:val="20"/>
          <w:color w:val="auto"/>
        </w:rPr>
      </w:pPr>
    </w:p>
    <w:p>
      <w:pPr>
        <w:ind w:right="400" w:firstLine="564"/>
        <w:spacing w:after="0" w:line="270" w:lineRule="auto"/>
        <w:rPr>
          <w:sz w:val="20"/>
          <w:szCs w:val="20"/>
          <w:color w:val="auto"/>
        </w:rPr>
      </w:pPr>
      <w:r>
        <w:rPr>
          <w:rFonts w:ascii="Times New Roman" w:cs="Times New Roman" w:eastAsia="Times New Roman" w:hAnsi="Times New Roman"/>
          <w:sz w:val="16"/>
          <w:szCs w:val="16"/>
          <w:color w:val="auto"/>
        </w:rPr>
        <w:t>WHEREAS, the parties have done all things necessary to make the contingent value rights, when issued pursuant to the Merger Agreement and hereunder, the valid obligations of Gem and to make this Agreement a valid and binding agreement of Gem, in accordance with its terms.</w:t>
      </w:r>
    </w:p>
    <w:p>
      <w:pPr>
        <w:spacing w:after="0" w:line="150" w:lineRule="exact"/>
        <w:rPr>
          <w:sz w:val="20"/>
          <w:szCs w:val="20"/>
          <w:color w:val="auto"/>
        </w:rPr>
      </w:pPr>
    </w:p>
    <w:p>
      <w:pPr>
        <w:ind w:right="620" w:firstLine="564"/>
        <w:spacing w:after="0" w:line="270" w:lineRule="auto"/>
        <w:rPr>
          <w:sz w:val="20"/>
          <w:szCs w:val="20"/>
          <w:color w:val="auto"/>
        </w:rPr>
      </w:pPr>
      <w:r>
        <w:rPr>
          <w:rFonts w:ascii="Times New Roman" w:cs="Times New Roman" w:eastAsia="Times New Roman" w:hAnsi="Times New Roman"/>
          <w:sz w:val="16"/>
          <w:szCs w:val="16"/>
          <w:color w:val="auto"/>
        </w:rPr>
        <w:t>NOW, THEREFORE, in consideration of the premises and the consummation of the transactions referred to above, it is mutually covenanted and agreed, for the proportionate benefit of all Holders, as follows: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1.1</w:t>
      </w:r>
      <w:r>
        <w:rPr>
          <w:sz w:val="20"/>
          <w:szCs w:val="20"/>
          <w:color w:val="auto"/>
        </w:rPr>
        <w:tab/>
      </w:r>
      <w:r>
        <w:rPr>
          <w:rFonts w:ascii="Times New Roman" w:cs="Times New Roman" w:eastAsia="Times New Roman" w:hAnsi="Times New Roman"/>
          <w:sz w:val="15"/>
          <w:szCs w:val="15"/>
          <w:i w:val="1"/>
          <w:iCs w:val="1"/>
          <w:color w:val="auto"/>
        </w:rPr>
        <w:t>Definitions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40" w:firstLine="564"/>
        <w:spacing w:after="0" w:line="270" w:lineRule="auto"/>
        <w:rPr>
          <w:sz w:val="20"/>
          <w:szCs w:val="20"/>
          <w:color w:val="auto"/>
        </w:rPr>
      </w:pPr>
      <w:r>
        <w:rPr>
          <w:rFonts w:ascii="Times New Roman" w:cs="Times New Roman" w:eastAsia="Times New Roman" w:hAnsi="Times New Roman"/>
          <w:sz w:val="16"/>
          <w:szCs w:val="16"/>
          <w:color w:val="auto"/>
        </w:rPr>
        <w:t>Capitalized terms used but not otherwise defined herein have the meanings ascribed thereto in the Merger Agreement. The following terms have the meanings ascribed to them as follows:</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Acting Holders</w:t>
      </w:r>
      <w:r>
        <w:rPr>
          <w:rFonts w:ascii="Times New Roman" w:cs="Times New Roman" w:eastAsia="Times New Roman" w:hAnsi="Times New Roman"/>
          <w:sz w:val="16"/>
          <w:szCs w:val="16"/>
          <w:color w:val="auto"/>
        </w:rPr>
        <w:t>” means, at the time of determination, Holders of at least 25% of the outstanding CVRs as set forth on the CVR Register.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right="140" w:firstLine="56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Calendar Quarter</w:t>
      </w:r>
      <w:r>
        <w:rPr>
          <w:rFonts w:ascii="Times New Roman" w:cs="Times New Roman" w:eastAsia="Times New Roman" w:hAnsi="Times New Roman"/>
          <w:sz w:val="16"/>
          <w:szCs w:val="16"/>
          <w:color w:val="auto"/>
        </w:rPr>
        <w:t>” means the successive periods of three (3) consecutive calendar months ending on March 31, June 30, September 30 or December 31, for so long as this Agreement is in effect; provided, however that (a) the first Calendar Quarter shall commence on the date of this Agreement and shall end on the first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means a contingent contractual right of Holders to receive CVR Payments pursuant to the Merger Agreement and this Agreement.</w:t>
      </w:r>
    </w:p>
    <w:p>
      <w:pPr>
        <w:spacing w:after="0" w:line="192" w:lineRule="exact"/>
        <w:rPr>
          <w:sz w:val="20"/>
          <w:szCs w:val="20"/>
          <w:color w:val="auto"/>
        </w:rPr>
      </w:pPr>
    </w:p>
    <w:p>
      <w:pPr>
        <w:ind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Payment</w:t>
      </w:r>
      <w:r>
        <w:rPr>
          <w:rFonts w:ascii="Times New Roman" w:cs="Times New Roman" w:eastAsia="Times New Roman" w:hAnsi="Times New Roman"/>
          <w:sz w:val="16"/>
          <w:szCs w:val="16"/>
          <w:color w:val="auto"/>
        </w:rPr>
        <w:t>” means a number of shares of Gem Common Stock equal to (i) the CVR Proceeds for an applicable Calendar Quarter, divided by (ii) the volume weighted average of their closing market prices for the five (5) trading days ending the day prior to the date of issuance pursuant to this Agreement.</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Period</w:t>
      </w:r>
      <w:r>
        <w:rPr>
          <w:rFonts w:ascii="Times New Roman" w:cs="Times New Roman" w:eastAsia="Times New Roman" w:hAnsi="Times New Roman"/>
          <w:sz w:val="16"/>
          <w:szCs w:val="16"/>
          <w:color w:val="auto"/>
        </w:rPr>
        <w:t>” means the period beginning immediately following the Effective Time and ending on the tenth anniversary of the Closing Date.</w:t>
      </w:r>
    </w:p>
    <w:p>
      <w:pPr>
        <w:spacing w:after="0" w:line="192" w:lineRule="exact"/>
        <w:rPr>
          <w:sz w:val="20"/>
          <w:szCs w:val="20"/>
          <w:color w:val="auto"/>
        </w:rPr>
      </w:pPr>
    </w:p>
    <w:p>
      <w:pPr>
        <w:jc w:val="both"/>
        <w:ind w:right="180" w:firstLine="56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Proceeds</w:t>
      </w:r>
      <w:r>
        <w:rPr>
          <w:rFonts w:ascii="Times New Roman" w:cs="Times New Roman" w:eastAsia="Times New Roman" w:hAnsi="Times New Roman"/>
          <w:sz w:val="16"/>
          <w:szCs w:val="16"/>
          <w:color w:val="auto"/>
        </w:rPr>
        <w:t>” means the amount of Gross Proceeds received by Gem during an applicable Calendar Quarter, less the applicable accrued and reasonably documented Permitted Deductions, in each case as calculated in accordance with GAAP using the policies, methodologies, processes and procedures used to prepare Gem’s most recent year-end financial statements prior to the commencement of such Calendar Quarter.</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300" w:firstLine="56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the sale, license, transfer, disposition or other monetizing event of any Potentially Transferable Asset (including any such sale or disposition or monetizing event of equity securities in any Subsidiary established by Gem during the Disposition Period to hold any right, title or interest in or to any Potentially Transferable Asset), in each case during the Disposition Period.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 Period</w:t>
      </w:r>
      <w:r>
        <w:rPr>
          <w:rFonts w:ascii="Times New Roman" w:cs="Times New Roman" w:eastAsia="Times New Roman" w:hAnsi="Times New Roman"/>
          <w:sz w:val="16"/>
          <w:szCs w:val="16"/>
          <w:color w:val="auto"/>
        </w:rPr>
        <w:t>” means the period beginning on the execution date of the Merger Agreement and ending on the date that is twelve-months after the Closing Date.</w:t>
      </w:r>
    </w:p>
    <w:p>
      <w:pPr>
        <w:spacing w:after="0" w:line="192" w:lineRule="exact"/>
        <w:rPr>
          <w:sz w:val="20"/>
          <w:szCs w:val="20"/>
          <w:color w:val="auto"/>
        </w:rPr>
      </w:pPr>
    </w:p>
    <w:p>
      <w:pPr>
        <w:ind w:right="120" w:firstLine="564"/>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Gross Proceeds</w:t>
      </w:r>
      <w:r>
        <w:rPr>
          <w:rFonts w:ascii="Times New Roman" w:cs="Times New Roman" w:eastAsia="Times New Roman" w:hAnsi="Times New Roman"/>
          <w:sz w:val="15"/>
          <w:szCs w:val="15"/>
          <w:color w:val="auto"/>
        </w:rPr>
        <w:t>” means, without duplication, any and all consideration of any kind that is paid to Gem, or is received by, Gem or any of its Affiliates during the CVR Period in respect of a Disposition.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date of payment to, or receipt by, Gem or its relevant Affiliate, and (B) the value of securities that have no established public market and the value of consideration that consists of other non-cash property, shall be the fair market value thereof as of the date of payment to, or receipt by, Gem or its relevant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15010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5" w:name="page46"/>
    <w:bookmarkEnd w:id="45"/>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at the relevant time, a Person in whose name CVRs are registered in the CVR Register.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320"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of Holders</w:t>
      </w:r>
      <w:r>
        <w:rPr>
          <w:rFonts w:ascii="Times New Roman" w:cs="Times New Roman" w:eastAsia="Times New Roman" w:hAnsi="Times New Roman"/>
          <w:sz w:val="16"/>
          <w:szCs w:val="16"/>
          <w:color w:val="auto"/>
        </w:rPr>
        <w:t>” means, at any time, the registered Holder or Holders of more than 50% of the total number of CVRs registered at such time, as set forth on the CVR Register.</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means a certificate signed by the chief executive officer and the chief financial officer of Gem, in their respective official capacities.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Deductions</w:t>
      </w:r>
      <w:r>
        <w:rPr>
          <w:rFonts w:ascii="Times New Roman" w:cs="Times New Roman" w:eastAsia="Times New Roman" w:hAnsi="Times New Roman"/>
          <w:sz w:val="16"/>
          <w:szCs w:val="16"/>
          <w:color w:val="auto"/>
        </w:rPr>
        <w:t>” means the following costs or expenses, without duplication:</w:t>
      </w:r>
    </w:p>
    <w:p>
      <w:pPr>
        <w:spacing w:after="0" w:line="192" w:lineRule="exact"/>
        <w:rPr>
          <w:sz w:val="20"/>
          <w:szCs w:val="20"/>
          <w:color w:val="auto"/>
        </w:rPr>
      </w:pPr>
    </w:p>
    <w:p>
      <w:pPr>
        <w:ind w:firstLine="1121"/>
        <w:spacing w:after="0" w:line="248" w:lineRule="auto"/>
        <w:tabs>
          <w:tab w:leader="none" w:pos="169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Tax (including any unreimbursed applicable value added or sales taxes) imposed on Gross Proceeds and payable by Gem, the Company or any of their respective Affiliates (regardless of whether the due date for such Taxes arises during or after the Disposition Period) to any tax authority and, without duplication, any income or other similar Taxes payable by Gem, the Company or any of their respective Affiliates that would not have been incurred by Gem, the Company or any of their respective Affiliates but for the Gross Proceeds; provided that, for purposes of calculating income Taxes incurred by Gem, the Company or any of their respective Affiliates in respect of the Gross Proceeds, any such income Taxes shall be computed after taking into account any net operating loss carryforwards or other Tax attributes (including Tax credits) of Gem, the Company or any of their respective Affiliates as of the Closing Date that are available to offset such gain after taking into account any limits of the usability of such attributes, including under Section 382 of the Code (as defined herein) as reasonably determined by a nationally recognized tax advisor (and for the sake of clarity such income taxes shall be calculated without taking into account any net operating losses or other Tax attributes generated by Gem, the Company or any of their respective Affiliates after the Closing Date);</w:t>
      </w:r>
    </w:p>
    <w:p>
      <w:pPr>
        <w:spacing w:after="0" w:line="167" w:lineRule="exact"/>
        <w:rPr>
          <w:rFonts w:ascii="Times New Roman" w:cs="Times New Roman" w:eastAsia="Times New Roman" w:hAnsi="Times New Roman"/>
          <w:sz w:val="16"/>
          <w:szCs w:val="16"/>
          <w:color w:val="auto"/>
        </w:rPr>
      </w:pPr>
    </w:p>
    <w:p>
      <w:pPr>
        <w:ind w:right="60" w:firstLine="1121"/>
        <w:spacing w:after="0" w:line="253" w:lineRule="auto"/>
        <w:tabs>
          <w:tab w:leader="none" w:pos="170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by Gem or any of its Affiliates in respect of its performance of this Agreement following the Closing Date or in respect of its performance of any agreement in connection with any Potentially Transferable Asset, including any costs related to the prosecution, maintenance or enforcement by Gem or any of its Subsidiaries of the intellectual property rights of any such Potentially Transferable Asset (but excluding any costs related to a breach of this Agreement, including costs incurred in litigation in respect of the same);</w:t>
      </w:r>
    </w:p>
    <w:p>
      <w:pPr>
        <w:spacing w:after="0" w:line="163" w:lineRule="exact"/>
        <w:rPr>
          <w:rFonts w:ascii="Times New Roman" w:cs="Times New Roman" w:eastAsia="Times New Roman" w:hAnsi="Times New Roman"/>
          <w:sz w:val="16"/>
          <w:szCs w:val="16"/>
          <w:color w:val="auto"/>
        </w:rPr>
      </w:pPr>
    </w:p>
    <w:p>
      <w:pPr>
        <w:jc w:val="both"/>
        <w:ind w:right="200" w:firstLine="1121"/>
        <w:spacing w:after="0" w:line="253" w:lineRule="auto"/>
        <w:tabs>
          <w:tab w:leader="none" w:pos="169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or accrued by Gem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acting on behalf of Gem or its Affiliates in relation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5010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6" w:name="page47"/>
    <w:bookmarkEnd w:id="46"/>
    <w:p>
      <w:pPr>
        <w:jc w:val="both"/>
        <w:ind w:firstLine="1121"/>
        <w:spacing w:after="0" w:line="257" w:lineRule="auto"/>
        <w:tabs>
          <w:tab w:leader="none" w:pos="170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Losses incurred and paid by Gem or any of its Affiliates arising out of any third party claims, demands, actions or other proceedings relating to or in connection with any Disposition, including Losses actually incurred or paid (or reasonably expected to be actually incurred or paid) in connection with indemnification obligations of Gem or any of its Affiliates set forth in any Sale Agreement;</w:t>
      </w:r>
    </w:p>
    <w:p>
      <w:pPr>
        <w:spacing w:after="0" w:line="160" w:lineRule="exact"/>
        <w:rPr>
          <w:rFonts w:ascii="Times New Roman" w:cs="Times New Roman" w:eastAsia="Times New Roman" w:hAnsi="Times New Roman"/>
          <w:sz w:val="16"/>
          <w:szCs w:val="16"/>
          <w:color w:val="auto"/>
        </w:rPr>
      </w:pPr>
    </w:p>
    <w:p>
      <w:pPr>
        <w:ind w:right="240" w:firstLine="1121"/>
        <w:spacing w:after="0" w:line="270" w:lineRule="auto"/>
        <w:tabs>
          <w:tab w:leader="none" w:pos="169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borne by Gem or any of its Affiliates pursuant to Contracts related to Potentially Transferable Assets, including costs arising from the termination thereof (in each case only to the extent not included in the calculation of Gem Net Cash (as defined in the Merger Agreement); and</w:t>
      </w:r>
    </w:p>
    <w:p>
      <w:pPr>
        <w:spacing w:after="0" w:line="149" w:lineRule="exact"/>
        <w:rPr>
          <w:rFonts w:ascii="Times New Roman" w:cs="Times New Roman" w:eastAsia="Times New Roman" w:hAnsi="Times New Roman"/>
          <w:sz w:val="16"/>
          <w:szCs w:val="16"/>
          <w:color w:val="auto"/>
        </w:rPr>
      </w:pPr>
    </w:p>
    <w:p>
      <w:pPr>
        <w:ind w:right="260" w:firstLine="1121"/>
        <w:spacing w:after="0" w:line="253" w:lineRule="auto"/>
        <w:tabs>
          <w:tab w:leader="none" w:pos="167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which Gem reasonably and in good faith determines (with the approval of the Special Committee) should have been, but were not, deducted from “Gem Net Cash” (as defined in the Merger Agreement) pursuant to clause (B) of such definition, in connection with the Closing of the Merger, to the extent that deduction of such Liabilities would have resulted in a change in the Exchange Ratio under the Merger Agreement were such amounts properly deducted (including after giving effect to the Higher Gem Net Cash Amount and the Lower Gem Net Cash Amount);</w:t>
      </w:r>
    </w:p>
    <w:p>
      <w:pPr>
        <w:spacing w:after="0" w:line="164"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6"/>
          <w:szCs w:val="16"/>
          <w:color w:val="auto"/>
        </w:rPr>
        <w:t>provided that (a) no Permitted Deductions shall be deducted until the aggregate amount of Permitted Deductions exceeds the CVR Expenditure Amount and (b) no Permitted Deductions shall be deducted if they are otherwise deducted from the calculation of Gem Net Cash (as defined in the Merger Agreement).</w:t>
      </w:r>
    </w:p>
    <w:p>
      <w:pPr>
        <w:spacing w:after="0" w:line="148" w:lineRule="exact"/>
        <w:rPr>
          <w:sz w:val="20"/>
          <w:szCs w:val="20"/>
          <w:color w:val="auto"/>
        </w:rPr>
      </w:pPr>
    </w:p>
    <w:p>
      <w:pPr>
        <w:ind w:right="80" w:firstLine="564"/>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means a Transfer of one or more CVRs (i) upon death of a Holder by will or intestacy; (ii) by instrument to an </w:t>
      </w:r>
      <w:r>
        <w:rPr>
          <w:rFonts w:ascii="Times New Roman" w:cs="Times New Roman" w:eastAsia="Times New Roman" w:hAnsi="Times New Roman"/>
          <w:sz w:val="16"/>
          <w:szCs w:val="16"/>
          <w:i w:val="1"/>
          <w:iCs w:val="1"/>
          <w:color w:val="auto"/>
        </w:rPr>
        <w:t>inter vivos</w:t>
      </w:r>
      <w:r>
        <w:rPr>
          <w:rFonts w:ascii="Times New Roman" w:cs="Times New Roman" w:eastAsia="Times New Roman" w:hAnsi="Times New Roman"/>
          <w:sz w:val="16"/>
          <w:szCs w:val="16"/>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if the Holder is a partnership or limited liability company, a distribution by the transferring partnership or limited liability company to its partners or members, as applicable (v) made by operation of law (including a consolidation or merger) or without consideration in connection with the dissolution, liquidation or termination of any corporation, limited liability company, partnership or other entity;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xml:space="preserve">”); (vii) to Gem or its Affiliates; or (viii) as provided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right="380"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50" w:lineRule="exact"/>
        <w:rPr>
          <w:sz w:val="20"/>
          <w:szCs w:val="20"/>
          <w:color w:val="auto"/>
        </w:rPr>
      </w:pPr>
    </w:p>
    <w:p>
      <w:pPr>
        <w:ind w:right="20" w:firstLine="56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Potentially Transferrable Asset</w:t>
      </w:r>
      <w:r>
        <w:rPr>
          <w:rFonts w:ascii="Times New Roman" w:cs="Times New Roman" w:eastAsia="Times New Roman" w:hAnsi="Times New Roman"/>
          <w:sz w:val="16"/>
          <w:szCs w:val="16"/>
          <w:color w:val="auto"/>
        </w:rPr>
        <w:t>” means any and all assets, tangible and intangible, including, without limitation, patents, patent applications, know-how, trade secrets and other intellectual property rights, data, documentation, agreements and licenses, inventory related to drug products and raw materials, and biological materials, which Gem or any of its Subsidiaries owned or had rights to, as of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010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ind w:right="60" w:firstLine="564"/>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has the meaning set forth in Section 4.2.</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has the meaning set forth in Section 4.2.</w:t>
      </w:r>
    </w:p>
    <w:p>
      <w:pPr>
        <w:spacing w:after="0" w:line="192" w:lineRule="exact"/>
        <w:rPr>
          <w:sz w:val="20"/>
          <w:szCs w:val="20"/>
          <w:color w:val="auto"/>
        </w:rPr>
      </w:pPr>
    </w:p>
    <w:p>
      <w:pPr>
        <w:ind w:firstLine="56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CONTINGENT VALUE RIGHTS</w:t>
      </w:r>
    </w:p>
    <w:p>
      <w:pPr>
        <w:spacing w:after="0" w:line="17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2.1</w:t>
      </w:r>
      <w:r>
        <w:rPr>
          <w:sz w:val="20"/>
          <w:szCs w:val="20"/>
          <w:color w:val="auto"/>
        </w:rPr>
        <w:tab/>
      </w:r>
      <w:r>
        <w:rPr>
          <w:rFonts w:ascii="Times New Roman" w:cs="Times New Roman" w:eastAsia="Times New Roman" w:hAnsi="Times New Roman"/>
          <w:sz w:val="15"/>
          <w:szCs w:val="15"/>
          <w:i w:val="1"/>
          <w:iCs w:val="1"/>
          <w:color w:val="auto"/>
        </w:rPr>
        <w:t>Holders of CVRs; Appointment of Rights Agent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100" w:firstLine="1121"/>
        <w:spacing w:after="0" w:line="257" w:lineRule="auto"/>
        <w:tabs>
          <w:tab w:leader="none" w:pos="169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issued and distributed by Gem in the form of a dividend, in connection with the Merger, to the Persons who as of immediately prior to the Effective Time are stockholders of record of Gem or have the right to receive Gem Common Stock as of immediately prior to the Effective Time, as contemplated by the Merger Agreement.</w:t>
      </w:r>
    </w:p>
    <w:p>
      <w:pPr>
        <w:spacing w:after="0" w:line="160" w:lineRule="exact"/>
        <w:rPr>
          <w:rFonts w:ascii="Times New Roman" w:cs="Times New Roman" w:eastAsia="Times New Roman" w:hAnsi="Times New Roman"/>
          <w:sz w:val="16"/>
          <w:szCs w:val="16"/>
          <w:color w:val="auto"/>
        </w:rPr>
      </w:pPr>
    </w:p>
    <w:p>
      <w:pPr>
        <w:ind w:right="160" w:firstLine="1121"/>
        <w:spacing w:after="0" w:line="270" w:lineRule="auto"/>
        <w:tabs>
          <w:tab w:leader="none" w:pos="170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hereby appoints the Rights Agent to act as rights agent for Gem in accordance with the express terms and conditions set forth in this Agreement, and the Rights Agent hereby accepts such appointment.</w:t>
      </w:r>
    </w:p>
    <w:p>
      <w:pPr>
        <w:spacing w:after="0" w:line="14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2.2</w:t>
      </w:r>
      <w:r>
        <w:rPr>
          <w:sz w:val="20"/>
          <w:szCs w:val="20"/>
          <w:color w:val="auto"/>
        </w:rPr>
        <w:tab/>
      </w:r>
      <w:r>
        <w:rPr>
          <w:rFonts w:ascii="Times New Roman" w:cs="Times New Roman" w:eastAsia="Times New Roman" w:hAnsi="Times New Roman"/>
          <w:sz w:val="15"/>
          <w:szCs w:val="15"/>
          <w:i w:val="1"/>
          <w:iCs w:val="1"/>
          <w:color w:val="auto"/>
        </w:rPr>
        <w:t>Non-transferable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60" w:firstLine="564"/>
        <w:spacing w:after="0" w:line="270" w:lineRule="auto"/>
        <w:rPr>
          <w:sz w:val="20"/>
          <w:szCs w:val="20"/>
          <w:color w:val="auto"/>
        </w:rPr>
      </w:pPr>
      <w:r>
        <w:rPr>
          <w:rFonts w:ascii="Times New Roman" w:cs="Times New Roman" w:eastAsia="Times New Roman" w:hAnsi="Times New Roman"/>
          <w:sz w:val="16"/>
          <w:szCs w:val="16"/>
          <w:color w:val="auto"/>
        </w:rPr>
        <w:t xml:space="preserve">A Holder may not at any time Transfer CVRs, other than pursuant to a Permitted Transfer. Any attempted Transfer that is not a Permitted Transfer, in whole or in part, will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effect. The CVRs will not be listed on any quotation system or traded on any securities exchange.</w:t>
      </w:r>
    </w:p>
    <w:p>
      <w:pPr>
        <w:spacing w:after="0" w:line="14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2.3</w:t>
      </w:r>
      <w:r>
        <w:rPr>
          <w:sz w:val="20"/>
          <w:szCs w:val="20"/>
          <w:color w:val="auto"/>
        </w:rPr>
        <w:tab/>
      </w:r>
      <w:r>
        <w:rPr>
          <w:rFonts w:ascii="Times New Roman" w:cs="Times New Roman" w:eastAsia="Times New Roman" w:hAnsi="Times New Roman"/>
          <w:sz w:val="15"/>
          <w:szCs w:val="15"/>
          <w:i w:val="1"/>
          <w:iCs w:val="1"/>
          <w:color w:val="auto"/>
        </w:rPr>
        <w:t>No Certificate; Registration; Registration of Transfer; Change of Address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1680" w:hanging="559"/>
        <w:spacing w:after="0"/>
        <w:tabs>
          <w:tab w:leader="none" w:pos="16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rights and obligations in respect of CVRs derive solely from this Agreement; CVRs will not be evidenced by a certificate or other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15010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ind w:left="-560" w:right="40" w:firstLine="1121"/>
        <w:spacing w:after="0" w:line="251" w:lineRule="auto"/>
        <w:tabs>
          <w:tab w:leader="none" w:pos="114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maintain an up-to-date register (the “</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for the purposes of (i) identifying the Holders of CVRs, (ii) determining Holders’ entitlement to CVRs and (iii) registering the CVRs and Permitted Transfers thereof. The CVR Register will initially show one position for the Rights Agent representing all of the CVRs provided to the holders of shares of Gem Common Stock held immediately prior to Closing. Gem and the Rights Agent may require evidence of payment of a sum sufficient to cover any stamp, documentary, registration, or other tax or governmental charge that is imposed in connection with (and would not have been imposed in connection with (and would have been imposed but for)) any such registration of transfer (or evidence that such taxes and charges are not applicable).</w:t>
      </w:r>
    </w:p>
    <w:p>
      <w:pPr>
        <w:spacing w:after="0" w:line="165" w:lineRule="exact"/>
        <w:rPr>
          <w:rFonts w:ascii="Times New Roman" w:cs="Times New Roman" w:eastAsia="Times New Roman" w:hAnsi="Times New Roman"/>
          <w:sz w:val="16"/>
          <w:szCs w:val="16"/>
          <w:color w:val="auto"/>
        </w:rPr>
      </w:pPr>
    </w:p>
    <w:p>
      <w:pPr>
        <w:ind w:left="-560" w:firstLine="1121"/>
        <w:spacing w:after="0" w:line="247" w:lineRule="auto"/>
        <w:tabs>
          <w:tab w:leader="none" w:pos="11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 on transferability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Gem, evidencing the same right, and entitling the transferee to the same benefits and rights under this Agreement, as those held by the transferor. No transfer of CVRs shall be valid until registered in the CVR Register and any transfer not duly registered in the CVR Register shall be void. Gem shall not be responsible for any costs and expenses related to any transfer or assignment of the CVRs (including the cost of any transfer tax).</w:t>
      </w:r>
    </w:p>
    <w:p>
      <w:pPr>
        <w:spacing w:after="0" w:line="172" w:lineRule="exact"/>
        <w:rPr>
          <w:rFonts w:ascii="Times New Roman" w:cs="Times New Roman" w:eastAsia="Times New Roman" w:hAnsi="Times New Roman"/>
          <w:sz w:val="16"/>
          <w:szCs w:val="16"/>
          <w:color w:val="auto"/>
        </w:rPr>
      </w:pPr>
    </w:p>
    <w:p>
      <w:pPr>
        <w:ind w:left="-560" w:right="60" w:firstLine="1121"/>
        <w:spacing w:after="0" w:line="270" w:lineRule="auto"/>
        <w:tabs>
          <w:tab w:leader="none" w:pos="114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4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auto"/>
        </w:rPr>
        <w:t>Section 2.4</w:t>
      </w:r>
      <w:r>
        <w:rPr>
          <w:sz w:val="20"/>
          <w:szCs w:val="20"/>
          <w:color w:val="auto"/>
        </w:rPr>
        <w:tab/>
      </w:r>
      <w:r>
        <w:rPr>
          <w:rFonts w:ascii="Times New Roman" w:cs="Times New Roman" w:eastAsia="Times New Roman" w:hAnsi="Times New Roman"/>
          <w:sz w:val="15"/>
          <w:szCs w:val="15"/>
          <w:i w:val="1"/>
          <w:iCs w:val="1"/>
          <w:color w:val="auto"/>
        </w:rPr>
        <w:t>Payment Procedures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60" w:firstLine="1121"/>
        <w:spacing w:after="0" w:line="248" w:lineRule="auto"/>
        <w:tabs>
          <w:tab w:leader="none" w:pos="113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forty-five (45) days following the end of each Calendar Quarter following the Closing, Gem shall (i) deliver to the Rights Agent, a certificate (each, a “</w:t>
      </w:r>
      <w:r>
        <w:rPr>
          <w:rFonts w:ascii="Times New Roman" w:cs="Times New Roman" w:eastAsia="Times New Roman" w:hAnsi="Times New Roman"/>
          <w:sz w:val="16"/>
          <w:szCs w:val="16"/>
          <w:u w:val="single" w:color="auto"/>
          <w:color w:val="auto"/>
        </w:rPr>
        <w:t>CVR Certificate</w:t>
      </w:r>
      <w:r>
        <w:rPr>
          <w:rFonts w:ascii="Times New Roman" w:cs="Times New Roman" w:eastAsia="Times New Roman" w:hAnsi="Times New Roman"/>
          <w:sz w:val="16"/>
          <w:szCs w:val="16"/>
          <w:color w:val="auto"/>
        </w:rPr>
        <w:t xml:space="preserve">”) certifying to and specifying in reasonable detail, for such Calendar Quarter, the aggregate amount of (A) the CVR Proceeds received by Gem or its Affiliates during such fiscal quarter (or, in the case of the first delivery of a CVR Certificate hereunder, all CVR Proceeds received through the end of such Calendar Quarter); (B) the Permitted Deductions reflected in such CVR Proceeds; and (C) the CVR Payment payable to Holders, if any, in respect of such CVR Proceeds and (ii) deliver to the Rights Agent, or as the Rights Agent directs, the aggregate CVR Payment (if any). With respect to each Holder, the Rights Agent shall deliver, or cause to be delivered, a number of shares equal to the product determined by multiplying (i) the quotient determined by dividing (A) the number of shares representing the aggregate CVR Payment by (B) the total number of CVRs registered in the CVR Register at such time, by (ii) the number of CVRs registered to such Holder in the CVR Register at such time. For the avoidance of doubt Gem shall have no further liability in respect of the relevant CVR Payment upon delivery of such CVR Payment in accordance with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and the satisfaction of each of Gem’s obligations set forth in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213995</wp:posOffset>
            </wp:positionV>
            <wp:extent cx="715010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23" w:right="339" w:bottom="1440" w:gutter="0" w:footer="0" w:header="0"/>
        </w:sectPr>
      </w:pPr>
    </w:p>
    <w:bookmarkStart w:id="49" w:name="page50"/>
    <w:bookmarkEnd w:id="49"/>
    <w:p>
      <w:pPr>
        <w:ind w:left="-560" w:right="180" w:firstLine="1121"/>
        <w:spacing w:after="0" w:line="282" w:lineRule="auto"/>
        <w:tabs>
          <w:tab w:leader="none" w:pos="1141"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agree to treat the distribution of the CVRs as constituting a nontaxable stock distribution under Section 305 of the U.S. Internal Revenue Code of 1986, as amended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and the receipt of CVR Payments as a nontaxable exercise of the right to receive stock under the CVRs. The parties hereto will not take any position to the contrary on any Tax Return or for other Tax purposes except as required by a change in or clarification to applicable Law after the date hereof.</w:t>
      </w:r>
    </w:p>
    <w:p>
      <w:pPr>
        <w:spacing w:after="0" w:line="143" w:lineRule="exact"/>
        <w:rPr>
          <w:rFonts w:ascii="Times New Roman" w:cs="Times New Roman" w:eastAsia="Times New Roman" w:hAnsi="Times New Roman"/>
          <w:sz w:val="15"/>
          <w:szCs w:val="15"/>
          <w:color w:val="auto"/>
        </w:rPr>
      </w:pPr>
    </w:p>
    <w:p>
      <w:pPr>
        <w:ind w:left="-560" w:right="40" w:firstLine="1121"/>
        <w:spacing w:after="0" w:line="247" w:lineRule="auto"/>
        <w:tabs>
          <w:tab w:leader="none" w:pos="113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and the Rights Agent will be entitled to deduct and withhold, or cause to be deducted and withheld, from any CVR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The Rights Agent shall request from each Holder an IRS Form W-9 or applicable IRS Form W-8 at such time or times as is necessary to permit any payment under this Agreement to be made without U.S. federal backup withholding.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time period for payment of a CVR Payment by the Rights Agent set forth in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will be extended by a period equal to any delay caused by the Holder providing such forms,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further</w:t>
      </w:r>
      <w:r>
        <w:rPr>
          <w:rFonts w:ascii="Times New Roman" w:cs="Times New Roman" w:eastAsia="Times New Roman" w:hAnsi="Times New Roman"/>
          <w:sz w:val="16"/>
          <w:szCs w:val="16"/>
          <w:color w:val="auto"/>
        </w:rPr>
        <w:t>, that in no event shall such period be extended for more than ten (10) Business Days, unless otherwise requested by the Holder for the purpose of delivering such forms and agreed to by the Rights Agent.</w:t>
      </w:r>
    </w:p>
    <w:p>
      <w:pPr>
        <w:spacing w:after="0" w:line="172" w:lineRule="exact"/>
        <w:rPr>
          <w:rFonts w:ascii="Times New Roman" w:cs="Times New Roman" w:eastAsia="Times New Roman" w:hAnsi="Times New Roman"/>
          <w:sz w:val="16"/>
          <w:szCs w:val="16"/>
          <w:color w:val="auto"/>
        </w:rPr>
      </w:pPr>
    </w:p>
    <w:p>
      <w:pPr>
        <w:ind w:left="-560" w:right="60" w:firstLine="1121"/>
        <w:spacing w:after="0" w:line="257" w:lineRule="auto"/>
        <w:tabs>
          <w:tab w:leader="none" w:pos="114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portion of a CVR Payment that remains undistributed to the Holders six (6) months after the end of the applicable Calendar Quarter (including by means of invalid addresses on the CVR Register) will be delivered by the Rights Agent to Gem or a person nominated in writing by Gem (with written notice thereof from Gem to the Rights Agent), and any Holder will thereafter look only to Gem for payment of such CVR Payment (which shall be without interest).</w:t>
      </w:r>
    </w:p>
    <w:p>
      <w:pPr>
        <w:spacing w:after="0" w:line="15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auto"/>
        </w:rPr>
        <w:t>Section 2.5</w:t>
      </w:r>
      <w:r>
        <w:rPr>
          <w:sz w:val="20"/>
          <w:szCs w:val="20"/>
          <w:color w:val="auto"/>
        </w:rPr>
        <w:tab/>
      </w:r>
      <w:r>
        <w:rPr>
          <w:rFonts w:ascii="Times New Roman" w:cs="Times New Roman" w:eastAsia="Times New Roman" w:hAnsi="Times New Roman"/>
          <w:sz w:val="15"/>
          <w:szCs w:val="15"/>
          <w:i w:val="1"/>
          <w:iCs w:val="1"/>
          <w:color w:val="auto"/>
        </w:rPr>
        <w:t>No Voting, Dividends or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1120" w:hanging="559"/>
        <w:spacing w:after="0"/>
        <w:tabs>
          <w:tab w:leader="none" w:pos="11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have any voting or dividend rights, and interest will not accrue on any amounts payable in respect of CVRs.</w:t>
      </w:r>
    </w:p>
    <w:p>
      <w:pPr>
        <w:spacing w:after="0" w:line="191" w:lineRule="exact"/>
        <w:rPr>
          <w:rFonts w:ascii="Times New Roman" w:cs="Times New Roman" w:eastAsia="Times New Roman" w:hAnsi="Times New Roman"/>
          <w:sz w:val="16"/>
          <w:szCs w:val="16"/>
          <w:color w:val="auto"/>
        </w:rPr>
      </w:pPr>
    </w:p>
    <w:p>
      <w:pPr>
        <w:ind w:left="-560" w:firstLine="1121"/>
        <w:spacing w:after="0" w:line="257" w:lineRule="auto"/>
        <w:tabs>
          <w:tab w:leader="none" w:pos="114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represent any equity or ownership interests in Gem or any of its Subsidiaries or in the Surviving Corporation. The sole right of the Holders to receive property hereunder is the right to receive CVR Payments, if any, in accordance with the terms hereof. It is hereby acknowledged and agreed that a CVR shall not constitute a security of Gem or any of its Subsidiaries or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209550</wp:posOffset>
            </wp:positionV>
            <wp:extent cx="715010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23" w:right="319" w:bottom="1440" w:gutter="0" w:footer="0" w:header="0"/>
        </w:sectPr>
      </w:pPr>
    </w:p>
    <w:bookmarkStart w:id="50" w:name="page51"/>
    <w:bookmarkEnd w:id="50"/>
    <w:p>
      <w:pPr>
        <w:ind w:firstLine="1121"/>
        <w:spacing w:after="0" w:line="248" w:lineRule="auto"/>
        <w:tabs>
          <w:tab w:leader="none" w:pos="169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voting in favor of the adoption of the Merger Agreement, the approval of the principal terms of the Merger, and the consummation of the Merger or participating in the Merger and receiving the benefits thereof, including the right to receive CVRs and any consideration payable in connection with the CVRs, each Holder hereby acknowledges and agrees that the CVRs and the possibility of any payment hereunder with respect thereto are highly speculative and subject to numerous factors outside of Gem’s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It is further acknowledged and agreed that neither Gem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6"/>
          <w:szCs w:val="16"/>
          <w:u w:val="single" w:color="auto"/>
          <w:color w:val="auto"/>
        </w:rPr>
        <w:t>Section 2.5(b)</w:t>
      </w:r>
      <w:r>
        <w:rPr>
          <w:rFonts w:ascii="Times New Roman" w:cs="Times New Roman" w:eastAsia="Times New Roman" w:hAnsi="Times New Roman"/>
          <w:sz w:val="16"/>
          <w:szCs w:val="16"/>
          <w:color w:val="auto"/>
        </w:rPr>
        <w:t xml:space="preserve"> is an essential and material term of this Agreement.</w:t>
      </w:r>
    </w:p>
    <w:p>
      <w:pPr>
        <w:spacing w:after="0" w:line="16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2.6</w:t>
      </w:r>
      <w:r>
        <w:rPr>
          <w:sz w:val="20"/>
          <w:szCs w:val="20"/>
          <w:color w:val="auto"/>
        </w:rPr>
        <w:tab/>
      </w:r>
      <w:r>
        <w:rPr>
          <w:rFonts w:ascii="Times New Roman" w:cs="Times New Roman" w:eastAsia="Times New Roman" w:hAnsi="Times New Roman"/>
          <w:sz w:val="15"/>
          <w:szCs w:val="15"/>
          <w:i w:val="1"/>
          <w:iCs w:val="1"/>
          <w:color w:val="auto"/>
        </w:rPr>
        <w:t>Ability to Abandon CVR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64"/>
        <w:spacing w:after="0" w:line="253" w:lineRule="auto"/>
        <w:rPr>
          <w:sz w:val="20"/>
          <w:szCs w:val="20"/>
          <w:color w:val="auto"/>
        </w:rPr>
      </w:pPr>
      <w:r>
        <w:rPr>
          <w:rFonts w:ascii="Times New Roman" w:cs="Times New Roman" w:eastAsia="Times New Roman" w:hAnsi="Times New Roman"/>
          <w:sz w:val="16"/>
          <w:szCs w:val="16"/>
          <w:color w:val="auto"/>
        </w:rPr>
        <w:t>A Holder may at any time, at such Holder’s option, abandon all of such Holder’s remaining rights represented by CVRs by transferring such CVR to Gem or a person nominated in writing by Gem (with written notice thereof from Gem to the Rights Agent) without consideration in compensation therefor, and such rights will be cancelled, with the Rights Agent being promptly notified in writing by Gem of such transfer and cancellation. Nothing in this Agreement is intended to prohibit Gem or its Affiliates from offering to acquire or acquiring CVRs, in private transactions or otherwise, for consideration in its sole discretion.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RIGHTS AGENT</w:t>
      </w:r>
    </w:p>
    <w:p>
      <w:pPr>
        <w:spacing w:after="0" w:line="17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3.1</w:t>
      </w:r>
      <w:r>
        <w:rPr>
          <w:sz w:val="20"/>
          <w:szCs w:val="20"/>
          <w:color w:val="auto"/>
        </w:rPr>
        <w:tab/>
      </w:r>
      <w:r>
        <w:rPr>
          <w:rFonts w:ascii="Times New Roman" w:cs="Times New Roman" w:eastAsia="Times New Roman" w:hAnsi="Times New Roman"/>
          <w:sz w:val="15"/>
          <w:szCs w:val="15"/>
          <w:i w:val="1"/>
          <w:iCs w:val="1"/>
          <w:color w:val="auto"/>
        </w:rPr>
        <w:t>Certain Duties and Responsibilities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0" w:firstLine="1121"/>
        <w:spacing w:after="0" w:line="270" w:lineRule="auto"/>
        <w:tabs>
          <w:tab w:leader="none" w:pos="1692"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Gem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15010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1" w:name="page52"/>
    <w:bookmarkEnd w:id="51"/>
    <w:p>
      <w:pPr>
        <w:ind w:left="-560" w:firstLine="1121"/>
        <w:spacing w:after="0" w:line="251" w:lineRule="auto"/>
        <w:tabs>
          <w:tab w:leader="none" w:pos="114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Gem or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6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auto"/>
        </w:rPr>
        <w:t>Section 3.2</w:t>
      </w:r>
      <w:r>
        <w:rPr>
          <w:sz w:val="20"/>
          <w:szCs w:val="20"/>
          <w:color w:val="auto"/>
        </w:rPr>
        <w:tab/>
      </w:r>
      <w:r>
        <w:rPr>
          <w:rFonts w:ascii="Times New Roman" w:cs="Times New Roman" w:eastAsia="Times New Roman" w:hAnsi="Times New Roman"/>
          <w:sz w:val="15"/>
          <w:szCs w:val="15"/>
          <w:i w:val="1"/>
          <w:iCs w:val="1"/>
          <w:color w:val="auto"/>
        </w:rPr>
        <w:t>Certain Rights of Rights Agent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60" w:right="240" w:firstLine="1121"/>
        <w:spacing w:after="0" w:line="270" w:lineRule="auto"/>
        <w:tabs>
          <w:tab w:leader="none" w:pos="113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149" w:lineRule="exact"/>
        <w:rPr>
          <w:rFonts w:ascii="Times New Roman" w:cs="Times New Roman" w:eastAsia="Times New Roman" w:hAnsi="Times New Roman"/>
          <w:sz w:val="16"/>
          <w:szCs w:val="16"/>
          <w:color w:val="auto"/>
        </w:rPr>
      </w:pPr>
    </w:p>
    <w:p>
      <w:pPr>
        <w:ind w:left="-560" w:right="180" w:firstLine="1121"/>
        <w:spacing w:after="0" w:line="257" w:lineRule="auto"/>
        <w:tabs>
          <w:tab w:leader="none" w:pos="114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and will be protected by Gem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Gem.</w:t>
      </w:r>
    </w:p>
    <w:p>
      <w:pPr>
        <w:spacing w:after="0" w:line="160" w:lineRule="exact"/>
        <w:rPr>
          <w:rFonts w:ascii="Times New Roman" w:cs="Times New Roman" w:eastAsia="Times New Roman" w:hAnsi="Times New Roman"/>
          <w:sz w:val="16"/>
          <w:szCs w:val="16"/>
          <w:color w:val="auto"/>
        </w:rPr>
      </w:pPr>
    </w:p>
    <w:p>
      <w:pPr>
        <w:ind w:left="-560" w:right="100" w:firstLine="1121"/>
        <w:spacing w:after="0" w:line="257" w:lineRule="auto"/>
        <w:tabs>
          <w:tab w:leader="none" w:pos="113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Rights Agent deems it desirable that a matter be proved or established prior to taking or omitting any action hereunder, the Rights Agent may (i) rely upon an Officer’s Certificate and (ii) incur no liability and be held harmless by Gem for or in respect of any action taken or omitted to be taken by it under the provisions of this Agreement in reliance upon such Officer’s Certificate.</w:t>
      </w:r>
    </w:p>
    <w:p>
      <w:pPr>
        <w:spacing w:after="0" w:line="160" w:lineRule="exact"/>
        <w:rPr>
          <w:rFonts w:ascii="Times New Roman" w:cs="Times New Roman" w:eastAsia="Times New Roman" w:hAnsi="Times New Roman"/>
          <w:sz w:val="16"/>
          <w:szCs w:val="16"/>
          <w:color w:val="auto"/>
        </w:rPr>
      </w:pPr>
    </w:p>
    <w:p>
      <w:pPr>
        <w:ind w:left="-560" w:firstLine="1121"/>
        <w:spacing w:after="0" w:line="257" w:lineRule="auto"/>
        <w:tabs>
          <w:tab w:leader="none" w:pos="114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160" w:lineRule="exact"/>
        <w:rPr>
          <w:rFonts w:ascii="Times New Roman" w:cs="Times New Roman" w:eastAsia="Times New Roman" w:hAnsi="Times New Roman"/>
          <w:sz w:val="16"/>
          <w:szCs w:val="16"/>
          <w:color w:val="auto"/>
        </w:rPr>
      </w:pPr>
    </w:p>
    <w:p>
      <w:pPr>
        <w:ind w:left="1120" w:hanging="559"/>
        <w:spacing w:after="0"/>
        <w:tabs>
          <w:tab w:leader="none" w:pos="11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permissive rights of the Rights Agent hereunder will not be construed as a duty.</w:t>
      </w:r>
    </w:p>
    <w:p>
      <w:pPr>
        <w:spacing w:after="0" w:line="191" w:lineRule="exact"/>
        <w:rPr>
          <w:rFonts w:ascii="Times New Roman" w:cs="Times New Roman" w:eastAsia="Times New Roman" w:hAnsi="Times New Roman"/>
          <w:sz w:val="16"/>
          <w:szCs w:val="16"/>
          <w:color w:val="auto"/>
        </w:rPr>
      </w:pPr>
    </w:p>
    <w:p>
      <w:pPr>
        <w:ind w:left="1100" w:hanging="539"/>
        <w:spacing w:after="0"/>
        <w:tabs>
          <w:tab w:leader="none" w:pos="11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required to give any note or surety in respect of the execution of its powers or otherwise under this Agreement.</w:t>
      </w:r>
    </w:p>
    <w:p>
      <w:pPr>
        <w:spacing w:after="0" w:line="191" w:lineRule="exact"/>
        <w:rPr>
          <w:rFonts w:ascii="Times New Roman" w:cs="Times New Roman" w:eastAsia="Times New Roman" w:hAnsi="Times New Roman"/>
          <w:sz w:val="16"/>
          <w:szCs w:val="16"/>
          <w:color w:val="auto"/>
        </w:rPr>
      </w:pPr>
    </w:p>
    <w:p>
      <w:pPr>
        <w:ind w:left="-560" w:right="20" w:firstLine="1121"/>
        <w:spacing w:after="0" w:line="250" w:lineRule="auto"/>
        <w:tabs>
          <w:tab w:leader="none" w:pos="114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212090</wp:posOffset>
            </wp:positionV>
            <wp:extent cx="715010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23" w:right="339" w:bottom="1440" w:gutter="0" w:footer="0" w:header="0"/>
        </w:sectPr>
      </w:pPr>
    </w:p>
    <w:bookmarkStart w:id="52" w:name="page53"/>
    <w:bookmarkEnd w:id="52"/>
    <w:p>
      <w:pPr>
        <w:ind w:left="-1120" w:firstLine="1121"/>
        <w:spacing w:after="0" w:line="248" w:lineRule="auto"/>
        <w:tabs>
          <w:tab w:leader="none" w:pos="58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indemnification provided under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Gem agrees (i) to pay the fees of the Rights Agent in connection with the Rights Agent’s performance of its obligations hereunder, as agreed upon in writing by the Rights Agent and Gem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Gem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if Gem is found by a court of competent jurisdiction to be liable to the Rights Agent or the Holders, as applicable in such suit.</w:t>
      </w:r>
    </w:p>
    <w:p>
      <w:pPr>
        <w:spacing w:after="0" w:line="169" w:lineRule="exact"/>
        <w:rPr>
          <w:rFonts w:ascii="Times New Roman" w:cs="Times New Roman" w:eastAsia="Times New Roman" w:hAnsi="Times New Roman"/>
          <w:sz w:val="16"/>
          <w:szCs w:val="16"/>
          <w:color w:val="auto"/>
        </w:rPr>
      </w:pPr>
    </w:p>
    <w:p>
      <w:pPr>
        <w:ind w:left="-1120" w:right="80" w:firstLine="1121"/>
        <w:spacing w:after="0" w:line="257" w:lineRule="auto"/>
        <w:tabs>
          <w:tab w:leader="none" w:pos="54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60" w:lineRule="exact"/>
        <w:rPr>
          <w:rFonts w:ascii="Times New Roman" w:cs="Times New Roman" w:eastAsia="Times New Roman" w:hAnsi="Times New Roman"/>
          <w:sz w:val="16"/>
          <w:szCs w:val="16"/>
          <w:color w:val="auto"/>
        </w:rPr>
      </w:pPr>
    </w:p>
    <w:p>
      <w:pPr>
        <w:jc w:val="both"/>
        <w:ind w:left="-1120" w:right="60" w:firstLine="1121"/>
        <w:spacing w:after="0" w:line="257" w:lineRule="auto"/>
        <w:tabs>
          <w:tab w:leader="none" w:pos="54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160" w:lineRule="exact"/>
        <w:rPr>
          <w:rFonts w:ascii="Times New Roman" w:cs="Times New Roman" w:eastAsia="Times New Roman" w:hAnsi="Times New Roman"/>
          <w:sz w:val="16"/>
          <w:szCs w:val="16"/>
          <w:color w:val="auto"/>
        </w:rPr>
      </w:pPr>
    </w:p>
    <w:p>
      <w:pPr>
        <w:jc w:val="both"/>
        <w:ind w:left="-1120" w:right="20" w:firstLine="1121"/>
        <w:spacing w:after="0" w:line="253" w:lineRule="auto"/>
        <w:tabs>
          <w:tab w:leader="none" w:pos="58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Gem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63" w:lineRule="exact"/>
        <w:rPr>
          <w:rFonts w:ascii="Times New Roman" w:cs="Times New Roman" w:eastAsia="Times New Roman" w:hAnsi="Times New Roman"/>
          <w:sz w:val="16"/>
          <w:szCs w:val="16"/>
          <w:color w:val="auto"/>
        </w:rPr>
      </w:pPr>
    </w:p>
    <w:p>
      <w:pPr>
        <w:ind w:left="-1120" w:right="540" w:firstLine="1121"/>
        <w:spacing w:after="0" w:line="304" w:lineRule="auto"/>
        <w:tabs>
          <w:tab w:leader="none" w:pos="54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Gem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187960</wp:posOffset>
            </wp:positionV>
            <wp:extent cx="715010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3" w:name="page54"/>
    <w:bookmarkEnd w:id="53"/>
    <w:p>
      <w:pPr>
        <w:ind w:left="-560" w:firstLine="1121"/>
        <w:spacing w:after="0" w:line="270" w:lineRule="auto"/>
        <w:tabs>
          <w:tab w:leader="none" w:pos="11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Gem only.</w:t>
      </w:r>
    </w:p>
    <w:p>
      <w:pPr>
        <w:spacing w:after="0" w:line="149" w:lineRule="exact"/>
        <w:rPr>
          <w:rFonts w:ascii="Times New Roman" w:cs="Times New Roman" w:eastAsia="Times New Roman" w:hAnsi="Times New Roman"/>
          <w:sz w:val="16"/>
          <w:szCs w:val="16"/>
          <w:color w:val="auto"/>
        </w:rPr>
      </w:pPr>
    </w:p>
    <w:p>
      <w:pPr>
        <w:ind w:left="-560" w:right="60" w:firstLine="1121"/>
        <w:spacing w:after="0" w:line="253" w:lineRule="auto"/>
        <w:tabs>
          <w:tab w:leader="none" w:pos="114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act hereunder solely as agent for Gem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Gem, including, without limiting the generality of the foregoing, any duty or responsibility to initiate or attempt to initiate any proceedings at law or otherwise or to make any demand upon Gem.</w:t>
      </w:r>
    </w:p>
    <w:p>
      <w:pPr>
        <w:spacing w:after="0" w:line="163" w:lineRule="exact"/>
        <w:rPr>
          <w:rFonts w:ascii="Times New Roman" w:cs="Times New Roman" w:eastAsia="Times New Roman" w:hAnsi="Times New Roman"/>
          <w:sz w:val="16"/>
          <w:szCs w:val="16"/>
          <w:color w:val="auto"/>
        </w:rPr>
      </w:pPr>
    </w:p>
    <w:p>
      <w:pPr>
        <w:jc w:val="both"/>
        <w:ind w:left="-560" w:right="80" w:firstLine="1121"/>
        <w:spacing w:after="0" w:line="253" w:lineRule="auto"/>
        <w:tabs>
          <w:tab w:leader="none" w:pos="114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63" w:lineRule="exact"/>
        <w:rPr>
          <w:rFonts w:ascii="Times New Roman" w:cs="Times New Roman" w:eastAsia="Times New Roman" w:hAnsi="Times New Roman"/>
          <w:sz w:val="16"/>
          <w:szCs w:val="16"/>
          <w:color w:val="auto"/>
        </w:rPr>
      </w:pPr>
    </w:p>
    <w:p>
      <w:pPr>
        <w:ind w:left="-560" w:right="240" w:firstLine="1121"/>
        <w:spacing w:after="0" w:line="270" w:lineRule="auto"/>
        <w:tabs>
          <w:tab w:leader="none" w:pos="114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be liable or responsible for any failure of Gem to comply with any of its obligations relating to any registration statement filed with the Securities and Exchange Commission or this Agreement, including without limitation obligations under applicable regulation or law.</w:t>
      </w:r>
    </w:p>
    <w:p>
      <w:pPr>
        <w:spacing w:after="0" w:line="149" w:lineRule="exact"/>
        <w:rPr>
          <w:rFonts w:ascii="Times New Roman" w:cs="Times New Roman" w:eastAsia="Times New Roman" w:hAnsi="Times New Roman"/>
          <w:sz w:val="16"/>
          <w:szCs w:val="16"/>
          <w:color w:val="auto"/>
        </w:rPr>
      </w:pPr>
    </w:p>
    <w:p>
      <w:pPr>
        <w:ind w:left="-560" w:right="140" w:firstLine="1121"/>
        <w:spacing w:after="0" w:line="270" w:lineRule="auto"/>
        <w:tabs>
          <w:tab w:leader="none" w:pos="114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obligations of Gem and the rights of the Rights Agent under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shall survive the expiration of the CVRs and the termination of this Agreement and the resignation, replacement or removal of the Rights Agent.</w:t>
      </w:r>
    </w:p>
    <w:p>
      <w:pPr>
        <w:spacing w:after="0" w:line="14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auto"/>
        </w:rPr>
        <w:t>Section 3.3</w:t>
      </w:r>
      <w:r>
        <w:rPr>
          <w:sz w:val="20"/>
          <w:szCs w:val="20"/>
          <w:color w:val="auto"/>
        </w:rPr>
        <w:tab/>
      </w:r>
      <w:r>
        <w:rPr>
          <w:rFonts w:ascii="Times New Roman" w:cs="Times New Roman" w:eastAsia="Times New Roman" w:hAnsi="Times New Roman"/>
          <w:sz w:val="15"/>
          <w:szCs w:val="15"/>
          <w:i w:val="1"/>
          <w:iCs w:val="1"/>
          <w:color w:val="auto"/>
        </w:rPr>
        <w:t>Resignation and Removal; Appointment of Successor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60" w:right="160" w:firstLine="1121"/>
        <w:spacing w:after="0" w:line="257" w:lineRule="auto"/>
        <w:tabs>
          <w:tab w:leader="none" w:pos="113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resign at any time by written notice to Gem.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60" w:lineRule="exact"/>
        <w:rPr>
          <w:rFonts w:ascii="Times New Roman" w:cs="Times New Roman" w:eastAsia="Times New Roman" w:hAnsi="Times New Roman"/>
          <w:sz w:val="16"/>
          <w:szCs w:val="16"/>
          <w:color w:val="auto"/>
        </w:rPr>
      </w:pPr>
    </w:p>
    <w:p>
      <w:pPr>
        <w:ind w:left="-560" w:right="160" w:firstLine="1121"/>
        <w:spacing w:after="0" w:line="270" w:lineRule="auto"/>
        <w:tabs>
          <w:tab w:leader="none" w:pos="114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149" w:lineRule="exact"/>
        <w:rPr>
          <w:rFonts w:ascii="Times New Roman" w:cs="Times New Roman" w:eastAsia="Times New Roman" w:hAnsi="Times New Roman"/>
          <w:sz w:val="16"/>
          <w:szCs w:val="16"/>
          <w:color w:val="auto"/>
        </w:rPr>
      </w:pPr>
    </w:p>
    <w:p>
      <w:pPr>
        <w:ind w:left="-560" w:firstLine="1121"/>
        <w:spacing w:after="0" w:line="251" w:lineRule="auto"/>
        <w:tabs>
          <w:tab w:leader="none" w:pos="113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Rights Agent resigns, is removed or becomes incapable of acting, Gem will promptly appoint a qualified successor Rights Agent. Notwithstanding the foregoing, if Gem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become the Rights Agent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212090</wp:posOffset>
            </wp:positionV>
            <wp:extent cx="715010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23" w:right="339" w:bottom="1440" w:gutter="0" w:footer="0" w:header="0"/>
        </w:sectPr>
      </w:pPr>
    </w:p>
    <w:bookmarkStart w:id="54" w:name="page55"/>
    <w:bookmarkEnd w:id="54"/>
    <w:p>
      <w:pPr>
        <w:ind w:right="280" w:firstLine="1121"/>
        <w:spacing w:after="0" w:line="257" w:lineRule="auto"/>
        <w:tabs>
          <w:tab w:leader="none" w:pos="170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will give notice to the Holders of each resignation or removal of the Rights Agent and each appointment of a successor Rights Agent in accordance with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Each notice will include the name and address of the successor Rights Agent. If Gem fails to send such notice within ten (10) Business Days after acceptance of appointment by a successor Rights Agent, the successor Rights Agent will cause the notice to be mailed at the expense of Gem.</w:t>
      </w:r>
    </w:p>
    <w:p>
      <w:pPr>
        <w:spacing w:after="0" w:line="160" w:lineRule="exact"/>
        <w:rPr>
          <w:rFonts w:ascii="Times New Roman" w:cs="Times New Roman" w:eastAsia="Times New Roman" w:hAnsi="Times New Roman"/>
          <w:sz w:val="16"/>
          <w:szCs w:val="16"/>
          <w:color w:val="auto"/>
        </w:rPr>
      </w:pPr>
    </w:p>
    <w:p>
      <w:pPr>
        <w:ind w:right="100" w:firstLine="1121"/>
        <w:spacing w:after="0" w:line="270" w:lineRule="auto"/>
        <w:tabs>
          <w:tab w:leader="none" w:pos="169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unless consented to in writing by the Acting Holders, Gem will not appoint as a successor Rights Agent any Person that is not a stock transfer agent of national reputation or the corporate trust department of a commercial bank.</w:t>
      </w:r>
    </w:p>
    <w:p>
      <w:pPr>
        <w:spacing w:after="0" w:line="149" w:lineRule="exact"/>
        <w:rPr>
          <w:rFonts w:ascii="Times New Roman" w:cs="Times New Roman" w:eastAsia="Times New Roman" w:hAnsi="Times New Roman"/>
          <w:sz w:val="16"/>
          <w:szCs w:val="16"/>
          <w:color w:val="auto"/>
        </w:rPr>
      </w:pPr>
    </w:p>
    <w:p>
      <w:pPr>
        <w:ind w:right="140" w:firstLine="1121"/>
        <w:spacing w:after="0" w:line="257" w:lineRule="auto"/>
        <w:tabs>
          <w:tab w:leader="none" w:pos="167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reasonably cooperate with Gem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5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3.4</w:t>
      </w:r>
      <w:r>
        <w:rPr>
          <w:sz w:val="20"/>
          <w:szCs w:val="20"/>
          <w:color w:val="auto"/>
        </w:rPr>
        <w:tab/>
      </w:r>
      <w:r>
        <w:rPr>
          <w:rFonts w:ascii="Times New Roman" w:cs="Times New Roman" w:eastAsia="Times New Roman" w:hAnsi="Times New Roman"/>
          <w:sz w:val="15"/>
          <w:szCs w:val="15"/>
          <w:i w:val="1"/>
          <w:iCs w:val="1"/>
          <w:color w:val="auto"/>
        </w:rPr>
        <w:t>Acceptance of Appointment by Successor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80" w:firstLine="383"/>
        <w:spacing w:after="0" w:line="275" w:lineRule="auto"/>
        <w:rPr>
          <w:sz w:val="20"/>
          <w:szCs w:val="20"/>
          <w:color w:val="auto"/>
        </w:rPr>
      </w:pPr>
      <w:r>
        <w:rPr>
          <w:rFonts w:ascii="Times New Roman" w:cs="Times New Roman" w:eastAsia="Times New Roman" w:hAnsi="Times New Roman"/>
          <w:sz w:val="15"/>
          <w:szCs w:val="15"/>
          <w:color w:val="auto"/>
        </w:rPr>
        <w:t xml:space="preserve">Every successor Rights Agent appointed hereunder will, at or prior to such appointment, execute, acknowledge and deliver to Gem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upon the request of Gem or the successor Rights Agent, such resigning or removed Rights Agent will execute and deliver an instrument transferring to such successor Rights Agent all the rights, powers and trusts of such resigning or removed Rights Agent.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7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4.1</w:t>
      </w:r>
      <w:r>
        <w:rPr>
          <w:sz w:val="20"/>
          <w:szCs w:val="20"/>
          <w:color w:val="auto"/>
        </w:rPr>
        <w:tab/>
      </w:r>
      <w:r>
        <w:rPr>
          <w:rFonts w:ascii="Times New Roman" w:cs="Times New Roman" w:eastAsia="Times New Roman" w:hAnsi="Times New Roman"/>
          <w:sz w:val="15"/>
          <w:szCs w:val="15"/>
          <w:i w:val="1"/>
          <w:iCs w:val="1"/>
          <w:color w:val="auto"/>
        </w:rPr>
        <w:t>List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383"/>
        <w:spacing w:after="0" w:line="270" w:lineRule="auto"/>
        <w:rPr>
          <w:sz w:val="20"/>
          <w:szCs w:val="20"/>
          <w:color w:val="auto"/>
        </w:rPr>
      </w:pPr>
      <w:r>
        <w:rPr>
          <w:rFonts w:ascii="Times New Roman" w:cs="Times New Roman" w:eastAsia="Times New Roman" w:hAnsi="Times New Roman"/>
          <w:sz w:val="16"/>
          <w:szCs w:val="16"/>
          <w:color w:val="auto"/>
        </w:rPr>
        <w:t>Gem will furnish or cause to be furnished to the Rights Agent, in such form as Gem receives from Gem’s transfer agent (or other agent performing similar services for Gem), the names and addresses of the Holders within fifteen (15) Business Days following the Closing Date.</w:t>
      </w:r>
    </w:p>
    <w:p>
      <w:pPr>
        <w:spacing w:after="0" w:line="14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4.2</w:t>
      </w:r>
      <w:r>
        <w:rPr>
          <w:sz w:val="20"/>
          <w:szCs w:val="20"/>
          <w:color w:val="auto"/>
        </w:rPr>
        <w:tab/>
      </w:r>
      <w:r>
        <w:rPr>
          <w:rFonts w:ascii="Times New Roman" w:cs="Times New Roman" w:eastAsia="Times New Roman" w:hAnsi="Times New Roman"/>
          <w:sz w:val="15"/>
          <w:szCs w:val="15"/>
          <w:i w:val="1"/>
          <w:iCs w:val="1"/>
          <w:color w:val="auto"/>
        </w:rPr>
        <w:t>CVR Committee; Efforts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010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ind w:left="-1120" w:right="20" w:firstLine="1121"/>
        <w:spacing w:after="0" w:line="251" w:lineRule="auto"/>
        <w:tabs>
          <w:tab w:leader="none" w:pos="57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has delegated, to a special committee of the Gem Board comprised exclusively of Georges Gemayel (the “</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the sole responsibility, authority and discretion during the Disposition Period with respect to (i) managing the Potentially Transferable Assets, and (ii) conducting any sale or transfer process (including engagement of advisors) with respect to a Disposition during the Disposition Period. The Special Committee shall also be empowered with the authority to authorize and direct any officer of Gem to negotiate, execute and deliver a definitive written agreement with respect to a Disposition (a “</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in the name and on behalf of Gem, as well as to identify and retain advisers and consultants.</w:t>
      </w:r>
    </w:p>
    <w:p>
      <w:pPr>
        <w:spacing w:after="0" w:line="165" w:lineRule="exact"/>
        <w:rPr>
          <w:rFonts w:ascii="Times New Roman" w:cs="Times New Roman" w:eastAsia="Times New Roman" w:hAnsi="Times New Roman"/>
          <w:sz w:val="16"/>
          <w:szCs w:val="16"/>
          <w:color w:val="auto"/>
        </w:rPr>
      </w:pPr>
    </w:p>
    <w:p>
      <w:pPr>
        <w:jc w:val="both"/>
        <w:ind w:left="-1120" w:right="120" w:firstLine="1121"/>
        <w:spacing w:after="0" w:line="253" w:lineRule="auto"/>
        <w:tabs>
          <w:tab w:leader="none" w:pos="58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delegation of responsibility and authority to the Special Committee set forth in Section 4.2(a) shall not be revoked or modified at any time during the Disposition Period. The Special Committee and the Gem Board shall not have any liability to the Holders for any actions taken or not taken in connection with the matters set forth herein. No provision of this Agreement shall require the Special Committee or any members thereof to expend or risk its, his or her own funds or otherwise incur any financial liability in the performance of any duties hereunder or in the exercise of any rights or powers.</w:t>
      </w:r>
    </w:p>
    <w:p>
      <w:pPr>
        <w:spacing w:after="0" w:line="163" w:lineRule="exact"/>
        <w:rPr>
          <w:rFonts w:ascii="Times New Roman" w:cs="Times New Roman" w:eastAsia="Times New Roman" w:hAnsi="Times New Roman"/>
          <w:sz w:val="16"/>
          <w:szCs w:val="16"/>
          <w:color w:val="auto"/>
        </w:rPr>
      </w:pPr>
    </w:p>
    <w:p>
      <w:pPr>
        <w:ind w:left="-1120" w:right="40" w:firstLine="1121"/>
        <w:spacing w:after="0" w:line="253" w:lineRule="auto"/>
        <w:tabs>
          <w:tab w:leader="none" w:pos="57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shall be intended third-party beneficiaries of the provisions of this Agreement and shall be entitled to specifically enforce the terms hereof; provided, that under no circumstances shall the rights of Holders as third-party beneficiaries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be enforceable by such Holders or any other Person acting for or on their behalf other than the Special Committee. The Special Committee has the sole power and authority to act on behalf of the Holders in enforcing any of their rights hereunder.</w:t>
      </w:r>
    </w:p>
    <w:p>
      <w:pPr>
        <w:spacing w:after="0" w:line="163" w:lineRule="exact"/>
        <w:rPr>
          <w:rFonts w:ascii="Times New Roman" w:cs="Times New Roman" w:eastAsia="Times New Roman" w:hAnsi="Times New Roman"/>
          <w:sz w:val="16"/>
          <w:szCs w:val="16"/>
          <w:color w:val="auto"/>
        </w:rPr>
      </w:pPr>
    </w:p>
    <w:p>
      <w:pPr>
        <w:jc w:val="both"/>
        <w:ind w:left="-1120" w:right="120" w:firstLine="1121"/>
        <w:spacing w:after="0" w:line="253" w:lineRule="auto"/>
        <w:tabs>
          <w:tab w:leader="none" w:pos="58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Disposition Period, Gem will, and will cause its Subsidiaries to, use commercially reasonable efforts (i) to utilize the CVR Expenditure Amount to maintain the Potentially Transferable Assets unless otherwise approved by the Special Committee, and (ii) effectuate a Disposition of the Potentially Transferable Assets, at the direction of the Special Committee, including the negotiation and execution of a Sale Agreement and completion of the transactions contemplated thereby. Further, Gem will not take any actions for the primary purpose of frustrating the payment of CVR Proceeds.</w:t>
      </w:r>
    </w:p>
    <w:p>
      <w:pPr>
        <w:spacing w:after="0" w:line="163" w:lineRule="exact"/>
        <w:rPr>
          <w:rFonts w:ascii="Times New Roman" w:cs="Times New Roman" w:eastAsia="Times New Roman" w:hAnsi="Times New Roman"/>
          <w:sz w:val="16"/>
          <w:szCs w:val="16"/>
          <w:color w:val="auto"/>
        </w:rPr>
      </w:pPr>
    </w:p>
    <w:p>
      <w:pPr>
        <w:ind w:left="-1120" w:firstLine="1121"/>
        <w:spacing w:after="0" w:line="248" w:lineRule="auto"/>
        <w:tabs>
          <w:tab w:leader="none" w:pos="57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foregoing clause (d), (i) the Holders acknowledge that Gem has a fiduciary obligation to operate its business in the best interests of its stockholders, and any potential obligation to pay CVR Proceeds will not create any express or implied obligation to operate its business in any particular manner in order to maximize such CVR Proceeds, (ii) except as expressly set forth in this Agreement, the Holders are not relying on any representation of Gem or any other Person with regard to any Disposition or other action involving the Potentially Transferrable Assets following the Closing, and neither Gem nor any other Person has provided, or can provide, any assurance to the Holders that any CVR Proceeds will in fact be earned and paid, and (iii) none of Gem or any of its Subsidiaries, officers or directors shall have any obligation or liability whatsoever to any Person relating to or in connection with any action, or failure to act, with respect to the sale of Potentially Transferable Assets. Gem and its Affiliates will not be required to expend any out-of-pocket amounts in excess of the CVR Expenditure Amount during the Disposition Period, but, for clarity, any amounts which are or will become payable upon consummation of the Disposition and/or the payment of CVR Proceeds and which constitute Permitted Deductions shall be disregarded for purposes of the first clause of this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213995</wp:posOffset>
            </wp:positionV>
            <wp:extent cx="715010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6" w:name="page57"/>
    <w:bookmarkEnd w:id="56"/>
    <w:p>
      <w:pPr>
        <w:ind w:right="320" w:firstLine="1121"/>
        <w:spacing w:after="0" w:line="270" w:lineRule="auto"/>
        <w:tabs>
          <w:tab w:leader="none" w:pos="167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Disposition Period, Gem shall be permitted to take any action in respect of the Potentially Transferable Assets in order to satisfy any wind-down and termination Liabilities of the Potentially Transferable Assets.</w:t>
      </w:r>
    </w:p>
    <w:p>
      <w:pPr>
        <w:spacing w:after="0" w:line="148" w:lineRule="exact"/>
        <w:rPr>
          <w:sz w:val="20"/>
          <w:szCs w:val="20"/>
          <w:color w:val="auto"/>
        </w:rPr>
      </w:pPr>
    </w:p>
    <w:p>
      <w:pPr>
        <w:ind w:right="140" w:firstLine="564"/>
        <w:spacing w:after="0" w:line="284" w:lineRule="auto"/>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i w:val="1"/>
          <w:iCs w:val="1"/>
          <w:color w:val="auto"/>
        </w:rPr>
        <w:t>Prohibited Actions</w:t>
      </w:r>
      <w:r>
        <w:rPr>
          <w:rFonts w:ascii="Times New Roman" w:cs="Times New Roman" w:eastAsia="Times New Roman" w:hAnsi="Times New Roman"/>
          <w:sz w:val="15"/>
          <w:szCs w:val="15"/>
          <w:color w:val="auto"/>
        </w:rPr>
        <w:t>. Unless approved by written consent or resolution by the Special Committee, prior to the end of the Disposition Period, (a) Gem shall not grant any lien, security interest, pledge or similar interest in, or otherwise sell or Transfer, any Potentially Transferable Assets or any CVR Proceeds, and (b) Gem shall not, and shall not permit its Affiliates to, grant, assign, transfer or otherwise convey any Potentially Transferable Assets (including any option to obtain rights) to any third party.</w:t>
      </w:r>
    </w:p>
    <w:p>
      <w:pPr>
        <w:spacing w:after="0" w:line="139" w:lineRule="exact"/>
        <w:rPr>
          <w:sz w:val="20"/>
          <w:szCs w:val="20"/>
          <w:color w:val="auto"/>
        </w:rPr>
      </w:pPr>
    </w:p>
    <w:p>
      <w:pPr>
        <w:ind w:right="160" w:firstLine="564"/>
        <w:spacing w:after="0" w:line="273" w:lineRule="auto"/>
        <w:rPr>
          <w:sz w:val="20"/>
          <w:szCs w:val="20"/>
          <w:color w:val="auto"/>
        </w:rPr>
      </w:pPr>
      <w:r>
        <w:rPr>
          <w:rFonts w:ascii="Times New Roman" w:cs="Times New Roman" w:eastAsia="Times New Roman" w:hAnsi="Times New Roman"/>
          <w:sz w:val="16"/>
          <w:szCs w:val="16"/>
          <w:i w:val="1"/>
          <w:iCs w:val="1"/>
          <w:color w:val="auto"/>
        </w:rPr>
        <w:t>Section 4.4 Books and Records.</w:t>
      </w:r>
      <w:r>
        <w:rPr>
          <w:rFonts w:ascii="Times New Roman" w:cs="Times New Roman" w:eastAsia="Times New Roman" w:hAnsi="Times New Roman"/>
          <w:sz w:val="16"/>
          <w:szCs w:val="16"/>
          <w:color w:val="auto"/>
        </w:rPr>
        <w:t>Until the end of the CVR Period, Gem shall, and shall cause its Affiliates to, keep true, complete and accurate records in sufficient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detail to support the applicable CVR Payments payable hereunder in accordance with the terms specified in this Agreement.</w:t>
      </w:r>
    </w:p>
    <w:p>
      <w:pPr>
        <w:spacing w:after="0" w:line="145" w:lineRule="exact"/>
        <w:rPr>
          <w:sz w:val="20"/>
          <w:szCs w:val="20"/>
          <w:color w:val="auto"/>
        </w:rPr>
      </w:pPr>
    </w:p>
    <w:p>
      <w:pPr>
        <w:ind w:firstLine="564"/>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Section 4.5 Audits. </w:t>
      </w:r>
      <w:r>
        <w:rPr>
          <w:rFonts w:ascii="Times New Roman" w:cs="Times New Roman" w:eastAsia="Times New Roman" w:hAnsi="Times New Roman"/>
          <w:sz w:val="16"/>
          <w:szCs w:val="16"/>
          <w:color w:val="auto"/>
        </w:rPr>
        <w:t>Gem agrees to maintain, for at least two years after the last possible CVR Payment, all books and records relevant to the calculation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Deductions. Subject to reasonable advance written notice from the Acting Holders and prior execution and delivery by it and an independent accounting firm of national reputation chosen by the Acting Holders (the “</w:t>
      </w:r>
      <w:r>
        <w:rPr>
          <w:rFonts w:ascii="Times New Roman" w:cs="Times New Roman" w:eastAsia="Times New Roman" w:hAnsi="Times New Roman"/>
          <w:sz w:val="16"/>
          <w:szCs w:val="16"/>
          <w:u w:val="single" w:color="auto"/>
          <w:color w:val="auto"/>
        </w:rPr>
        <w:t>Accountant</w:t>
      </w:r>
      <w:r>
        <w:rPr>
          <w:rFonts w:ascii="Times New Roman" w:cs="Times New Roman" w:eastAsia="Times New Roman" w:hAnsi="Times New Roman"/>
          <w:sz w:val="16"/>
          <w:szCs w:val="16"/>
          <w:color w:val="auto"/>
        </w:rPr>
        <w:t>”) of a reasonable and customary confidentiality/nonuse agreement, which confidentiality/nonuse agreement shall not prohibit the Acting Holders from communicating any such information with the Holders who have a need to know such information, provided that any such recipients are subject to confidentiality obligations with respect thereto, Gem shall permit the Acting Holders and the Accountant, acting as agent of the Acting Holders, to have access during normal business hours to the books and records of Gem as may be reasonably necessary to audit the calculation of the CVR Payment and the Permitted Deductions. Notwithstanding anything in this Agreement to the contrary, in no event shall Gem be required to provide any tax returns or any other tax information it deems confidential to the Acting Holders or any other party pursuant to this Agreement.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7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5.1</w:t>
      </w:r>
      <w:r>
        <w:rPr>
          <w:sz w:val="20"/>
          <w:szCs w:val="20"/>
          <w:color w:val="auto"/>
        </w:rPr>
        <w:tab/>
      </w:r>
      <w:r>
        <w:rPr>
          <w:rFonts w:ascii="Times New Roman" w:cs="Times New Roman" w:eastAsia="Times New Roman" w:hAnsi="Times New Roman"/>
          <w:sz w:val="15"/>
          <w:szCs w:val="15"/>
          <w:i w:val="1"/>
          <w:iCs w:val="1"/>
          <w:color w:val="auto"/>
        </w:rPr>
        <w:t>Amendments Without Consent of Holders or Rights Agent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1121"/>
        <w:spacing w:after="0" w:line="304" w:lineRule="auto"/>
        <w:tabs>
          <w:tab w:leader="none" w:pos="1692"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Gem, at any time and from time to time, may (without the consent of any Person, other than the Rights Agent, with such consent not to be unreasonably withheld, conditioned or delayed) enter into one or more amendments to this Agreement for any of the following purposes, without the consent of any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5010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7" w:name="page58"/>
    <w:bookmarkEnd w:id="57"/>
    <w:p>
      <w:pPr>
        <w:ind w:left="6" w:right="40" w:firstLine="1685"/>
        <w:spacing w:after="0" w:line="270" w:lineRule="auto"/>
        <w:tabs>
          <w:tab w:leader="none" w:pos="223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149" w:lineRule="exact"/>
        <w:rPr>
          <w:rFonts w:ascii="Times New Roman" w:cs="Times New Roman" w:eastAsia="Times New Roman" w:hAnsi="Times New Roman"/>
          <w:sz w:val="16"/>
          <w:szCs w:val="16"/>
          <w:color w:val="auto"/>
        </w:rPr>
      </w:pPr>
    </w:p>
    <w:p>
      <w:pPr>
        <w:ind w:left="6" w:right="60" w:firstLine="1685"/>
        <w:spacing w:after="0" w:line="270" w:lineRule="auto"/>
        <w:tabs>
          <w:tab w:leader="none" w:pos="22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6.1, to evidence the succession of another person to Gem and the assumption of any such successor of the covenants of Gem outlined herein in a transaction contemplated by Section 6.1;</w:t>
      </w:r>
    </w:p>
    <w:p>
      <w:pPr>
        <w:spacing w:after="0" w:line="149" w:lineRule="exact"/>
        <w:rPr>
          <w:rFonts w:ascii="Times New Roman" w:cs="Times New Roman" w:eastAsia="Times New Roman" w:hAnsi="Times New Roman"/>
          <w:sz w:val="16"/>
          <w:szCs w:val="16"/>
          <w:color w:val="auto"/>
        </w:rPr>
      </w:pPr>
    </w:p>
    <w:p>
      <w:pPr>
        <w:ind w:left="6" w:firstLine="1685"/>
        <w:spacing w:after="0" w:line="270" w:lineRule="auto"/>
        <w:tabs>
          <w:tab w:leader="none" w:pos="224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149" w:lineRule="exact"/>
        <w:rPr>
          <w:rFonts w:ascii="Times New Roman" w:cs="Times New Roman" w:eastAsia="Times New Roman" w:hAnsi="Times New Roman"/>
          <w:sz w:val="16"/>
          <w:szCs w:val="16"/>
          <w:color w:val="auto"/>
        </w:rPr>
      </w:pPr>
    </w:p>
    <w:p>
      <w:pPr>
        <w:ind w:left="2226" w:hanging="535"/>
        <w:spacing w:after="0"/>
        <w:tabs>
          <w:tab w:leader="none" w:pos="222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is not required to produce a prospectus or an admission document in order to comply</w:t>
      </w:r>
    </w:p>
    <w:p>
      <w:pPr>
        <w:spacing w:after="0" w:line="19" w:lineRule="exact"/>
        <w:rPr>
          <w:rFonts w:ascii="Times New Roman" w:cs="Times New Roman" w:eastAsia="Times New Roman" w:hAnsi="Times New Roman"/>
          <w:sz w:val="16"/>
          <w:szCs w:val="16"/>
          <w:color w:val="auto"/>
        </w:rPr>
      </w:pPr>
    </w:p>
    <w:p>
      <w:pPr>
        <w:ind w:left="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applicable Law;</w:t>
      </w:r>
    </w:p>
    <w:p>
      <w:pPr>
        <w:spacing w:after="0" w:line="176" w:lineRule="exact"/>
        <w:rPr>
          <w:rFonts w:ascii="Times New Roman" w:cs="Times New Roman" w:eastAsia="Times New Roman" w:hAnsi="Times New Roman"/>
          <w:sz w:val="16"/>
          <w:szCs w:val="16"/>
          <w:color w:val="auto"/>
        </w:rPr>
      </w:pPr>
    </w:p>
    <w:p>
      <w:pPr>
        <w:ind w:left="6" w:right="360" w:firstLine="1685"/>
        <w:spacing w:after="0" w:line="270" w:lineRule="auto"/>
        <w:tabs>
          <w:tab w:leader="none" w:pos="223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cancel CVRs (i) in the event that any Holder has abandoned its rights in accordance with Section 2.6, or (ii) following a transfer of such CVRs to Gem or its Affiliates in accordance with Section 2.2 or Section 2.3; or</w:t>
      </w:r>
    </w:p>
    <w:p>
      <w:pPr>
        <w:spacing w:after="0" w:line="149" w:lineRule="exact"/>
        <w:rPr>
          <w:rFonts w:ascii="Times New Roman" w:cs="Times New Roman" w:eastAsia="Times New Roman" w:hAnsi="Times New Roman"/>
          <w:sz w:val="16"/>
          <w:szCs w:val="16"/>
          <w:color w:val="auto"/>
        </w:rPr>
      </w:pPr>
    </w:p>
    <w:p>
      <w:pPr>
        <w:ind w:left="2226" w:hanging="535"/>
        <w:spacing w:after="0"/>
        <w:tabs>
          <w:tab w:leader="none" w:pos="222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complies with applicable Law.</w:t>
      </w:r>
    </w:p>
    <w:p>
      <w:pPr>
        <w:spacing w:after="0" w:line="192" w:lineRule="exact"/>
        <w:rPr>
          <w:sz w:val="20"/>
          <w:szCs w:val="20"/>
          <w:color w:val="auto"/>
        </w:rPr>
      </w:pPr>
    </w:p>
    <w:p>
      <w:pPr>
        <w:ind w:left="6" w:right="260" w:hanging="6"/>
        <w:spacing w:after="0" w:line="270" w:lineRule="auto"/>
        <w:tabs>
          <w:tab w:leader="none" w:pos="22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execution by Gem of any amendment pursuant to this Section 5.1, Gem will (or will cause the Rights Agent to) notify the Holders in general terms of the substance of such amendment in accordance with Section 7.2.</w:t>
      </w:r>
    </w:p>
    <w:p>
      <w:pPr>
        <w:spacing w:after="0" w:line="148" w:lineRule="exact"/>
        <w:rPr>
          <w:sz w:val="20"/>
          <w:szCs w:val="20"/>
          <w:color w:val="auto"/>
        </w:rPr>
      </w:pPr>
    </w:p>
    <w:p>
      <w:pPr>
        <w:ind w:left="566"/>
        <w:spacing w:after="0"/>
        <w:tabs>
          <w:tab w:leader="none" w:pos="1646" w:val="left"/>
        </w:tabs>
        <w:rPr>
          <w:sz w:val="20"/>
          <w:szCs w:val="20"/>
          <w:color w:val="auto"/>
        </w:rPr>
      </w:pPr>
      <w:r>
        <w:rPr>
          <w:rFonts w:ascii="Times New Roman" w:cs="Times New Roman" w:eastAsia="Times New Roman" w:hAnsi="Times New Roman"/>
          <w:sz w:val="16"/>
          <w:szCs w:val="16"/>
          <w:color w:val="auto"/>
        </w:rPr>
        <w:t>Section 5.2</w:t>
      </w:r>
      <w:r>
        <w:rPr>
          <w:sz w:val="20"/>
          <w:szCs w:val="20"/>
          <w:color w:val="auto"/>
        </w:rPr>
        <w:tab/>
      </w:r>
      <w:r>
        <w:rPr>
          <w:rFonts w:ascii="Times New Roman" w:cs="Times New Roman" w:eastAsia="Times New Roman" w:hAnsi="Times New Roman"/>
          <w:sz w:val="15"/>
          <w:szCs w:val="15"/>
          <w:i w:val="1"/>
          <w:iCs w:val="1"/>
          <w:color w:val="auto"/>
        </w:rPr>
        <w:t>Effect of Amendments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6" w:firstLine="383"/>
        <w:spacing w:after="0" w:line="272" w:lineRule="auto"/>
        <w:rPr>
          <w:sz w:val="20"/>
          <w:szCs w:val="20"/>
          <w:color w:val="auto"/>
        </w:rPr>
      </w:pPr>
      <w:r>
        <w:rPr>
          <w:rFonts w:ascii="Times New Roman" w:cs="Times New Roman" w:eastAsia="Times New Roman" w:hAnsi="Times New Roman"/>
          <w:sz w:val="15"/>
          <w:szCs w:val="15"/>
          <w:color w:val="auto"/>
        </w:rPr>
        <w:t xml:space="preserve">Upon the execution of any amendment under this </w:t>
      </w:r>
      <w:r>
        <w:rPr>
          <w:rFonts w:ascii="Times New Roman" w:cs="Times New Roman" w:eastAsia="Times New Roman" w:hAnsi="Times New Roman"/>
          <w:sz w:val="15"/>
          <w:szCs w:val="15"/>
          <w:u w:val="single" w:color="auto"/>
          <w:color w:val="auto"/>
        </w:rPr>
        <w:t>Article 5</w:t>
      </w:r>
      <w:r>
        <w:rPr>
          <w:rFonts w:ascii="Times New Roman" w:cs="Times New Roman" w:eastAsia="Times New Roman" w:hAnsi="Times New Roman"/>
          <w:sz w:val="15"/>
          <w:szCs w:val="15"/>
          <w:color w:val="auto"/>
        </w:rPr>
        <w:t xml:space="preserve">, this Agreement will be modified in accordance therewith, such amendment will form a part of this Agreement for all purposes and every Holder will be bound thereby. Upon the delivery of a certificate from an appropriate officer of Gem which states that the proposed supplement or amendment is in compliance with the terms of this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15010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CONSOLIDATION, MERGER, SALE OR CONVEYANCE</w:t>
      </w:r>
    </w:p>
    <w:p>
      <w:pPr>
        <w:spacing w:after="0" w:line="174" w:lineRule="exact"/>
        <w:rPr>
          <w:sz w:val="20"/>
          <w:szCs w:val="20"/>
          <w:color w:val="auto"/>
        </w:rPr>
      </w:pPr>
    </w:p>
    <w:p>
      <w:pPr>
        <w:ind w:right="380" w:firstLine="564"/>
        <w:spacing w:after="0" w:line="273"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i w:val="1"/>
          <w:iCs w:val="1"/>
          <w:color w:val="auto"/>
        </w:rPr>
        <w:t>Gem May Not Consolidate, Etc</w:t>
      </w:r>
      <w:r>
        <w:rPr>
          <w:rFonts w:ascii="Times New Roman" w:cs="Times New Roman" w:eastAsia="Times New Roman" w:hAnsi="Times New Roman"/>
          <w:sz w:val="16"/>
          <w:szCs w:val="16"/>
          <w:color w:val="auto"/>
        </w:rPr>
        <w:t>. Gem shall not consolidate with or merge into any other Person or convey, transfer or lease its properties and assets substantially as an entirety to any Person or transfer all or substantially all of its business to any Person, unless:</w:t>
      </w:r>
    </w:p>
    <w:p>
      <w:pPr>
        <w:spacing w:after="0" w:line="147" w:lineRule="exact"/>
        <w:rPr>
          <w:sz w:val="20"/>
          <w:szCs w:val="20"/>
          <w:color w:val="auto"/>
        </w:rPr>
      </w:pPr>
    </w:p>
    <w:p>
      <w:pPr>
        <w:ind w:right="300" w:firstLine="1121"/>
        <w:spacing w:after="0" w:line="257" w:lineRule="auto"/>
        <w:tabs>
          <w:tab w:leader="none" w:pos="169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formed by such consolidation or into which Gem is merged, the Person that acquires the properties and assets of Gem substantially as an entirety or the Person that acquires by conveyance or transfer, or that leases, the Gem substantially as an entirety (the “</w:t>
      </w:r>
      <w:r>
        <w:rPr>
          <w:rFonts w:ascii="Times New Roman" w:cs="Times New Roman" w:eastAsia="Times New Roman" w:hAnsi="Times New Roman"/>
          <w:sz w:val="16"/>
          <w:szCs w:val="16"/>
          <w:u w:val="single" w:color="auto"/>
          <w:color w:val="auto"/>
        </w:rPr>
        <w:t>Surviving Person</w:t>
      </w:r>
      <w:r>
        <w:rPr>
          <w:rFonts w:ascii="Times New Roman" w:cs="Times New Roman" w:eastAsia="Times New Roman" w:hAnsi="Times New Roman"/>
          <w:sz w:val="16"/>
          <w:szCs w:val="16"/>
          <w:color w:val="auto"/>
        </w:rPr>
        <w:t>”) shall expressly assume payment of amounts on all CVRs and the performance of every duty and covenant of this Agreement on the part of Gem to be performed or observed; and</w:t>
      </w:r>
    </w:p>
    <w:p>
      <w:pPr>
        <w:spacing w:after="0" w:line="160" w:lineRule="exact"/>
        <w:rPr>
          <w:rFonts w:ascii="Times New Roman" w:cs="Times New Roman" w:eastAsia="Times New Roman" w:hAnsi="Times New Roman"/>
          <w:sz w:val="16"/>
          <w:szCs w:val="16"/>
          <w:color w:val="auto"/>
        </w:rPr>
      </w:pPr>
    </w:p>
    <w:p>
      <w:pPr>
        <w:ind w:right="60" w:firstLine="1121"/>
        <w:spacing w:after="0" w:line="270" w:lineRule="auto"/>
        <w:tabs>
          <w:tab w:leader="none" w:pos="170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has delivered to the Rights Agent an Officer’s Certificate, stating that such consolidation, merger, conveyance, transfer or lease complies with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and that all conditions precedent herein provided for relating to such transaction have been complied with.</w:t>
      </w:r>
    </w:p>
    <w:p>
      <w:pPr>
        <w:spacing w:after="0" w:line="14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6.2</w:t>
      </w:r>
      <w:r>
        <w:rPr>
          <w:sz w:val="20"/>
          <w:szCs w:val="20"/>
          <w:color w:val="auto"/>
        </w:rPr>
        <w:tab/>
      </w:r>
      <w:r>
        <w:rPr>
          <w:rFonts w:ascii="Times New Roman" w:cs="Times New Roman" w:eastAsia="Times New Roman" w:hAnsi="Times New Roman"/>
          <w:sz w:val="15"/>
          <w:szCs w:val="15"/>
          <w:i w:val="1"/>
          <w:iCs w:val="1"/>
          <w:color w:val="auto"/>
        </w:rPr>
        <w:t>Successor Substituted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20" w:firstLine="383"/>
        <w:spacing w:after="0" w:line="257" w:lineRule="auto"/>
        <w:rPr>
          <w:sz w:val="20"/>
          <w:szCs w:val="20"/>
          <w:color w:val="auto"/>
        </w:rPr>
      </w:pPr>
      <w:r>
        <w:rPr>
          <w:rFonts w:ascii="Times New Roman" w:cs="Times New Roman" w:eastAsia="Times New Roman" w:hAnsi="Times New Roman"/>
          <w:sz w:val="16"/>
          <w:szCs w:val="16"/>
          <w:color w:val="auto"/>
        </w:rPr>
        <w:t xml:space="preserve">Upon any consolidation of or merger by Gem with or into any other Person, or any conveyance, transfer or lease of the properties and assets substantially as an entirety to any Person in accordance with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the Surviving Person shall succeed to, and be substituted for, and may exercise every right and power of, and shall assume all of the obligations of Gem under this Agreement with the same effect as if the Surviving Person had been named as Gem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7.1</w:t>
      </w:r>
      <w:r>
        <w:rPr>
          <w:sz w:val="20"/>
          <w:szCs w:val="20"/>
          <w:color w:val="auto"/>
        </w:rPr>
        <w:tab/>
      </w:r>
      <w:r>
        <w:rPr>
          <w:rFonts w:ascii="Times New Roman" w:cs="Times New Roman" w:eastAsia="Times New Roman" w:hAnsi="Times New Roman"/>
          <w:sz w:val="15"/>
          <w:szCs w:val="15"/>
          <w:i w:val="1"/>
          <w:iCs w:val="1"/>
          <w:color w:val="auto"/>
        </w:rPr>
        <w:t>Notices to Rights Agent and to Gem</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64"/>
        <w:spacing w:after="0" w:line="251" w:lineRule="auto"/>
        <w:rPr>
          <w:sz w:val="20"/>
          <w:szCs w:val="20"/>
          <w:color w:val="auto"/>
        </w:rPr>
      </w:pPr>
      <w:r>
        <w:rPr>
          <w:rFonts w:ascii="Times New Roman" w:cs="Times New Roman" w:eastAsia="Times New Roman" w:hAnsi="Times New Roman"/>
          <w:sz w:val="16"/>
          <w:szCs w:val="16"/>
          <w:color w:val="auto"/>
        </w:rPr>
        <w:t>All notices, requests and other communications (each, a “</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to any party hereunder shall be in writing. Such Notice shall be deemed given (a) on the date of delivery, if delivered in person, by Fedex or other internationally recognized overnight courier service or, (except with respect to any Person other than the Rights Agent),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if to the Rights Agent, to:</w:t>
      </w:r>
    </w:p>
    <w:p>
      <w:pPr>
        <w:spacing w:after="0" w:line="19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Continental Stock Transfer and Trust Company</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1 State Street, 30th Floor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New York NY 10004</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Attn: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15010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560"/>
        <w:spacing w:after="0"/>
        <w:rPr>
          <w:sz w:val="20"/>
          <w:szCs w:val="20"/>
          <w:color w:val="auto"/>
        </w:rPr>
      </w:pPr>
      <w:r>
        <w:rPr>
          <w:rFonts w:ascii="Times New Roman" w:cs="Times New Roman" w:eastAsia="Times New Roman" w:hAnsi="Times New Roman"/>
          <w:sz w:val="16"/>
          <w:szCs w:val="16"/>
          <w:color w:val="auto"/>
        </w:rPr>
        <w:t>if to Gem, to:</w:t>
      </w:r>
    </w:p>
    <w:p>
      <w:pPr>
        <w:spacing w:after="0" w:line="19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297 Boston Post Road #248</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Wayland, MA 01778</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Attention: CEO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such other address or facsimile number as such party may hereafter specify for the purpose by notice to the other parties hereto.</w:t>
      </w:r>
    </w:p>
    <w:p>
      <w:pPr>
        <w:spacing w:after="0" w:line="190"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7.2</w:t>
      </w:r>
      <w:r>
        <w:rPr>
          <w:sz w:val="20"/>
          <w:szCs w:val="20"/>
          <w:color w:val="auto"/>
        </w:rPr>
        <w:tab/>
      </w:r>
      <w:r>
        <w:rPr>
          <w:rFonts w:ascii="Times New Roman" w:cs="Times New Roman" w:eastAsia="Times New Roman" w:hAnsi="Times New Roman"/>
          <w:sz w:val="15"/>
          <w:szCs w:val="15"/>
          <w:i w:val="1"/>
          <w:iCs w:val="1"/>
          <w:color w:val="auto"/>
        </w:rPr>
        <w:t>Notice to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64"/>
        <w:spacing w:after="0" w:line="253" w:lineRule="auto"/>
        <w:rPr>
          <w:sz w:val="20"/>
          <w:szCs w:val="20"/>
          <w:color w:val="auto"/>
        </w:rPr>
      </w:pPr>
      <w:r>
        <w:rPr>
          <w:rFonts w:ascii="Times New Roman" w:cs="Times New Roman" w:eastAsia="Times New Roman" w:hAnsi="Times New Roman"/>
          <w:sz w:val="16"/>
          <w:szCs w:val="16"/>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62"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7.3</w:t>
      </w:r>
      <w:r>
        <w:rPr>
          <w:sz w:val="20"/>
          <w:szCs w:val="20"/>
          <w:color w:val="auto"/>
        </w:rPr>
        <w:tab/>
      </w:r>
      <w:r>
        <w:rPr>
          <w:rFonts w:ascii="Times New Roman" w:cs="Times New Roman" w:eastAsia="Times New Roman" w:hAnsi="Times New Roman"/>
          <w:sz w:val="15"/>
          <w:szCs w:val="15"/>
          <w:i w:val="1"/>
          <w:iCs w:val="1"/>
          <w:color w:val="auto"/>
        </w:rPr>
        <w:t>Entire Agreement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140" w:firstLine="383"/>
        <w:spacing w:after="0" w:line="257" w:lineRule="auto"/>
        <w:rPr>
          <w:sz w:val="20"/>
          <w:szCs w:val="20"/>
          <w:color w:val="auto"/>
        </w:rPr>
      </w:pPr>
      <w:r>
        <w:rPr>
          <w:rFonts w:ascii="Times New Roman" w:cs="Times New Roman" w:eastAsia="Times New Roman" w:hAnsi="Times New Roman"/>
          <w:sz w:val="16"/>
          <w:szCs w:val="16"/>
          <w:color w:val="auto"/>
        </w:rPr>
        <w:t>As between Gem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58"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7.4</w:t>
      </w:r>
      <w:r>
        <w:rPr>
          <w:sz w:val="20"/>
          <w:szCs w:val="20"/>
          <w:color w:val="auto"/>
        </w:rPr>
        <w:tab/>
      </w:r>
      <w:r>
        <w:rPr>
          <w:rFonts w:ascii="Times New Roman" w:cs="Times New Roman" w:eastAsia="Times New Roman" w:hAnsi="Times New Roman"/>
          <w:sz w:val="15"/>
          <w:szCs w:val="15"/>
          <w:i w:val="1"/>
          <w:iCs w:val="1"/>
          <w:color w:val="auto"/>
        </w:rPr>
        <w:t>Merger or Consolidation or Change of Name of Rights Agent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64"/>
        <w:spacing w:after="0" w:line="251" w:lineRule="auto"/>
        <w:rPr>
          <w:sz w:val="20"/>
          <w:szCs w:val="20"/>
          <w:color w:val="auto"/>
        </w:rPr>
      </w:pPr>
      <w:r>
        <w:rPr>
          <w:rFonts w:ascii="Times New Roman" w:cs="Times New Roman" w:eastAsia="Times New Roman" w:hAnsi="Times New Roman"/>
          <w:sz w:val="16"/>
          <w:szCs w:val="16"/>
          <w:color w:val="auto"/>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The purchase of the Rights Agent’s assets employed in the performance of transfer agent activities shall be deemed a merger or consolidation for purposes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5010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0" w:name="page61"/>
    <w:bookmarkEnd w:id="60"/>
    <w:p>
      <w:pPr>
        <w:ind w:left="566"/>
        <w:spacing w:after="0"/>
        <w:tabs>
          <w:tab w:leader="none" w:pos="1646" w:val="left"/>
        </w:tabs>
        <w:rPr>
          <w:sz w:val="20"/>
          <w:szCs w:val="20"/>
          <w:color w:val="auto"/>
        </w:rPr>
      </w:pPr>
      <w:r>
        <w:rPr>
          <w:rFonts w:ascii="Times New Roman" w:cs="Times New Roman" w:eastAsia="Times New Roman" w:hAnsi="Times New Roman"/>
          <w:sz w:val="16"/>
          <w:szCs w:val="16"/>
          <w:color w:val="auto"/>
        </w:rPr>
        <w:t>Section 7.5</w:t>
      </w:r>
      <w:r>
        <w:rPr>
          <w:sz w:val="20"/>
          <w:szCs w:val="20"/>
          <w:color w:val="auto"/>
        </w:rPr>
        <w:tab/>
      </w:r>
      <w:r>
        <w:rPr>
          <w:rFonts w:ascii="Times New Roman" w:cs="Times New Roman" w:eastAsia="Times New Roman" w:hAnsi="Times New Roman"/>
          <w:sz w:val="15"/>
          <w:szCs w:val="15"/>
          <w:i w:val="1"/>
          <w:iCs w:val="1"/>
          <w:color w:val="auto"/>
        </w:rPr>
        <w:t>Successors and Assigns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6" w:firstLine="564"/>
        <w:spacing w:after="0" w:line="253" w:lineRule="auto"/>
        <w:rPr>
          <w:sz w:val="20"/>
          <w:szCs w:val="20"/>
          <w:color w:val="auto"/>
        </w:rPr>
      </w:pPr>
      <w:r>
        <w:rPr>
          <w:rFonts w:ascii="Times New Roman" w:cs="Times New Roman" w:eastAsia="Times New Roman" w:hAnsi="Times New Roman"/>
          <w:sz w:val="16"/>
          <w:szCs w:val="16"/>
          <w:color w:val="auto"/>
        </w:rPr>
        <w:t xml:space="preserve">This Agreement will be binding upon, and will be enforceable by and inure solely to the benefit of, the Holders, Gem and the Rights Agent and their respective successors and assigns. Except for assignments pursuant to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the Rights Agent may not assign this Agreement without Gem’s prior written consent. Gem or an Assignee may not otherwise assign this Agreement without the prior consent of the Majority of Holders. Any attempted assignment of this Agreement in violation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will be void </w:t>
      </w:r>
      <w:r>
        <w:rPr>
          <w:rFonts w:ascii="Times New Roman" w:cs="Times New Roman" w:eastAsia="Times New Roman" w:hAnsi="Times New Roman"/>
          <w:sz w:val="16"/>
          <w:szCs w:val="16"/>
          <w:i w:val="1"/>
          <w:iCs w:val="1"/>
          <w:color w:val="auto"/>
        </w:rPr>
        <w:t>ab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initio </w:t>
      </w:r>
      <w:r>
        <w:rPr>
          <w:rFonts w:ascii="Times New Roman" w:cs="Times New Roman" w:eastAsia="Times New Roman" w:hAnsi="Times New Roman"/>
          <w:sz w:val="16"/>
          <w:szCs w:val="16"/>
          <w:color w:val="auto"/>
        </w:rPr>
        <w:t>and of no effect.</w:t>
      </w:r>
    </w:p>
    <w:p>
      <w:pPr>
        <w:spacing w:after="0" w:line="162" w:lineRule="exact"/>
        <w:rPr>
          <w:sz w:val="20"/>
          <w:szCs w:val="20"/>
          <w:color w:val="auto"/>
        </w:rPr>
      </w:pPr>
    </w:p>
    <w:p>
      <w:pPr>
        <w:ind w:left="566"/>
        <w:spacing w:after="0"/>
        <w:tabs>
          <w:tab w:leader="none" w:pos="1646" w:val="left"/>
        </w:tabs>
        <w:rPr>
          <w:sz w:val="20"/>
          <w:szCs w:val="20"/>
          <w:color w:val="auto"/>
        </w:rPr>
      </w:pPr>
      <w:r>
        <w:rPr>
          <w:rFonts w:ascii="Times New Roman" w:cs="Times New Roman" w:eastAsia="Times New Roman" w:hAnsi="Times New Roman"/>
          <w:sz w:val="16"/>
          <w:szCs w:val="16"/>
          <w:color w:val="auto"/>
        </w:rPr>
        <w:t>Section 7.6</w:t>
      </w:r>
      <w:r>
        <w:rPr>
          <w:sz w:val="20"/>
          <w:szCs w:val="20"/>
          <w:color w:val="auto"/>
        </w:rPr>
        <w:tab/>
      </w:r>
      <w:r>
        <w:rPr>
          <w:rFonts w:ascii="Times New Roman" w:cs="Times New Roman" w:eastAsia="Times New Roman" w:hAnsi="Times New Roman"/>
          <w:sz w:val="15"/>
          <w:szCs w:val="15"/>
          <w:i w:val="1"/>
          <w:iCs w:val="1"/>
          <w:color w:val="auto"/>
        </w:rPr>
        <w:t>Benefits of Agreement; Action by Acting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6" w:right="140" w:firstLine="564"/>
        <w:spacing w:after="0" w:line="250" w:lineRule="auto"/>
        <w:rPr>
          <w:sz w:val="20"/>
          <w:szCs w:val="20"/>
          <w:color w:val="auto"/>
        </w:rPr>
      </w:pPr>
      <w:r>
        <w:rPr>
          <w:rFonts w:ascii="Times New Roman" w:cs="Times New Roman" w:eastAsia="Times New Roman" w:hAnsi="Times New Roman"/>
          <w:sz w:val="16"/>
          <w:szCs w:val="16"/>
          <w:color w:val="auto"/>
        </w:rPr>
        <w:t>Nothing in this Agreement, express or implied, will give to any Person (other than Gem,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Gem, the Rights Agent, the Holders and their permitted successors and assigns. The Holders will have no rights hereunder except as are expressly set forth herein. Except for the rights of the Rights Agent set forth herein, the Acting Holders and/or Acting Holders, in accordance with this agreement and as the case may be,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63" w:lineRule="exact"/>
        <w:rPr>
          <w:sz w:val="20"/>
          <w:szCs w:val="20"/>
          <w:color w:val="auto"/>
        </w:rPr>
      </w:pPr>
    </w:p>
    <w:p>
      <w:pPr>
        <w:ind w:left="566"/>
        <w:spacing w:after="0"/>
        <w:tabs>
          <w:tab w:leader="none" w:pos="1646" w:val="left"/>
        </w:tabs>
        <w:rPr>
          <w:sz w:val="20"/>
          <w:szCs w:val="20"/>
          <w:color w:val="auto"/>
        </w:rPr>
      </w:pPr>
      <w:r>
        <w:rPr>
          <w:rFonts w:ascii="Times New Roman" w:cs="Times New Roman" w:eastAsia="Times New Roman" w:hAnsi="Times New Roman"/>
          <w:sz w:val="16"/>
          <w:szCs w:val="16"/>
          <w:color w:val="auto"/>
        </w:rPr>
        <w:t>Section 7.7</w:t>
      </w:r>
      <w:r>
        <w:rPr>
          <w:sz w:val="20"/>
          <w:szCs w:val="20"/>
          <w:color w:val="auto"/>
        </w:rPr>
        <w:tab/>
      </w:r>
      <w:r>
        <w:rPr>
          <w:rFonts w:ascii="Times New Roman" w:cs="Times New Roman" w:eastAsia="Times New Roman" w:hAnsi="Times New Roman"/>
          <w:sz w:val="15"/>
          <w:szCs w:val="15"/>
          <w:i w:val="1"/>
          <w:iCs w:val="1"/>
          <w:color w:val="auto"/>
        </w:rPr>
        <w:t>Governing Law</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6" w:right="460" w:firstLine="564"/>
        <w:spacing w:after="0" w:line="304" w:lineRule="auto"/>
        <w:rPr>
          <w:sz w:val="20"/>
          <w:szCs w:val="20"/>
          <w:color w:val="auto"/>
        </w:rPr>
      </w:pPr>
      <w:r>
        <w:rPr>
          <w:rFonts w:ascii="Times New Roman" w:cs="Times New Roman" w:eastAsia="Times New Roman" w:hAnsi="Times New Roman"/>
          <w:sz w:val="15"/>
          <w:szCs w:val="15"/>
          <w:color w:val="auto"/>
        </w:rPr>
        <w:t>This Agreement will be governed by, and construed in accordance with, the laws of the State of New York without regard to the conflicts of law rules of such state; provided, that, the CVRs will be governed by, and construed in accordance with, the laws of the State of Delaware without regard to the conflicts of law rules of such state.</w:t>
      </w:r>
    </w:p>
    <w:p>
      <w:pPr>
        <w:spacing w:after="0" w:line="125" w:lineRule="exact"/>
        <w:rPr>
          <w:sz w:val="20"/>
          <w:szCs w:val="20"/>
          <w:color w:val="auto"/>
        </w:rPr>
      </w:pPr>
    </w:p>
    <w:p>
      <w:pPr>
        <w:ind w:left="566"/>
        <w:spacing w:after="0"/>
        <w:tabs>
          <w:tab w:leader="none" w:pos="1646" w:val="left"/>
        </w:tabs>
        <w:rPr>
          <w:sz w:val="20"/>
          <w:szCs w:val="20"/>
          <w:color w:val="auto"/>
        </w:rPr>
      </w:pPr>
      <w:r>
        <w:rPr>
          <w:rFonts w:ascii="Times New Roman" w:cs="Times New Roman" w:eastAsia="Times New Roman" w:hAnsi="Times New Roman"/>
          <w:sz w:val="16"/>
          <w:szCs w:val="16"/>
          <w:color w:val="auto"/>
        </w:rPr>
        <w:t>Section 7.8</w:t>
      </w:r>
      <w:r>
        <w:rPr>
          <w:sz w:val="20"/>
          <w:szCs w:val="20"/>
          <w:color w:val="auto"/>
        </w:rPr>
        <w:tab/>
      </w:r>
      <w:r>
        <w:rPr>
          <w:rFonts w:ascii="Times New Roman" w:cs="Times New Roman" w:eastAsia="Times New Roman" w:hAnsi="Times New Roman"/>
          <w:sz w:val="15"/>
          <w:szCs w:val="15"/>
          <w:i w:val="1"/>
          <w:iCs w:val="1"/>
          <w:color w:val="auto"/>
        </w:rPr>
        <w:t>Jurisdiction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6" w:right="60" w:firstLine="564"/>
        <w:spacing w:after="0" w:line="268" w:lineRule="auto"/>
        <w:rPr>
          <w:sz w:val="20"/>
          <w:szCs w:val="20"/>
          <w:color w:val="auto"/>
        </w:rPr>
      </w:pPr>
      <w:r>
        <w:rPr>
          <w:rFonts w:ascii="Times New Roman" w:cs="Times New Roman" w:eastAsia="Times New Roman" w:hAnsi="Times New Roman"/>
          <w:sz w:val="15"/>
          <w:szCs w:val="15"/>
          <w:color w:val="auto"/>
        </w:rPr>
        <w:t>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w:t>
      </w:r>
    </w:p>
    <w:p>
      <w:pPr>
        <w:spacing w:after="0" w:line="1" w:lineRule="exact"/>
        <w:rPr>
          <w:sz w:val="20"/>
          <w:szCs w:val="20"/>
          <w:color w:val="auto"/>
        </w:rPr>
      </w:pPr>
    </w:p>
    <w:p>
      <w:pPr>
        <w:ind w:left="6" w:right="60" w:hanging="6"/>
        <w:spacing w:after="0" w:line="246" w:lineRule="auto"/>
        <w:tabs>
          <w:tab w:leader="none" w:pos="22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agrees that all claims in respect of such action or proceeding shall be heard and determined exclusively in accordance with clause (a) of this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5010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21" w:right="339" w:bottom="1440" w:gutter="0" w:footer="0" w:header="0"/>
        </w:sectPr>
      </w:pPr>
    </w:p>
    <w:bookmarkStart w:id="61" w:name="page62"/>
    <w:bookmarkEnd w:id="61"/>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7.9</w:t>
      </w:r>
      <w:r>
        <w:rPr>
          <w:sz w:val="20"/>
          <w:szCs w:val="20"/>
          <w:color w:val="auto"/>
        </w:rPr>
        <w:tab/>
      </w:r>
      <w:r>
        <w:rPr>
          <w:rFonts w:ascii="Times New Roman" w:cs="Times New Roman" w:eastAsia="Times New Roman" w:hAnsi="Times New Roman"/>
          <w:sz w:val="15"/>
          <w:szCs w:val="15"/>
          <w:i w:val="1"/>
          <w:iCs w:val="1"/>
          <w:color w:val="auto"/>
        </w:rPr>
        <w:t>WAIVER OF JURY TRIAL</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564"/>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7.9</w:t>
      </w:r>
      <w:r>
        <w:rPr>
          <w:rFonts w:ascii="Times New Roman" w:cs="Times New Roman" w:eastAsia="Times New Roman" w:hAnsi="Times New Roman"/>
          <w:sz w:val="16"/>
          <w:szCs w:val="16"/>
          <w:b w:val="1"/>
          <w:bCs w:val="1"/>
          <w:color w:val="auto"/>
        </w:rPr>
        <w:t>.</w:t>
      </w:r>
    </w:p>
    <w:p>
      <w:pPr>
        <w:spacing w:after="0" w:line="167"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6"/>
          <w:szCs w:val="16"/>
          <w:color w:val="auto"/>
        </w:rPr>
        <w:t>Section 7.10</w:t>
      </w:r>
      <w:r>
        <w:rPr>
          <w:sz w:val="20"/>
          <w:szCs w:val="20"/>
          <w:color w:val="auto"/>
        </w:rPr>
        <w:tab/>
      </w:r>
      <w:r>
        <w:rPr>
          <w:rFonts w:ascii="Times New Roman" w:cs="Times New Roman" w:eastAsia="Times New Roman" w:hAnsi="Times New Roman"/>
          <w:sz w:val="15"/>
          <w:szCs w:val="15"/>
          <w:i w:val="1"/>
          <w:iCs w:val="1"/>
          <w:color w:val="auto"/>
        </w:rPr>
        <w:t>Severability Clause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60" w:firstLine="564"/>
        <w:spacing w:after="0" w:line="249" w:lineRule="auto"/>
        <w:rPr>
          <w:sz w:val="20"/>
          <w:szCs w:val="20"/>
          <w:color w:val="auto"/>
        </w:rPr>
      </w:pPr>
      <w:r>
        <w:rPr>
          <w:rFonts w:ascii="Times New Roman" w:cs="Times New Roman" w:eastAsia="Times New Roman" w:hAnsi="Times New Roman"/>
          <w:sz w:val="16"/>
          <w:szCs w:val="16"/>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immediately upon written notice to Gem.</w:t>
      </w:r>
    </w:p>
    <w:p>
      <w:pPr>
        <w:spacing w:after="0" w:line="165" w:lineRule="exact"/>
        <w:rPr>
          <w:sz w:val="20"/>
          <w:szCs w:val="20"/>
          <w:color w:val="auto"/>
        </w:rPr>
      </w:pPr>
    </w:p>
    <w:p>
      <w:pPr>
        <w:ind w:left="560"/>
        <w:spacing w:after="0"/>
        <w:tabs>
          <w:tab w:leader="none" w:pos="1660" w:val="left"/>
        </w:tabs>
        <w:rPr>
          <w:sz w:val="20"/>
          <w:szCs w:val="20"/>
          <w:color w:val="auto"/>
        </w:rPr>
      </w:pPr>
      <w:r>
        <w:rPr>
          <w:rFonts w:ascii="Times New Roman" w:cs="Times New Roman" w:eastAsia="Times New Roman" w:hAnsi="Times New Roman"/>
          <w:sz w:val="16"/>
          <w:szCs w:val="16"/>
          <w:color w:val="auto"/>
        </w:rPr>
        <w:t>Section 7.11</w:t>
      </w:r>
      <w:r>
        <w:rPr>
          <w:sz w:val="20"/>
          <w:szCs w:val="20"/>
          <w:color w:val="auto"/>
        </w:rPr>
        <w:tab/>
      </w:r>
      <w:r>
        <w:rPr>
          <w:rFonts w:ascii="Times New Roman" w:cs="Times New Roman" w:eastAsia="Times New Roman" w:hAnsi="Times New Roman"/>
          <w:sz w:val="15"/>
          <w:szCs w:val="15"/>
          <w:i w:val="1"/>
          <w:iCs w:val="1"/>
          <w:color w:val="auto"/>
        </w:rPr>
        <w:t>Counterparts; Effectiveness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40" w:firstLine="564"/>
        <w:spacing w:after="0" w:line="251" w:lineRule="auto"/>
        <w:rPr>
          <w:sz w:val="20"/>
          <w:szCs w:val="20"/>
          <w:color w:val="auto"/>
        </w:rPr>
      </w:pPr>
      <w:r>
        <w:rPr>
          <w:rFonts w:ascii="Times New Roman" w:cs="Times New Roman" w:eastAsia="Times New Roman" w:hAnsi="Times New Roman"/>
          <w:sz w:val="16"/>
          <w:szCs w:val="16"/>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63"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6"/>
          <w:szCs w:val="16"/>
          <w:color w:val="auto"/>
        </w:rPr>
        <w:t>Section 7.12</w:t>
      </w:r>
      <w:r>
        <w:rPr>
          <w:sz w:val="20"/>
          <w:szCs w:val="20"/>
          <w:color w:val="auto"/>
        </w:rPr>
        <w:tab/>
      </w:r>
      <w:r>
        <w:rPr>
          <w:rFonts w:ascii="Times New Roman" w:cs="Times New Roman" w:eastAsia="Times New Roman" w:hAnsi="Times New Roman"/>
          <w:sz w:val="15"/>
          <w:szCs w:val="15"/>
          <w:i w:val="1"/>
          <w:iCs w:val="1"/>
          <w:color w:val="auto"/>
        </w:rPr>
        <w:t>Termination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40" w:firstLine="564"/>
        <w:spacing w:after="0" w:line="253" w:lineRule="auto"/>
        <w:rPr>
          <w:sz w:val="20"/>
          <w:szCs w:val="20"/>
          <w:color w:val="auto"/>
        </w:rPr>
      </w:pPr>
      <w:r>
        <w:rPr>
          <w:rFonts w:ascii="Times New Roman" w:cs="Times New Roman" w:eastAsia="Times New Roman" w:hAnsi="Times New Roman"/>
          <w:sz w:val="16"/>
          <w:szCs w:val="16"/>
          <w:color w:val="auto"/>
        </w:rPr>
        <w:t xml:space="preserve">This Agreement will automatically terminate and be of no further force or effect and, except as provided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the parties hereto will have no further liability hereunder, and the CVRs will expire without any consideration or compensation therefor, upon the expiration of the CVR Period. The termination of this Agreement will not affect or limit the right of Holders to receive the CVR Payments under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to the extent earned prior to the termination of this Agreement, and the provisions applicable thereto will survive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5010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2" w:name="page63"/>
    <w:bookmarkEnd w:id="62"/>
    <w:p>
      <w:pPr>
        <w:ind w:left="560"/>
        <w:spacing w:after="0"/>
        <w:tabs>
          <w:tab w:leader="none" w:pos="1680" w:val="left"/>
        </w:tabs>
        <w:rPr>
          <w:sz w:val="20"/>
          <w:szCs w:val="20"/>
          <w:color w:val="auto"/>
        </w:rPr>
      </w:pPr>
      <w:r>
        <w:rPr>
          <w:rFonts w:ascii="Times New Roman" w:cs="Times New Roman" w:eastAsia="Times New Roman" w:hAnsi="Times New Roman"/>
          <w:sz w:val="16"/>
          <w:szCs w:val="16"/>
          <w:color w:val="auto"/>
        </w:rPr>
        <w:t>Section 7.13</w:t>
      </w:r>
      <w:r>
        <w:rPr>
          <w:sz w:val="20"/>
          <w:szCs w:val="20"/>
          <w:color w:val="auto"/>
        </w:rPr>
        <w:tab/>
      </w:r>
      <w:r>
        <w:rPr>
          <w:rFonts w:ascii="Times New Roman" w:cs="Times New Roman" w:eastAsia="Times New Roman" w:hAnsi="Times New Roman"/>
          <w:sz w:val="15"/>
          <w:szCs w:val="15"/>
          <w:i w:val="1"/>
          <w:iCs w:val="1"/>
          <w:color w:val="auto"/>
        </w:rPr>
        <w:t>Force Majeure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64"/>
        <w:spacing w:after="0" w:line="253" w:lineRule="auto"/>
        <w:rPr>
          <w:sz w:val="20"/>
          <w:szCs w:val="20"/>
          <w:color w:val="auto"/>
        </w:rPr>
      </w:pPr>
      <w:r>
        <w:rPr>
          <w:rFonts w:ascii="Times New Roman" w:cs="Times New Roman" w:eastAsia="Times New Roman" w:hAnsi="Times New Roman"/>
          <w:sz w:val="16"/>
          <w:szCs w:val="16"/>
          <w:color w:val="auto"/>
        </w:rPr>
        <w:t>Notwithstanding anything to the contrary contained herein, none of the Rights Agent, Gem or any of its Subsidiaries (except as it relates to the obligations of the Company under Article 3) will be liable for any delays or failures in performance resulting from acts beyond its reasonable control including acts of God, pandemics (including COVID-19),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62" w:lineRule="exact"/>
        <w:rPr>
          <w:sz w:val="20"/>
          <w:szCs w:val="20"/>
          <w:color w:val="auto"/>
        </w:rPr>
      </w:pPr>
    </w:p>
    <w:p>
      <w:pPr>
        <w:ind w:left="560"/>
        <w:spacing w:after="0"/>
        <w:tabs>
          <w:tab w:leader="none" w:pos="1720" w:val="left"/>
        </w:tabs>
        <w:rPr>
          <w:sz w:val="20"/>
          <w:szCs w:val="20"/>
          <w:color w:val="auto"/>
        </w:rPr>
      </w:pPr>
      <w:r>
        <w:rPr>
          <w:rFonts w:ascii="Times New Roman" w:cs="Times New Roman" w:eastAsia="Times New Roman" w:hAnsi="Times New Roman"/>
          <w:sz w:val="16"/>
          <w:szCs w:val="16"/>
          <w:color w:val="auto"/>
        </w:rPr>
        <w:t>Section 7.14</w:t>
      </w:r>
      <w:r>
        <w:rPr>
          <w:sz w:val="20"/>
          <w:szCs w:val="20"/>
          <w:color w:val="auto"/>
        </w:rPr>
        <w:tab/>
      </w:r>
      <w:r>
        <w:rPr>
          <w:rFonts w:ascii="Times New Roman" w:cs="Times New Roman" w:eastAsia="Times New Roman" w:hAnsi="Times New Roman"/>
          <w:sz w:val="15"/>
          <w:szCs w:val="15"/>
          <w:i w:val="1"/>
          <w:iCs w:val="1"/>
          <w:color w:val="auto"/>
        </w:rPr>
        <w:t>Construction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40" w:firstLine="1121"/>
        <w:spacing w:after="0" w:line="304" w:lineRule="auto"/>
        <w:tabs>
          <w:tab w:leader="none" w:pos="1692"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26" w:lineRule="exact"/>
        <w:rPr>
          <w:rFonts w:ascii="Times New Roman" w:cs="Times New Roman" w:eastAsia="Times New Roman" w:hAnsi="Times New Roman"/>
          <w:sz w:val="15"/>
          <w:szCs w:val="15"/>
          <w:color w:val="auto"/>
        </w:rPr>
      </w:pPr>
    </w:p>
    <w:p>
      <w:pPr>
        <w:ind w:right="80" w:firstLine="1121"/>
        <w:spacing w:after="0" w:line="270" w:lineRule="auto"/>
        <w:tabs>
          <w:tab w:leader="none" w:pos="170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words “include” and “including,” and variations thereof, will not be deemed to be terms of limitation, but rather will be deemed to be followed by the words “without limitation.”</w:t>
      </w:r>
    </w:p>
    <w:p>
      <w:pPr>
        <w:spacing w:after="0" w:line="149" w:lineRule="exact"/>
        <w:rPr>
          <w:rFonts w:ascii="Times New Roman" w:cs="Times New Roman" w:eastAsia="Times New Roman" w:hAnsi="Times New Roman"/>
          <w:sz w:val="16"/>
          <w:szCs w:val="16"/>
          <w:color w:val="auto"/>
        </w:rPr>
      </w:pPr>
    </w:p>
    <w:p>
      <w:pPr>
        <w:ind w:right="360" w:firstLine="1121"/>
        <w:spacing w:after="0" w:line="270" w:lineRule="auto"/>
        <w:tabs>
          <w:tab w:leader="none" w:pos="169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49" w:lineRule="exact"/>
        <w:rPr>
          <w:rFonts w:ascii="Times New Roman" w:cs="Times New Roman" w:eastAsia="Times New Roman" w:hAnsi="Times New Roman"/>
          <w:sz w:val="16"/>
          <w:szCs w:val="16"/>
          <w:color w:val="auto"/>
        </w:rPr>
      </w:pPr>
    </w:p>
    <w:p>
      <w:pPr>
        <w:jc w:val="both"/>
        <w:ind w:right="100" w:firstLine="1121"/>
        <w:spacing w:after="0" w:line="253" w:lineRule="auto"/>
        <w:tabs>
          <w:tab w:leader="none" w:pos="170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date or time shall be deemed to be such date or time in New York City, United States, unless otherwise specified. The parties hereto and Gem have participated jointly in the negotiation and drafting of this Agreement. In the event an ambiguity or question of intent or interpretation arises, this Agreement shall be construed as if drafted jointly by the parties and Gem and no presumption or burden of proof shall arise favoring or disfavoring any Person by virtue of the authorship of any provision of this Agreement.</w:t>
      </w:r>
    </w:p>
    <w:p>
      <w:pPr>
        <w:spacing w:after="0" w:line="163" w:lineRule="exact"/>
        <w:rPr>
          <w:rFonts w:ascii="Times New Roman" w:cs="Times New Roman" w:eastAsia="Times New Roman" w:hAnsi="Times New Roman"/>
          <w:sz w:val="16"/>
          <w:szCs w:val="16"/>
          <w:color w:val="auto"/>
        </w:rPr>
      </w:pPr>
    </w:p>
    <w:p>
      <w:pPr>
        <w:ind w:left="1680" w:hanging="559"/>
        <w:spacing w:after="0"/>
        <w:tabs>
          <w:tab w:leader="none" w:pos="16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herein to “$” are to United States Dollars.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010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color w:val="auto"/>
        </w:rPr>
        <w:t>IN WITNESS WHEREOF, each of the parties has caused this Agreement to be executed as of the day and year first above written.</w:t>
      </w:r>
    </w:p>
    <w:p>
      <w:pPr>
        <w:sectPr>
          <w:pgSz w:w="11900" w:h="16838" w:orient="portrait"/>
          <w:cols w:equalWidth="0" w:num="1">
            <w:col w:w="9579"/>
          </w:cols>
          <w:pgMar w:left="880" w:top="123" w:right="1440" w:bottom="1440" w:gutter="0" w:footer="0" w:header="0"/>
        </w:sectPr>
      </w:pP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Title:</w:t>
      </w:r>
    </w:p>
    <w:p>
      <w:pPr>
        <w:spacing w:after="0" w:line="17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color w:val="auto"/>
        </w:rPr>
        <w:t>Continental Stock Transfer and Trust Company</w:t>
      </w: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w:t>
      </w:r>
    </w:p>
    <w:p>
      <w:pPr>
        <w:spacing w:after="0" w:line="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294005</wp:posOffset>
            </wp:positionV>
            <wp:extent cx="715010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579"/>
          </w:cols>
          <w:pgMar w:left="880" w:top="123" w:right="1440"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DIRECTOR INDEMNIFICATION AGREEMENT</w:t>
      </w:r>
    </w:p>
    <w:p>
      <w:pPr>
        <w:spacing w:after="0" w:line="194" w:lineRule="exact"/>
        <w:rPr>
          <w:sz w:val="20"/>
          <w:szCs w:val="20"/>
          <w:color w:val="auto"/>
        </w:rPr>
      </w:pPr>
    </w:p>
    <w:p>
      <w:pPr>
        <w:ind w:right="340" w:firstLine="564"/>
        <w:spacing w:after="0" w:line="270" w:lineRule="auto"/>
        <w:rPr>
          <w:sz w:val="20"/>
          <w:szCs w:val="20"/>
          <w:color w:val="auto"/>
        </w:rPr>
      </w:pPr>
      <w:r>
        <w:rPr>
          <w:rFonts w:ascii="Times New Roman" w:cs="Times New Roman" w:eastAsia="Times New Roman" w:hAnsi="Times New Roman"/>
          <w:sz w:val="16"/>
          <w:szCs w:val="16"/>
          <w:color w:val="auto"/>
        </w:rPr>
        <w:t>This Indemnification Agreement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as of [ ] by and between Disc Medicine, Inc., a Delaware corporation, together with its subsidiary,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[Director]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RECITALS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Company desires to attract and retain the services of highly qualified individuals, such as Indemnitee, to serve the Company;</w:t>
      </w:r>
    </w:p>
    <w:p>
      <w:pPr>
        <w:spacing w:after="0" w:line="192" w:lineRule="exact"/>
        <w:rPr>
          <w:sz w:val="20"/>
          <w:szCs w:val="20"/>
          <w:color w:val="auto"/>
        </w:rPr>
      </w:pPr>
    </w:p>
    <w:p>
      <w:pPr>
        <w:ind w:right="320" w:firstLine="564"/>
        <w:spacing w:after="0" w:line="270" w:lineRule="auto"/>
        <w:rPr>
          <w:sz w:val="20"/>
          <w:szCs w:val="20"/>
          <w:color w:val="auto"/>
        </w:rPr>
      </w:pPr>
      <w:r>
        <w:rPr>
          <w:rFonts w:ascii="Times New Roman" w:cs="Times New Roman" w:eastAsia="Times New Roman" w:hAnsi="Times New Roman"/>
          <w:sz w:val="16"/>
          <w:szCs w:val="16"/>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50" w:lineRule="exact"/>
        <w:rPr>
          <w:sz w:val="20"/>
          <w:szCs w:val="20"/>
          <w:color w:val="auto"/>
        </w:rPr>
      </w:pPr>
    </w:p>
    <w:p>
      <w:pPr>
        <w:ind w:right="40" w:firstLine="564"/>
        <w:spacing w:after="0" w:line="257" w:lineRule="auto"/>
        <w:rPr>
          <w:sz w:val="20"/>
          <w:szCs w:val="20"/>
          <w:color w:val="auto"/>
        </w:rPr>
      </w:pPr>
      <w:r>
        <w:rPr>
          <w:rFonts w:ascii="Times New Roman" w:cs="Times New Roman" w:eastAsia="Times New Roman" w:hAnsi="Times New Roman"/>
          <w:sz w:val="16"/>
          <w:szCs w:val="16"/>
          <w:color w:val="auto"/>
        </w:rPr>
        <w:t>WHEREAS, the Third Amended and Restated Certificate of Incorporation (as amended and in effect from time to time, the “</w:t>
      </w:r>
      <w:r>
        <w:rPr>
          <w:rFonts w:ascii="Times New Roman" w:cs="Times New Roman" w:eastAsia="Times New Roman" w:hAnsi="Times New Roman"/>
          <w:sz w:val="16"/>
          <w:szCs w:val="16"/>
          <w:u w:val="single" w:color="auto"/>
          <w:color w:val="auto"/>
        </w:rPr>
        <w:t>Charter</w:t>
      </w:r>
      <w:r>
        <w:rPr>
          <w:rFonts w:ascii="Times New Roman" w:cs="Times New Roman" w:eastAsia="Times New Roman" w:hAnsi="Times New Roman"/>
          <w:sz w:val="16"/>
          <w:szCs w:val="16"/>
          <w:color w:val="auto"/>
        </w:rPr>
        <w:t>”) and the Amended and Restated Bylaws (as amended and in effect from time to time,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right="40" w:firstLine="564"/>
        <w:spacing w:after="0" w:line="270" w:lineRule="auto"/>
        <w:rPr>
          <w:sz w:val="20"/>
          <w:szCs w:val="20"/>
          <w:color w:val="auto"/>
        </w:rPr>
      </w:pPr>
      <w:r>
        <w:rPr>
          <w:rFonts w:ascii="Times New Roman" w:cs="Times New Roman" w:eastAsia="Times New Roman" w:hAnsi="Times New Roman"/>
          <w:sz w:val="16"/>
          <w:szCs w:val="16"/>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50" w:lineRule="exact"/>
        <w:rPr>
          <w:sz w:val="20"/>
          <w:szCs w:val="20"/>
          <w:color w:val="auto"/>
        </w:rPr>
      </w:pPr>
    </w:p>
    <w:p>
      <w:pPr>
        <w:ind w:right="80" w:firstLine="564"/>
        <w:spacing w:after="0" w:line="270" w:lineRule="auto"/>
        <w:rPr>
          <w:sz w:val="20"/>
          <w:szCs w:val="20"/>
          <w:color w:val="auto"/>
        </w:rPr>
      </w:pPr>
      <w:r>
        <w:rPr>
          <w:rFonts w:ascii="Times New Roman" w:cs="Times New Roman" w:eastAsia="Times New Roman" w:hAnsi="Times New Roman"/>
          <w:sz w:val="16"/>
          <w:szCs w:val="16"/>
          <w:color w:val="auto"/>
        </w:rPr>
        <w:t>WHEREAS,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has determined that the increased difficulty in attracting and retaining highly qualified persons such as Indemnitee is detrimental to the best interests of the Company’s stockholders;</w:t>
      </w:r>
    </w:p>
    <w:p>
      <w:pPr>
        <w:spacing w:after="0" w:line="150" w:lineRule="exact"/>
        <w:rPr>
          <w:sz w:val="20"/>
          <w:szCs w:val="20"/>
          <w:color w:val="auto"/>
        </w:rPr>
      </w:pPr>
    </w:p>
    <w:p>
      <w:pPr>
        <w:ind w:right="180" w:firstLine="564"/>
        <w:spacing w:after="0" w:line="257" w:lineRule="auto"/>
        <w:rPr>
          <w:sz w:val="20"/>
          <w:szCs w:val="20"/>
          <w:color w:val="auto"/>
        </w:rPr>
      </w:pPr>
      <w:r>
        <w:rPr>
          <w:rFonts w:ascii="Times New Roman" w:cs="Times New Roman" w:eastAsia="Times New Roman" w:hAnsi="Times New Roman"/>
          <w:sz w:val="16"/>
          <w:szCs w:val="16"/>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60" w:lineRule="exact"/>
        <w:rPr>
          <w:sz w:val="20"/>
          <w:szCs w:val="20"/>
          <w:color w:val="auto"/>
        </w:rPr>
      </w:pPr>
    </w:p>
    <w:p>
      <w:pPr>
        <w:ind w:right="500" w:firstLine="564"/>
        <w:spacing w:after="0" w:line="270" w:lineRule="auto"/>
        <w:rPr>
          <w:sz w:val="20"/>
          <w:szCs w:val="20"/>
          <w:color w:val="auto"/>
        </w:rPr>
      </w:pPr>
      <w:r>
        <w:rPr>
          <w:rFonts w:ascii="Times New Roman" w:cs="Times New Roman" w:eastAsia="Times New Roman" w:hAnsi="Times New Roman"/>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62" w:right="319" w:bottom="1440" w:gutter="0" w:footer="0" w:header="0"/>
        </w:sectPr>
      </w:pPr>
    </w:p>
    <w:bookmarkStart w:id="65" w:name="page66"/>
    <w:bookmarkEnd w:id="65"/>
    <w:p>
      <w:pPr>
        <w:ind w:right="140" w:firstLine="564"/>
        <w:spacing w:after="0" w:line="257" w:lineRule="auto"/>
        <w:rPr>
          <w:sz w:val="20"/>
          <w:szCs w:val="20"/>
          <w:color w:val="auto"/>
        </w:rPr>
      </w:pPr>
      <w:r>
        <w:rPr>
          <w:rFonts w:ascii="Times New Roman" w:cs="Times New Roman" w:eastAsia="Times New Roman" w:hAnsi="Times New Roman"/>
          <w:sz w:val="16"/>
          <w:szCs w:val="16"/>
          <w:color w:val="auto"/>
        </w:rPr>
        <w:t>[WHEREAS, Indemnitee has certain rights to indemnification and/or insurance provided by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covenants contained herein, the Company and Indemnitee do hereby covenant and agree as follows:</w:t>
      </w:r>
    </w:p>
    <w:p>
      <w:pPr>
        <w:spacing w:after="0" w:line="192" w:lineRule="exact"/>
        <w:rPr>
          <w:sz w:val="20"/>
          <w:szCs w:val="20"/>
          <w:color w:val="auto"/>
        </w:rPr>
      </w:pPr>
    </w:p>
    <w:p>
      <w:pPr>
        <w:ind w:right="80" w:firstLine="564"/>
        <w:spacing w:after="0" w:line="253"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Services to the Company</w:t>
      </w:r>
      <w:r>
        <w:rPr>
          <w:rFonts w:ascii="Times New Roman" w:cs="Times New Roman" w:eastAsia="Times New Roman" w:hAnsi="Times New Roman"/>
          <w:sz w:val="16"/>
          <w:szCs w:val="16"/>
          <w:color w:val="auto"/>
        </w:rPr>
        <w:t>. Indemnitee agrees to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64"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5"/>
          <w:szCs w:val="15"/>
          <w:u w:val="single" w:color="auto"/>
          <w:color w:val="auto"/>
        </w:rPr>
        <w:t>Definitions.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used in this Agreement:</w:t>
      </w:r>
    </w:p>
    <w:p>
      <w:pPr>
        <w:spacing w:after="0" w:line="192" w:lineRule="exact"/>
        <w:rPr>
          <w:sz w:val="20"/>
          <w:szCs w:val="20"/>
          <w:color w:val="auto"/>
        </w:rPr>
      </w:pPr>
    </w:p>
    <w:p>
      <w:pPr>
        <w:ind w:right="240" w:firstLine="1121"/>
        <w:spacing w:after="0" w:line="257" w:lineRule="auto"/>
        <w:tabs>
          <w:tab w:leader="none" w:pos="169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 and “Associate</w:t>
      </w:r>
      <w:r>
        <w:rPr>
          <w:rFonts w:ascii="Times New Roman" w:cs="Times New Roman" w:eastAsia="Times New Roman" w:hAnsi="Times New Roman"/>
          <w:sz w:val="16"/>
          <w:szCs w:val="16"/>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60" w:lineRule="exact"/>
        <w:rPr>
          <w:rFonts w:ascii="Times New Roman" w:cs="Times New Roman" w:eastAsia="Times New Roman" w:hAnsi="Times New Roman"/>
          <w:sz w:val="16"/>
          <w:szCs w:val="16"/>
          <w:color w:val="auto"/>
        </w:rPr>
      </w:pPr>
    </w:p>
    <w:p>
      <w:pPr>
        <w:ind w:left="1700" w:hanging="579"/>
        <w:spacing w:after="0"/>
        <w:tabs>
          <w:tab w:leader="none" w:pos="17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shall be deemed the “Beneficial Owner” of, and shall be deemed to “Beneficially Own” and have “Beneficial Ownership” of, any securities:</w:t>
      </w:r>
    </w:p>
    <w:p>
      <w:pPr>
        <w:spacing w:after="0" w:line="203" w:lineRule="exact"/>
        <w:rPr>
          <w:rFonts w:ascii="Times New Roman" w:cs="Times New Roman" w:eastAsia="Times New Roman" w:hAnsi="Times New Roman"/>
          <w:sz w:val="15"/>
          <w:szCs w:val="15"/>
          <w:color w:val="auto"/>
        </w:rPr>
      </w:pPr>
    </w:p>
    <w:p>
      <w:pPr>
        <w:ind w:right="220" w:firstLine="1685"/>
        <w:spacing w:after="0" w:line="270" w:lineRule="auto"/>
        <w:tabs>
          <w:tab w:leader="none" w:pos="223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49" w:lineRule="exact"/>
        <w:rPr>
          <w:rFonts w:ascii="Times New Roman" w:cs="Times New Roman" w:eastAsia="Times New Roman" w:hAnsi="Times New Roman"/>
          <w:sz w:val="16"/>
          <w:szCs w:val="16"/>
          <w:color w:val="auto"/>
        </w:rPr>
      </w:pPr>
    </w:p>
    <w:p>
      <w:pPr>
        <w:ind w:firstLine="1685"/>
        <w:spacing w:after="0" w:line="250" w:lineRule="auto"/>
        <w:tabs>
          <w:tab w:leader="none" w:pos="2273"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cs="Times New Roman" w:eastAsia="Times New Roman" w:hAnsi="Times New Roman"/>
          <w:sz w:val="16"/>
          <w:szCs w:val="16"/>
          <w:i w:val="1"/>
          <w:iCs w:val="1"/>
          <w:color w:val="auto"/>
        </w:rPr>
        <w:t>bona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fid</w:t>
      </w:r>
      <w:r>
        <w:rPr>
          <w:rFonts w:ascii="Times New Roman" w:cs="Times New Roman" w:eastAsia="Times New Roman" w:hAnsi="Times New Roman"/>
          <w:sz w:val="16"/>
          <w:szCs w:val="16"/>
          <w:color w:val="auto"/>
        </w:rPr>
        <w:t>e public offering of securities);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6" w:name="page67"/>
    <w:bookmarkEnd w:id="66"/>
    <w:p>
      <w:pPr>
        <w:ind w:right="80" w:firstLine="1685"/>
        <w:spacing w:after="0" w:line="253" w:lineRule="auto"/>
        <w:tabs>
          <w:tab w:leader="none" w:pos="223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public offering of securities) for the purpose of acquiring, holding, voting or disposing of any securities of the Company; or</w:t>
      </w:r>
    </w:p>
    <w:p>
      <w:pPr>
        <w:spacing w:after="0" w:line="163" w:lineRule="exact"/>
        <w:rPr>
          <w:rFonts w:ascii="Times New Roman" w:cs="Times New Roman" w:eastAsia="Times New Roman" w:hAnsi="Times New Roman"/>
          <w:sz w:val="16"/>
          <w:szCs w:val="16"/>
          <w:color w:val="auto"/>
        </w:rPr>
      </w:pPr>
    </w:p>
    <w:p>
      <w:pPr>
        <w:ind w:firstLine="1685"/>
        <w:spacing w:after="0" w:line="249" w:lineRule="auto"/>
        <w:tabs>
          <w:tab w:leader="none" w:pos="223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67" w:lineRule="exact"/>
        <w:rPr>
          <w:sz w:val="20"/>
          <w:szCs w:val="20"/>
          <w:color w:val="auto"/>
        </w:rPr>
      </w:pPr>
    </w:p>
    <w:p>
      <w:pPr>
        <w:ind w:right="280" w:firstLine="564"/>
        <w:spacing w:after="0" w:line="270" w:lineRule="auto"/>
        <w:rPr>
          <w:sz w:val="20"/>
          <w:szCs w:val="20"/>
          <w:color w:val="auto"/>
        </w:rPr>
      </w:pPr>
      <w:r>
        <w:rPr>
          <w:rFonts w:ascii="Times New Roman" w:cs="Times New Roman" w:eastAsia="Times New Roman" w:hAnsi="Times New Roman"/>
          <w:sz w:val="16"/>
          <w:szCs w:val="16"/>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50" w:lineRule="exact"/>
        <w:rPr>
          <w:sz w:val="20"/>
          <w:szCs w:val="20"/>
          <w:color w:val="auto"/>
        </w:rPr>
      </w:pPr>
    </w:p>
    <w:p>
      <w:pPr>
        <w:ind w:left="1680" w:hanging="559"/>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shall be deemed to occur upon the earliest to occur after the date of this Agreement of any of the following events:</w:t>
      </w:r>
    </w:p>
    <w:p>
      <w:pPr>
        <w:spacing w:after="0" w:line="191" w:lineRule="exact"/>
        <w:rPr>
          <w:rFonts w:ascii="Times New Roman" w:cs="Times New Roman" w:eastAsia="Times New Roman" w:hAnsi="Times New Roman"/>
          <w:sz w:val="16"/>
          <w:szCs w:val="16"/>
          <w:color w:val="auto"/>
        </w:rPr>
      </w:pPr>
    </w:p>
    <w:p>
      <w:pPr>
        <w:ind w:right="140" w:firstLine="1685"/>
        <w:spacing w:after="0" w:line="251" w:lineRule="auto"/>
        <w:tabs>
          <w:tab w:leader="none" w:pos="223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Acquisition of Stock by Third Party</w:t>
      </w:r>
      <w:r>
        <w:rPr>
          <w:rFonts w:ascii="Times New Roman" w:cs="Times New Roman" w:eastAsia="Times New Roman" w:hAnsi="Times New Roman"/>
          <w:sz w:val="16"/>
          <w:szCs w:val="16"/>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65" w:lineRule="exact"/>
        <w:rPr>
          <w:rFonts w:ascii="Times New Roman" w:cs="Times New Roman" w:eastAsia="Times New Roman" w:hAnsi="Times New Roman"/>
          <w:sz w:val="16"/>
          <w:szCs w:val="16"/>
          <w:color w:val="auto"/>
        </w:rPr>
      </w:pPr>
    </w:p>
    <w:p>
      <w:pPr>
        <w:ind w:right="240" w:firstLine="1685"/>
        <w:spacing w:after="0" w:line="251" w:lineRule="auto"/>
        <w:tabs>
          <w:tab w:leader="none" w:pos="2234"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Board of Directors</w:t>
      </w:r>
      <w:r>
        <w:rPr>
          <w:rFonts w:ascii="Times New Roman" w:cs="Times New Roman" w:eastAsia="Times New Roman" w:hAnsi="Times New Roman"/>
          <w:sz w:val="16"/>
          <w:szCs w:val="16"/>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7" w:name="page68"/>
    <w:bookmarkEnd w:id="67"/>
    <w:p>
      <w:pPr>
        <w:ind w:firstLine="1685"/>
        <w:spacing w:after="0" w:line="251" w:lineRule="auto"/>
        <w:tabs>
          <w:tab w:leader="none" w:pos="2238"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Corporate Transactions</w:t>
      </w:r>
      <w:r>
        <w:rPr>
          <w:rFonts w:ascii="Times New Roman" w:cs="Times New Roman" w:eastAsia="Times New Roman" w:hAnsi="Times New Roman"/>
          <w:sz w:val="16"/>
          <w:szCs w:val="16"/>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65" w:lineRule="exact"/>
        <w:rPr>
          <w:rFonts w:ascii="Times New Roman" w:cs="Times New Roman" w:eastAsia="Times New Roman" w:hAnsi="Times New Roman"/>
          <w:sz w:val="16"/>
          <w:szCs w:val="16"/>
          <w:color w:val="auto"/>
        </w:rPr>
      </w:pPr>
    </w:p>
    <w:p>
      <w:pPr>
        <w:ind w:right="200" w:firstLine="1685"/>
        <w:spacing w:after="0" w:line="270" w:lineRule="auto"/>
        <w:tabs>
          <w:tab w:leader="none" w:pos="223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Liquidation</w:t>
      </w:r>
      <w:r>
        <w:rPr>
          <w:rFonts w:ascii="Times New Roman" w:cs="Times New Roman" w:eastAsia="Times New Roman" w:hAnsi="Times New Roman"/>
          <w:sz w:val="16"/>
          <w:szCs w:val="16"/>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49" w:lineRule="exact"/>
        <w:rPr>
          <w:rFonts w:ascii="Times New Roman" w:cs="Times New Roman" w:eastAsia="Times New Roman" w:hAnsi="Times New Roman"/>
          <w:sz w:val="16"/>
          <w:szCs w:val="16"/>
          <w:color w:val="auto"/>
        </w:rPr>
      </w:pPr>
    </w:p>
    <w:p>
      <w:pPr>
        <w:jc w:val="both"/>
        <w:ind w:right="440" w:firstLine="1685"/>
        <w:spacing w:after="0" w:line="257" w:lineRule="auto"/>
        <w:tabs>
          <w:tab w:leader="none" w:pos="2225"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Events</w:t>
      </w:r>
      <w:r>
        <w:rPr>
          <w:rFonts w:ascii="Times New Roman" w:cs="Times New Roman" w:eastAsia="Times New Roman" w:hAnsi="Times New Roman"/>
          <w:sz w:val="16"/>
          <w:szCs w:val="16"/>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160" w:lineRule="exact"/>
        <w:rPr>
          <w:rFonts w:ascii="Times New Roman" w:cs="Times New Roman" w:eastAsia="Times New Roman" w:hAnsi="Times New Roman"/>
          <w:sz w:val="16"/>
          <w:szCs w:val="16"/>
          <w:color w:val="auto"/>
        </w:rPr>
      </w:pPr>
    </w:p>
    <w:p>
      <w:pPr>
        <w:ind w:firstLine="1121"/>
        <w:spacing w:after="0" w:line="270" w:lineRule="auto"/>
        <w:tabs>
          <w:tab w:leader="none" w:pos="166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Corporate Status</w:t>
      </w:r>
      <w:r>
        <w:rPr>
          <w:rFonts w:ascii="Times New Roman" w:cs="Times New Roman" w:eastAsia="Times New Roman" w:hAnsi="Times New Roman"/>
          <w:sz w:val="16"/>
          <w:szCs w:val="16"/>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49" w:lineRule="exact"/>
        <w:rPr>
          <w:rFonts w:ascii="Times New Roman" w:cs="Times New Roman" w:eastAsia="Times New Roman" w:hAnsi="Times New Roman"/>
          <w:sz w:val="16"/>
          <w:szCs w:val="16"/>
          <w:color w:val="auto"/>
        </w:rPr>
      </w:pPr>
    </w:p>
    <w:p>
      <w:pPr>
        <w:ind w:right="40" w:firstLine="1121"/>
        <w:spacing w:after="0" w:line="253" w:lineRule="auto"/>
        <w:tabs>
          <w:tab w:leader="none" w:pos="169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Enforcement Expenses</w:t>
      </w:r>
      <w:r>
        <w:rPr>
          <w:rFonts w:ascii="Times New Roman" w:cs="Times New Roman" w:eastAsia="Times New Roman" w:hAnsi="Times New Roman"/>
          <w:sz w:val="16"/>
          <w:szCs w:val="16"/>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63" w:lineRule="exact"/>
        <w:rPr>
          <w:rFonts w:ascii="Times New Roman" w:cs="Times New Roman" w:eastAsia="Times New Roman" w:hAnsi="Times New Roman"/>
          <w:sz w:val="16"/>
          <w:szCs w:val="16"/>
          <w:color w:val="auto"/>
        </w:rPr>
      </w:pPr>
    </w:p>
    <w:p>
      <w:pPr>
        <w:ind w:right="60" w:firstLine="1121"/>
        <w:spacing w:after="0" w:line="270" w:lineRule="auto"/>
        <w:tabs>
          <w:tab w:leader="none" w:pos="167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Enterprise</w:t>
      </w:r>
      <w:r>
        <w:rPr>
          <w:rFonts w:ascii="Times New Roman" w:cs="Times New Roman" w:eastAsia="Times New Roman" w:hAnsi="Times New Roman"/>
          <w:sz w:val="16"/>
          <w:szCs w:val="16"/>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49" w:lineRule="exact"/>
        <w:rPr>
          <w:rFonts w:ascii="Times New Roman" w:cs="Times New Roman" w:eastAsia="Times New Roman" w:hAnsi="Times New Roman"/>
          <w:sz w:val="16"/>
          <w:szCs w:val="16"/>
          <w:color w:val="auto"/>
        </w:rPr>
      </w:pPr>
    </w:p>
    <w:p>
      <w:pPr>
        <w:ind w:right="140" w:firstLine="1121"/>
        <w:spacing w:after="0" w:line="251" w:lineRule="auto"/>
        <w:tabs>
          <w:tab w:leader="none" w:pos="170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ind w:right="80" w:firstLine="1121"/>
        <w:spacing w:after="0" w:line="249" w:lineRule="auto"/>
        <w:tabs>
          <w:tab w:leader="none" w:pos="170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Counsel</w:t>
      </w:r>
      <w:r>
        <w:rPr>
          <w:rFonts w:ascii="Times New Roman" w:cs="Times New Roman" w:eastAsia="Times New Roman" w:hAnsi="Times New Roman"/>
          <w:sz w:val="16"/>
          <w:szCs w:val="16"/>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66" w:lineRule="exact"/>
        <w:rPr>
          <w:rFonts w:ascii="Times New Roman" w:cs="Times New Roman" w:eastAsia="Times New Roman" w:hAnsi="Times New Roman"/>
          <w:sz w:val="16"/>
          <w:szCs w:val="16"/>
          <w:color w:val="auto"/>
        </w:rPr>
      </w:pPr>
    </w:p>
    <w:p>
      <w:pPr>
        <w:ind w:right="40" w:firstLine="1121"/>
        <w:spacing w:after="0" w:line="257" w:lineRule="auto"/>
        <w:tabs>
          <w:tab w:leader="none" w:pos="166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60" w:lineRule="exact"/>
        <w:rPr>
          <w:rFonts w:ascii="Times New Roman" w:cs="Times New Roman" w:eastAsia="Times New Roman" w:hAnsi="Times New Roman"/>
          <w:sz w:val="16"/>
          <w:szCs w:val="16"/>
          <w:color w:val="auto"/>
        </w:rPr>
      </w:pPr>
    </w:p>
    <w:p>
      <w:pPr>
        <w:ind w:firstLine="1121"/>
        <w:spacing w:after="0" w:line="248" w:lineRule="auto"/>
        <w:tabs>
          <w:tab w:leader="none" w:pos="166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term “Proceeding” shall not include any action, suit or arbitration, or part thereof, initiated by Indemnitee to enforce Indemnitee’s rights under this Agreement as provided for in Section 12(a) of this Agreement.</w:t>
      </w:r>
    </w:p>
    <w:p>
      <w:pPr>
        <w:spacing w:after="0" w:line="168" w:lineRule="exact"/>
        <w:rPr>
          <w:sz w:val="20"/>
          <w:szCs w:val="20"/>
          <w:color w:val="auto"/>
        </w:rPr>
      </w:pPr>
    </w:p>
    <w:p>
      <w:pPr>
        <w:ind w:right="20" w:firstLine="564"/>
        <w:spacing w:after="0" w:line="272" w:lineRule="auto"/>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Indemnity in Third-Party Proceedings</w:t>
      </w:r>
      <w:r>
        <w:rPr>
          <w:rFonts w:ascii="Times New Roman" w:cs="Times New Roman" w:eastAsia="Times New Roman" w:hAnsi="Times New Roman"/>
          <w:sz w:val="15"/>
          <w:szCs w:val="15"/>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9" w:name="page70"/>
    <w:bookmarkEnd w:id="69"/>
    <w:p>
      <w:pPr>
        <w:ind w:firstLine="564"/>
        <w:spacing w:after="0" w:line="268" w:lineRule="auto"/>
        <w:rPr>
          <w:sz w:val="20"/>
          <w:szCs w:val="20"/>
          <w:color w:val="auto"/>
        </w:rPr>
      </w:pPr>
      <w:r>
        <w:rPr>
          <w:rFonts w:ascii="Times New Roman" w:cs="Times New Roman" w:eastAsia="Times New Roman" w:hAnsi="Times New Roman"/>
          <w:sz w:val="15"/>
          <w:szCs w:val="15"/>
          <w:color w:val="auto"/>
        </w:rPr>
        <w:t xml:space="preserve">Section 4. </w:t>
      </w:r>
      <w:r>
        <w:rPr>
          <w:rFonts w:ascii="Times New Roman" w:cs="Times New Roman" w:eastAsia="Times New Roman" w:hAnsi="Times New Roman"/>
          <w:sz w:val="15"/>
          <w:szCs w:val="15"/>
          <w:u w:val="single" w:color="auto"/>
          <w:color w:val="auto"/>
        </w:rPr>
        <w:t>Indemnity in Proceedings by or in the Right of the Company</w:t>
      </w:r>
      <w:r>
        <w:rPr>
          <w:rFonts w:ascii="Times New Roman" w:cs="Times New Roman" w:eastAsia="Times New Roman" w:hAnsi="Times New Roman"/>
          <w:sz w:val="15"/>
          <w:szCs w:val="15"/>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55" w:lineRule="exact"/>
        <w:rPr>
          <w:sz w:val="20"/>
          <w:szCs w:val="20"/>
          <w:color w:val="auto"/>
        </w:rPr>
      </w:pPr>
    </w:p>
    <w:p>
      <w:pPr>
        <w:ind w:firstLine="546"/>
        <w:spacing w:after="0" w:line="249"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Indemnification for Expenses of a Party Who is Wholly or Partly Successful</w:t>
      </w:r>
      <w:r>
        <w:rPr>
          <w:rFonts w:ascii="Times New Roman" w:cs="Times New Roman" w:eastAsia="Times New Roman" w:hAnsi="Times New Roman"/>
          <w:sz w:val="16"/>
          <w:szCs w:val="16"/>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7" w:lineRule="exact"/>
        <w:rPr>
          <w:sz w:val="20"/>
          <w:szCs w:val="20"/>
          <w:color w:val="auto"/>
        </w:rPr>
      </w:pPr>
    </w:p>
    <w:p>
      <w:pPr>
        <w:ind w:right="20" w:firstLine="546"/>
        <w:spacing w:after="0" w:line="253"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Reimbursement for Expenses of a Witness or in Response to a Subpoena</w:t>
      </w:r>
      <w:r>
        <w:rPr>
          <w:rFonts w:ascii="Times New Roman" w:cs="Times New Roman" w:eastAsia="Times New Roman" w:hAnsi="Times New Roman"/>
          <w:sz w:val="16"/>
          <w:szCs w:val="16"/>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64"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6"/>
          <w:szCs w:val="16"/>
          <w:color w:val="auto"/>
        </w:rPr>
        <w:t>Section 7.</w:t>
      </w:r>
      <w:r>
        <w:rPr>
          <w:sz w:val="20"/>
          <w:szCs w:val="20"/>
          <w:color w:val="auto"/>
        </w:rPr>
        <w:tab/>
      </w:r>
      <w:r>
        <w:rPr>
          <w:rFonts w:ascii="Times New Roman" w:cs="Times New Roman" w:eastAsia="Times New Roman" w:hAnsi="Times New Roman"/>
          <w:sz w:val="15"/>
          <w:szCs w:val="15"/>
          <w:u w:val="single" w:color="auto"/>
          <w:color w:val="auto"/>
        </w:rPr>
        <w:t>Exclusions</w:t>
      </w:r>
      <w:r>
        <w:rPr>
          <w:rFonts w:ascii="Times New Roman" w:cs="Times New Roman" w:eastAsia="Times New Roman" w:hAnsi="Times New Roman"/>
          <w:sz w:val="15"/>
          <w:szCs w:val="15"/>
          <w:color w:val="auto"/>
        </w:rPr>
        <w:t>. Notwithstanding any provision in this Agreement to the contrary, the Company shall not be obligated under this Agreement:</w:t>
      </w:r>
    </w:p>
    <w:p>
      <w:pPr>
        <w:spacing w:after="0" w:line="192" w:lineRule="exact"/>
        <w:rPr>
          <w:sz w:val="20"/>
          <w:szCs w:val="20"/>
          <w:color w:val="auto"/>
        </w:rPr>
      </w:pPr>
    </w:p>
    <w:p>
      <w:pPr>
        <w:jc w:val="both"/>
        <w:ind w:right="20" w:firstLine="1121"/>
        <w:spacing w:after="0" w:line="257" w:lineRule="auto"/>
        <w:tabs>
          <w:tab w:leader="none" w:pos="169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indemnify for amounts otherwise indemnifiable hereunder (or for which advancement is provided hereunder) if and to the extent that Indemnitee has otherwise actually received such amounts under any insurance policy, contract, agreement or otherwise;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affect the rights of Indemnitee or the Fund Indemnitors as set forth in Section 13(c)];</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0" w:name="page71"/>
    <w:bookmarkEnd w:id="70"/>
    <w:p>
      <w:pPr>
        <w:ind w:right="20" w:firstLine="1121"/>
        <w:spacing w:after="0" w:line="257" w:lineRule="auto"/>
        <w:tabs>
          <w:tab w:leader="none" w:pos="170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(“SOX”)];</w:t>
      </w:r>
    </w:p>
    <w:p>
      <w:pPr>
        <w:spacing w:after="0" w:line="160" w:lineRule="exact"/>
        <w:rPr>
          <w:rFonts w:ascii="Times New Roman" w:cs="Times New Roman" w:eastAsia="Times New Roman" w:hAnsi="Times New Roman"/>
          <w:sz w:val="16"/>
          <w:szCs w:val="16"/>
          <w:color w:val="auto"/>
        </w:rPr>
      </w:pPr>
    </w:p>
    <w:p>
      <w:pPr>
        <w:ind w:firstLine="1121"/>
        <w:spacing w:after="0" w:line="250" w:lineRule="auto"/>
        <w:tabs>
          <w:tab w:leader="none" w:pos="169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65" w:lineRule="exact"/>
        <w:rPr>
          <w:rFonts w:ascii="Times New Roman" w:cs="Times New Roman" w:eastAsia="Times New Roman" w:hAnsi="Times New Roman"/>
          <w:sz w:val="16"/>
          <w:szCs w:val="16"/>
          <w:color w:val="auto"/>
        </w:rPr>
      </w:pPr>
    </w:p>
    <w:p>
      <w:pPr>
        <w:ind w:firstLine="1121"/>
        <w:spacing w:after="0" w:line="270" w:lineRule="auto"/>
        <w:tabs>
          <w:tab w:leader="none" w:pos="170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any indemnification or advancement of expenses that is prohibited by applicable law (as such law exists at the time payment would otherwise be required pursuant to this Agreement).</w:t>
      </w:r>
    </w:p>
    <w:p>
      <w:pPr>
        <w:spacing w:after="0" w:line="150" w:lineRule="exact"/>
        <w:rPr>
          <w:sz w:val="20"/>
          <w:szCs w:val="20"/>
          <w:color w:val="auto"/>
        </w:rPr>
      </w:pPr>
    </w:p>
    <w:p>
      <w:pPr>
        <w:ind w:right="40" w:firstLine="546"/>
        <w:spacing w:after="0" w:line="265" w:lineRule="auto"/>
        <w:rPr>
          <w:sz w:val="20"/>
          <w:szCs w:val="20"/>
          <w:color w:val="auto"/>
        </w:rPr>
      </w:pPr>
      <w:r>
        <w:rPr>
          <w:rFonts w:ascii="Times New Roman" w:cs="Times New Roman" w:eastAsia="Times New Roman" w:hAnsi="Times New Roman"/>
          <w:sz w:val="15"/>
          <w:szCs w:val="15"/>
          <w:color w:val="auto"/>
        </w:rPr>
        <w:t xml:space="preserve">Section 8. </w:t>
      </w:r>
      <w:r>
        <w:rPr>
          <w:rFonts w:ascii="Times New Roman" w:cs="Times New Roman" w:eastAsia="Times New Roman" w:hAnsi="Times New Roman"/>
          <w:sz w:val="15"/>
          <w:szCs w:val="15"/>
          <w:u w:val="single" w:color="auto"/>
          <w:color w:val="auto"/>
        </w:rPr>
        <w:t>Advancement of Expenses</w:t>
      </w:r>
      <w:r>
        <w:rPr>
          <w:rFonts w:ascii="Times New Roman" w:cs="Times New Roman" w:eastAsia="Times New Roman" w:hAnsi="Times New Roman"/>
          <w:sz w:val="15"/>
          <w:szCs w:val="15"/>
          <w:color w:val="auto"/>
        </w:rPr>
        <w:t>. Subject to Section 9(b), the Company shall advance, the Expenses incurred by Indemnitee in connection with any Proceeding, and such advancement shall be made as incurred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5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6"/>
          <w:szCs w:val="16"/>
          <w:color w:val="auto"/>
        </w:rPr>
        <w:t>Section 9.</w:t>
      </w:r>
      <w:r>
        <w:rPr>
          <w:sz w:val="20"/>
          <w:szCs w:val="20"/>
          <w:color w:val="auto"/>
        </w:rPr>
        <w:tab/>
      </w:r>
      <w:r>
        <w:rPr>
          <w:rFonts w:ascii="Times New Roman" w:cs="Times New Roman" w:eastAsia="Times New Roman" w:hAnsi="Times New Roman"/>
          <w:sz w:val="15"/>
          <w:szCs w:val="15"/>
          <w:u w:val="single" w:color="auto"/>
          <w:color w:val="auto"/>
        </w:rPr>
        <w:t>Procedure for Notification and Defense of Claim</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40" w:firstLine="1121"/>
        <w:spacing w:after="0" w:line="270" w:lineRule="auto"/>
        <w:tabs>
          <w:tab w:leader="none" w:pos="169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ind w:left="-20" w:right="100" w:firstLine="1121"/>
        <w:spacing w:after="0" w:line="248" w:lineRule="auto"/>
        <w:tabs>
          <w:tab w:leader="none" w:pos="168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67" w:lineRule="exact"/>
        <w:rPr>
          <w:rFonts w:ascii="Times New Roman" w:cs="Times New Roman" w:eastAsia="Times New Roman" w:hAnsi="Times New Roman"/>
          <w:sz w:val="16"/>
          <w:szCs w:val="16"/>
          <w:color w:val="auto"/>
        </w:rPr>
      </w:pPr>
    </w:p>
    <w:p>
      <w:pPr>
        <w:ind w:left="-20" w:right="420" w:firstLine="1121"/>
        <w:spacing w:after="0" w:line="270" w:lineRule="auto"/>
        <w:tabs>
          <w:tab w:leader="none" w:pos="167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Company does not assume the defense in a Proceeding pursuant to paragraph (b) above, then the Company will be entitled to participate in the Proceeding at its own expense.</w:t>
      </w:r>
    </w:p>
    <w:p>
      <w:pPr>
        <w:spacing w:after="0" w:line="149" w:lineRule="exact"/>
        <w:rPr>
          <w:rFonts w:ascii="Times New Roman" w:cs="Times New Roman" w:eastAsia="Times New Roman" w:hAnsi="Times New Roman"/>
          <w:sz w:val="16"/>
          <w:szCs w:val="16"/>
          <w:color w:val="auto"/>
        </w:rPr>
      </w:pPr>
    </w:p>
    <w:p>
      <w:pPr>
        <w:ind w:left="-20" w:firstLine="1121"/>
        <w:spacing w:after="0" w:line="248" w:lineRule="auto"/>
        <w:tabs>
          <w:tab w:leader="none" w:pos="164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72" w:name="page73"/>
    <w:bookmarkEnd w:id="72"/>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10.</w:t>
      </w:r>
      <w:r>
        <w:rPr>
          <w:sz w:val="20"/>
          <w:szCs w:val="20"/>
          <w:color w:val="auto"/>
        </w:rPr>
        <w:tab/>
      </w:r>
      <w:r>
        <w:rPr>
          <w:rFonts w:ascii="Times New Roman" w:cs="Times New Roman" w:eastAsia="Times New Roman" w:hAnsi="Times New Roman"/>
          <w:sz w:val="15"/>
          <w:szCs w:val="15"/>
          <w:u w:val="single" w:color="auto"/>
          <w:color w:val="auto"/>
        </w:rPr>
        <w:t>Procedure Upon Application for Indemnification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1121"/>
        <w:spacing w:after="0" w:line="246" w:lineRule="auto"/>
        <w:tabs>
          <w:tab w:leader="none" w:pos="169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76" w:lineRule="exact"/>
        <w:rPr>
          <w:rFonts w:ascii="Times New Roman" w:cs="Times New Roman" w:eastAsia="Times New Roman" w:hAnsi="Times New Roman"/>
          <w:sz w:val="16"/>
          <w:szCs w:val="16"/>
          <w:color w:val="auto"/>
        </w:rPr>
      </w:pPr>
    </w:p>
    <w:p>
      <w:pPr>
        <w:ind w:firstLine="1121"/>
        <w:spacing w:after="0" w:line="247" w:lineRule="auto"/>
        <w:tabs>
          <w:tab w:leader="none" w:pos="170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3" w:name="page74"/>
    <w:bookmarkEnd w:id="73"/>
    <w:p>
      <w:pPr>
        <w:ind w:firstLine="1121"/>
        <w:spacing w:after="0" w:line="253" w:lineRule="auto"/>
        <w:tabs>
          <w:tab w:leader="none" w:pos="169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64" w:lineRule="exact"/>
        <w:rPr>
          <w:sz w:val="20"/>
          <w:szCs w:val="20"/>
          <w:color w:val="auto"/>
        </w:rPr>
      </w:pPr>
    </w:p>
    <w:p>
      <w:pPr>
        <w:ind w:left="560"/>
        <w:spacing w:after="0"/>
        <w:tabs>
          <w:tab w:leader="none" w:pos="1620" w:val="left"/>
        </w:tabs>
        <w:rPr>
          <w:sz w:val="20"/>
          <w:szCs w:val="20"/>
          <w:color w:val="auto"/>
        </w:rPr>
      </w:pPr>
      <w:r>
        <w:rPr>
          <w:rFonts w:ascii="Times New Roman" w:cs="Times New Roman" w:eastAsia="Times New Roman" w:hAnsi="Times New Roman"/>
          <w:sz w:val="16"/>
          <w:szCs w:val="16"/>
          <w:color w:val="auto"/>
        </w:rPr>
        <w:t>Section 11.</w:t>
      </w:r>
      <w:r>
        <w:rPr>
          <w:sz w:val="20"/>
          <w:szCs w:val="20"/>
          <w:color w:val="auto"/>
        </w:rPr>
        <w:tab/>
      </w:r>
      <w:r>
        <w:rPr>
          <w:rFonts w:ascii="Times New Roman" w:cs="Times New Roman" w:eastAsia="Times New Roman" w:hAnsi="Times New Roman"/>
          <w:sz w:val="15"/>
          <w:szCs w:val="15"/>
          <w:u w:val="single" w:color="auto"/>
          <w:color w:val="auto"/>
        </w:rPr>
        <w:t>Presumptions and Effect of Certain Proceedings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80" w:firstLine="1121"/>
        <w:spacing w:after="0" w:line="253" w:lineRule="auto"/>
        <w:tabs>
          <w:tab w:leader="none" w:pos="169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63" w:lineRule="exact"/>
        <w:rPr>
          <w:rFonts w:ascii="Times New Roman" w:cs="Times New Roman" w:eastAsia="Times New Roman" w:hAnsi="Times New Roman"/>
          <w:sz w:val="16"/>
          <w:szCs w:val="16"/>
          <w:color w:val="auto"/>
        </w:rPr>
      </w:pPr>
    </w:p>
    <w:p>
      <w:pPr>
        <w:ind w:left="1700" w:hanging="579"/>
        <w:spacing w:after="0"/>
        <w:tabs>
          <w:tab w:leader="none" w:pos="17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any Proceeding or of any claim, issue or matter therein, by judgment, order, settlement or conviction, or upon a plea of guilty,</w:t>
      </w:r>
    </w:p>
    <w:p>
      <w:pPr>
        <w:spacing w:after="0" w:line="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u w:val="single" w:color="auto"/>
          <w:color w:val="auto"/>
        </w:rPr>
        <w:t>nolo contendere</w:t>
      </w:r>
      <w:r>
        <w:rPr>
          <w:rFonts w:ascii="Times New Roman" w:cs="Times New Roman" w:eastAsia="Times New Roman" w:hAnsi="Times New Roman"/>
          <w:sz w:val="16"/>
          <w:szCs w:val="16"/>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68" w:lineRule="exact"/>
        <w:rPr>
          <w:sz w:val="20"/>
          <w:szCs w:val="20"/>
          <w:color w:val="auto"/>
        </w:rPr>
      </w:pPr>
    </w:p>
    <w:p>
      <w:pPr>
        <w:ind w:right="40" w:firstLine="1121"/>
        <w:spacing w:after="0" w:line="247" w:lineRule="auto"/>
        <w:tabs>
          <w:tab w:leader="none" w:pos="169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ind w:left="520"/>
        <w:spacing w:after="0"/>
        <w:tabs>
          <w:tab w:leader="none" w:pos="1600" w:val="left"/>
        </w:tabs>
        <w:rPr>
          <w:sz w:val="20"/>
          <w:szCs w:val="20"/>
          <w:color w:val="auto"/>
        </w:rPr>
      </w:pPr>
      <w:r>
        <w:rPr>
          <w:rFonts w:ascii="Times New Roman" w:cs="Times New Roman" w:eastAsia="Times New Roman" w:hAnsi="Times New Roman"/>
          <w:sz w:val="16"/>
          <w:szCs w:val="16"/>
          <w:color w:val="auto"/>
        </w:rPr>
        <w:t>Section 12.</w:t>
      </w:r>
      <w:r>
        <w:rPr>
          <w:sz w:val="20"/>
          <w:szCs w:val="20"/>
          <w:color w:val="auto"/>
        </w:rPr>
        <w:tab/>
      </w:r>
      <w:r>
        <w:rPr>
          <w:rFonts w:ascii="Times New Roman" w:cs="Times New Roman" w:eastAsia="Times New Roman" w:hAnsi="Times New Roman"/>
          <w:sz w:val="15"/>
          <w:szCs w:val="15"/>
          <w:u w:val="single" w:color="auto"/>
          <w:color w:val="auto"/>
        </w:rPr>
        <w:t>Remedies of Indemnitee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40" w:firstLine="1121"/>
        <w:spacing w:after="0" w:line="247" w:lineRule="auto"/>
        <w:tabs>
          <w:tab w:leader="none" w:pos="165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70" w:lineRule="exact"/>
        <w:rPr>
          <w:rFonts w:ascii="Times New Roman" w:cs="Times New Roman" w:eastAsia="Times New Roman" w:hAnsi="Times New Roman"/>
          <w:sz w:val="16"/>
          <w:szCs w:val="16"/>
          <w:color w:val="auto"/>
        </w:rPr>
      </w:pPr>
    </w:p>
    <w:p>
      <w:pPr>
        <w:ind w:left="-40" w:right="40" w:firstLine="1121"/>
        <w:spacing w:after="0" w:line="253" w:lineRule="auto"/>
        <w:tabs>
          <w:tab w:leader="none" w:pos="166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63" w:lineRule="exact"/>
        <w:rPr>
          <w:rFonts w:ascii="Times New Roman" w:cs="Times New Roman" w:eastAsia="Times New Roman" w:hAnsi="Times New Roman"/>
          <w:sz w:val="16"/>
          <w:szCs w:val="16"/>
          <w:color w:val="auto"/>
        </w:rPr>
      </w:pPr>
    </w:p>
    <w:p>
      <w:pPr>
        <w:jc w:val="both"/>
        <w:ind w:left="-40" w:right="100" w:firstLine="1121"/>
        <w:spacing w:after="0" w:line="253" w:lineRule="auto"/>
        <w:tabs>
          <w:tab w:leader="none" w:pos="165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63" w:lineRule="exact"/>
        <w:rPr>
          <w:rFonts w:ascii="Times New Roman" w:cs="Times New Roman" w:eastAsia="Times New Roman" w:hAnsi="Times New Roman"/>
          <w:sz w:val="16"/>
          <w:szCs w:val="16"/>
          <w:color w:val="auto"/>
        </w:rPr>
      </w:pPr>
    </w:p>
    <w:p>
      <w:pPr>
        <w:ind w:left="-40" w:right="20" w:firstLine="1121"/>
        <w:spacing w:after="0" w:line="257" w:lineRule="auto"/>
        <w:tabs>
          <w:tab w:leader="none" w:pos="162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75" w:name="page76"/>
    <w:bookmarkEnd w:id="75"/>
    <w:p>
      <w:pPr>
        <w:ind w:left="-20" w:right="80" w:firstLine="1121"/>
        <w:spacing w:after="0" w:line="249" w:lineRule="auto"/>
        <w:tabs>
          <w:tab w:leader="none" w:pos="163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66" w:lineRule="exact"/>
        <w:rPr>
          <w:rFonts w:ascii="Times New Roman" w:cs="Times New Roman" w:eastAsia="Times New Roman" w:hAnsi="Times New Roman"/>
          <w:sz w:val="16"/>
          <w:szCs w:val="16"/>
          <w:color w:val="auto"/>
        </w:rPr>
      </w:pPr>
    </w:p>
    <w:p>
      <w:pPr>
        <w:ind w:left="-20" w:right="500" w:firstLine="1121"/>
        <w:spacing w:after="0" w:line="270" w:lineRule="auto"/>
        <w:tabs>
          <w:tab w:leader="none" w:pos="165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5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6"/>
          <w:szCs w:val="16"/>
          <w:color w:val="auto"/>
        </w:rPr>
        <w:t>Section 13.</w:t>
      </w:r>
      <w:r>
        <w:rPr>
          <w:sz w:val="20"/>
          <w:szCs w:val="20"/>
          <w:color w:val="auto"/>
        </w:rPr>
        <w:tab/>
      </w:r>
      <w:r>
        <w:rPr>
          <w:rFonts w:ascii="Times New Roman" w:cs="Times New Roman" w:eastAsia="Times New Roman" w:hAnsi="Times New Roman"/>
          <w:sz w:val="15"/>
          <w:szCs w:val="15"/>
          <w:u w:val="single" w:color="auto"/>
          <w:color w:val="auto"/>
        </w:rPr>
        <w:t>Non-exclusivity; Survival of Rights; Insurance; Primacy of Indemnification; Subrogation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20" w:firstLine="1121"/>
        <w:spacing w:after="0" w:line="267" w:lineRule="auto"/>
        <w:tabs>
          <w:tab w:leader="none" w:pos="1633"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55" w:lineRule="exact"/>
        <w:rPr>
          <w:rFonts w:ascii="Times New Roman" w:cs="Times New Roman" w:eastAsia="Times New Roman" w:hAnsi="Times New Roman"/>
          <w:sz w:val="15"/>
          <w:szCs w:val="15"/>
          <w:color w:val="auto"/>
        </w:rPr>
      </w:pPr>
    </w:p>
    <w:p>
      <w:pPr>
        <w:ind w:left="-20" w:right="20" w:firstLine="1121"/>
        <w:spacing w:after="0" w:line="267" w:lineRule="auto"/>
        <w:tabs>
          <w:tab w:leader="none" w:pos="164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76" w:name="page77"/>
    <w:bookmarkEnd w:id="76"/>
    <w:p>
      <w:pPr>
        <w:ind w:firstLine="1121"/>
        <w:spacing w:after="0" w:line="247" w:lineRule="auto"/>
        <w:tabs>
          <w:tab w:leader="none" w:pos="165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acknowledges that Indemnitee has certain rights to indemnification, advancement of expenses and/or insurance provided by [Name of Fund/Sponsor] and certain of its affiliates (collectively, the “</w:t>
      </w:r>
      <w:r>
        <w:rPr>
          <w:rFonts w:ascii="Times New Roman" w:cs="Times New Roman" w:eastAsia="Times New Roman" w:hAnsi="Times New Roman"/>
          <w:sz w:val="16"/>
          <w:szCs w:val="16"/>
          <w:u w:val="single" w:color="auto"/>
          <w:color w:val="auto"/>
        </w:rPr>
        <w:t>Fund Indemnitors</w:t>
      </w:r>
      <w:r>
        <w:rPr>
          <w:rFonts w:ascii="Times New Roman" w:cs="Times New Roman" w:eastAsia="Times New Roman" w:hAnsi="Times New Roman"/>
          <w:sz w:val="16"/>
          <w:szCs w:val="16"/>
          <w:color w:val="auto"/>
        </w:rPr>
        <w:t>”). The Company hereby agrees (i) that it is the indemnitor of first resort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spacing w:after="0" w:line="171" w:lineRule="exact"/>
        <w:rPr>
          <w:rFonts w:ascii="Times New Roman" w:cs="Times New Roman" w:eastAsia="Times New Roman" w:hAnsi="Times New Roman"/>
          <w:sz w:val="16"/>
          <w:szCs w:val="16"/>
          <w:color w:val="auto"/>
        </w:rPr>
      </w:pPr>
    </w:p>
    <w:p>
      <w:pPr>
        <w:ind w:right="100" w:firstLine="1121"/>
        <w:spacing w:after="0" w:line="257" w:lineRule="auto"/>
        <w:tabs>
          <w:tab w:leader="none" w:pos="166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60" w:lineRule="exact"/>
        <w:rPr>
          <w:rFonts w:ascii="Times New Roman" w:cs="Times New Roman" w:eastAsia="Times New Roman" w:hAnsi="Times New Roman"/>
          <w:sz w:val="16"/>
          <w:szCs w:val="16"/>
          <w:color w:val="auto"/>
        </w:rPr>
      </w:pPr>
    </w:p>
    <w:p>
      <w:pPr>
        <w:ind w:right="60" w:firstLine="1121"/>
        <w:spacing w:after="0" w:line="257" w:lineRule="auto"/>
        <w:tabs>
          <w:tab w:leader="none" w:pos="165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paragraph (c) above,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60" w:lineRule="exact"/>
        <w:rPr>
          <w:sz w:val="20"/>
          <w:szCs w:val="20"/>
          <w:color w:val="auto"/>
        </w:rPr>
      </w:pPr>
    </w:p>
    <w:p>
      <w:pPr>
        <w:ind w:right="60" w:firstLine="564"/>
        <w:spacing w:after="0" w:line="249"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Duration of Agreement</w:t>
      </w:r>
      <w:r>
        <w:rPr>
          <w:rFonts w:ascii="Times New Roman" w:cs="Times New Roman" w:eastAsia="Times New Roman" w:hAnsi="Times New Roman"/>
          <w:sz w:val="16"/>
          <w:szCs w:val="16"/>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7" w:name="page78"/>
    <w:bookmarkEnd w:id="77"/>
    <w:p>
      <w:pPr>
        <w:ind w:firstLine="564"/>
        <w:spacing w:after="0" w:line="249"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67" w:lineRule="exact"/>
        <w:rPr>
          <w:sz w:val="20"/>
          <w:szCs w:val="20"/>
          <w:color w:val="auto"/>
        </w:rPr>
      </w:pPr>
    </w:p>
    <w:p>
      <w:pPr>
        <w:ind w:left="560"/>
        <w:spacing w:after="0"/>
        <w:tabs>
          <w:tab w:leader="none" w:pos="1640" w:val="left"/>
        </w:tabs>
        <w:rPr>
          <w:sz w:val="20"/>
          <w:szCs w:val="20"/>
          <w:color w:val="auto"/>
        </w:rPr>
      </w:pPr>
      <w:r>
        <w:rPr>
          <w:rFonts w:ascii="Times New Roman" w:cs="Times New Roman" w:eastAsia="Times New Roman" w:hAnsi="Times New Roman"/>
          <w:sz w:val="16"/>
          <w:szCs w:val="16"/>
          <w:color w:val="auto"/>
        </w:rPr>
        <w:t>Section 16.</w:t>
      </w:r>
      <w:r>
        <w:rPr>
          <w:sz w:val="20"/>
          <w:szCs w:val="20"/>
          <w:color w:val="auto"/>
        </w:rPr>
        <w:tab/>
      </w:r>
      <w:r>
        <w:rPr>
          <w:rFonts w:ascii="Times New Roman" w:cs="Times New Roman" w:eastAsia="Times New Roman" w:hAnsi="Times New Roman"/>
          <w:sz w:val="15"/>
          <w:szCs w:val="15"/>
          <w:u w:val="single" w:color="auto"/>
          <w:color w:val="auto"/>
        </w:rPr>
        <w:t>Enforcement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1121"/>
        <w:spacing w:after="0" w:line="257" w:lineRule="auto"/>
        <w:tabs>
          <w:tab w:leader="none" w:pos="169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60" w:lineRule="exact"/>
        <w:rPr>
          <w:rFonts w:ascii="Times New Roman" w:cs="Times New Roman" w:eastAsia="Times New Roman" w:hAnsi="Times New Roman"/>
          <w:sz w:val="16"/>
          <w:szCs w:val="16"/>
          <w:color w:val="auto"/>
        </w:rPr>
      </w:pPr>
    </w:p>
    <w:p>
      <w:pPr>
        <w:ind w:firstLine="1121"/>
        <w:spacing w:after="0" w:line="282" w:lineRule="auto"/>
        <w:tabs>
          <w:tab w:leader="none" w:pos="1701"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this Agreement is a supplement to and in furtherance of the Charter, the Bylaws and applicable law, and shall not be deemed a substitute therefor, nor to diminish or abrogate any rights of Indemnitee thereunder.</w:t>
      </w:r>
    </w:p>
    <w:p>
      <w:pPr>
        <w:spacing w:after="0" w:line="143" w:lineRule="exact"/>
        <w:rPr>
          <w:sz w:val="20"/>
          <w:szCs w:val="20"/>
          <w:color w:val="auto"/>
        </w:rPr>
      </w:pPr>
    </w:p>
    <w:p>
      <w:pPr>
        <w:ind w:right="120" w:firstLine="564"/>
        <w:spacing w:after="0" w:line="253" w:lineRule="auto"/>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Modification and Waiver</w:t>
      </w:r>
      <w:r>
        <w:rPr>
          <w:rFonts w:ascii="Times New Roman" w:cs="Times New Roman" w:eastAsia="Times New Roman" w:hAnsi="Times New Roman"/>
          <w:sz w:val="16"/>
          <w:szCs w:val="16"/>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64" w:lineRule="exact"/>
        <w:rPr>
          <w:sz w:val="20"/>
          <w:szCs w:val="20"/>
          <w:color w:val="auto"/>
        </w:rPr>
      </w:pPr>
    </w:p>
    <w:p>
      <w:pPr>
        <w:ind w:firstLine="564"/>
        <w:spacing w:after="0" w:line="250"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Notice by Indemnitee</w:t>
      </w:r>
      <w:r>
        <w:rPr>
          <w:rFonts w:ascii="Times New Roman" w:cs="Times New Roman" w:eastAsia="Times New Roman" w:hAnsi="Times New Roman"/>
          <w:sz w:val="16"/>
          <w:szCs w:val="16"/>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ind w:right="160" w:firstLine="564"/>
        <w:spacing w:after="0" w:line="253" w:lineRule="auto"/>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64" w:lineRule="exact"/>
        <w:rPr>
          <w:sz w:val="20"/>
          <w:szCs w:val="20"/>
          <w:color w:val="auto"/>
        </w:rPr>
      </w:pPr>
    </w:p>
    <w:p>
      <w:pPr>
        <w:ind w:left="1680" w:hanging="559"/>
        <w:spacing w:after="0"/>
        <w:tabs>
          <w:tab w:leader="none" w:pos="16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Indemnitee, at such address as Indemnitee shall provide to the Company.</w:t>
      </w:r>
    </w:p>
    <w:p>
      <w:pPr>
        <w:spacing w:after="0" w:line="191" w:lineRule="exact"/>
        <w:rPr>
          <w:rFonts w:ascii="Times New Roman" w:cs="Times New Roman" w:eastAsia="Times New Roman" w:hAnsi="Times New Roman"/>
          <w:sz w:val="16"/>
          <w:szCs w:val="16"/>
          <w:color w:val="auto"/>
        </w:rPr>
      </w:pPr>
    </w:p>
    <w:p>
      <w:pPr>
        <w:ind w:left="1700" w:hanging="579"/>
        <w:spacing w:after="0"/>
        <w:tabs>
          <w:tab w:leader="none" w:pos="17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to:</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1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321 Arsenal Street, Suite 101</w:t>
      </w:r>
    </w:p>
    <w:p>
      <w:pPr>
        <w:spacing w:after="0" w:line="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Watertown, MA 02472</w:t>
      </w:r>
    </w:p>
    <w:p>
      <w:pPr>
        <w:spacing w:after="0" w:line="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President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any other address as may have been furnished to Indemnitee by the Company.</w:t>
      </w:r>
    </w:p>
    <w:p>
      <w:pPr>
        <w:spacing w:after="0" w:line="192" w:lineRule="exact"/>
        <w:rPr>
          <w:sz w:val="20"/>
          <w:szCs w:val="20"/>
          <w:color w:val="auto"/>
        </w:rPr>
      </w:pPr>
    </w:p>
    <w:p>
      <w:pPr>
        <w:ind w:firstLine="564"/>
        <w:spacing w:after="0" w:line="272" w:lineRule="auto"/>
        <w:rPr>
          <w:sz w:val="20"/>
          <w:szCs w:val="20"/>
          <w:color w:val="auto"/>
        </w:rPr>
      </w:pPr>
      <w:r>
        <w:rPr>
          <w:rFonts w:ascii="Times New Roman" w:cs="Times New Roman" w:eastAsia="Times New Roman" w:hAnsi="Times New Roman"/>
          <w:sz w:val="15"/>
          <w:szCs w:val="15"/>
          <w:color w:val="auto"/>
        </w:rPr>
        <w:t xml:space="preserve">Section 20. </w:t>
      </w: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50" w:lineRule="exact"/>
        <w:rPr>
          <w:sz w:val="20"/>
          <w:szCs w:val="20"/>
          <w:color w:val="auto"/>
        </w:rPr>
      </w:pPr>
    </w:p>
    <w:p>
      <w:pPr>
        <w:ind w:firstLine="564"/>
        <w:spacing w:after="0" w:line="251"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Internal Revenue Code Section 409A</w:t>
      </w:r>
      <w:r>
        <w:rPr>
          <w:rFonts w:ascii="Times New Roman" w:cs="Times New Roman" w:eastAsia="Times New Roman" w:hAnsi="Times New Roman"/>
          <w:sz w:val="16"/>
          <w:szCs w:val="16"/>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ind w:firstLine="564"/>
        <w:spacing w:after="0" w:line="248"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Applicable Law and Consent to Jurisdiction</w:t>
      </w:r>
      <w:r>
        <w:rPr>
          <w:rFonts w:ascii="Times New Roman" w:cs="Times New Roman" w:eastAsia="Times New Roman" w:hAnsi="Times New Roman"/>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0" w:lineRule="exact"/>
        <w:rPr>
          <w:sz w:val="20"/>
          <w:szCs w:val="20"/>
          <w:color w:val="auto"/>
        </w:rPr>
      </w:pPr>
    </w:p>
    <w:p>
      <w:pPr>
        <w:ind w:right="540" w:firstLine="564"/>
        <w:spacing w:after="0" w:line="270"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the paragraphs of this Agreement are inserted for convenience only and shall not be deemed to constitute part of this Agreement or to affect the construction thereof.</w:t>
      </w:r>
    </w:p>
    <w:p>
      <w:pPr>
        <w:spacing w:after="0" w:line="150" w:lineRule="exact"/>
        <w:rPr>
          <w:sz w:val="20"/>
          <w:szCs w:val="20"/>
          <w:color w:val="auto"/>
        </w:rPr>
      </w:pPr>
    </w:p>
    <w:p>
      <w:pPr>
        <w:jc w:val="both"/>
        <w:ind w:right="80" w:firstLine="564"/>
        <w:spacing w:after="0" w:line="257"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Identical Counterparts</w:t>
      </w:r>
      <w:r>
        <w:rPr>
          <w:rFonts w:ascii="Times New Roman" w:cs="Times New Roman" w:eastAsia="Times New Roman" w:hAnsi="Times New Roman"/>
          <w:sz w:val="16"/>
          <w:szCs w:val="16"/>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0" w:lineRule="exact"/>
        <w:rPr>
          <w:sz w:val="20"/>
          <w:szCs w:val="20"/>
          <w:color w:val="auto"/>
        </w:rPr>
      </w:pPr>
    </w:p>
    <w:p>
      <w:pPr>
        <w:ind w:right="40" w:firstLine="564"/>
        <w:spacing w:after="0" w:line="248"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Monetary Damages Insufficient/Specific Enforcement</w:t>
      </w:r>
      <w:r>
        <w:rPr>
          <w:rFonts w:ascii="Times New Roman" w:cs="Times New Roman" w:eastAsia="Times New Roman" w:hAnsi="Times New Roman"/>
          <w:sz w:val="16"/>
          <w:szCs w:val="16"/>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5"/>
          <w:szCs w:val="15"/>
          <w:color w:val="auto"/>
        </w:rPr>
        <w:t>IN WITNESS WHEREOF, the parties have caused this Agreement to be signed as of the day and year first above written.</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19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20320</wp:posOffset>
            </wp:positionV>
            <wp:extent cx="335534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248920</wp:posOffset>
            </wp:positionV>
            <wp:extent cx="335534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37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303530</wp:posOffset>
            </wp:positionV>
            <wp:extent cx="715010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OFFICER INDEMNIFICATION AGREEMENT</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This Indemnification Agreement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as of ________________ by and between Disc Medicine, Inc., a Delaware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together with its subsidiaries,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____________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RECITALS</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16" w:lineRule="exact"/>
        <w:rPr>
          <w:sz w:val="20"/>
          <w:szCs w:val="20"/>
          <w:color w:val="auto"/>
        </w:rPr>
      </w:pPr>
    </w:p>
    <w:p>
      <w:pPr>
        <w:ind w:right="60" w:firstLine="564"/>
        <w:spacing w:after="0" w:line="259" w:lineRule="auto"/>
        <w:rPr>
          <w:sz w:val="20"/>
          <w:szCs w:val="20"/>
          <w:color w:val="auto"/>
        </w:rPr>
      </w:pPr>
      <w:r>
        <w:rPr>
          <w:rFonts w:ascii="Times New Roman" w:cs="Times New Roman" w:eastAsia="Times New Roman" w:hAnsi="Times New Roman"/>
          <w:sz w:val="19"/>
          <w:szCs w:val="19"/>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62" w:lineRule="exact"/>
        <w:rPr>
          <w:sz w:val="20"/>
          <w:szCs w:val="20"/>
          <w:color w:val="auto"/>
        </w:rPr>
      </w:pPr>
    </w:p>
    <w:p>
      <w:pPr>
        <w:ind w:firstLine="564"/>
        <w:spacing w:after="0" w:line="241" w:lineRule="auto"/>
        <w:rPr>
          <w:sz w:val="20"/>
          <w:szCs w:val="20"/>
          <w:color w:val="auto"/>
        </w:rPr>
      </w:pPr>
      <w:r>
        <w:rPr>
          <w:rFonts w:ascii="Times New Roman" w:cs="Times New Roman" w:eastAsia="Times New Roman" w:hAnsi="Times New Roman"/>
          <w:sz w:val="19"/>
          <w:szCs w:val="19"/>
          <w:color w:val="auto"/>
        </w:rPr>
        <w:t>WHEREAS, the Third Amended and Restated Certificate of Incorporation (as amended and in effect from time to time, the “</w:t>
      </w:r>
      <w:r>
        <w:rPr>
          <w:rFonts w:ascii="Times New Roman" w:cs="Times New Roman" w:eastAsia="Times New Roman" w:hAnsi="Times New Roman"/>
          <w:sz w:val="19"/>
          <w:szCs w:val="19"/>
          <w:u w:val="single" w:color="auto"/>
          <w:color w:val="auto"/>
        </w:rPr>
        <w:t>Charter</w:t>
      </w:r>
      <w:r>
        <w:rPr>
          <w:rFonts w:ascii="Times New Roman" w:cs="Times New Roman" w:eastAsia="Times New Roman" w:hAnsi="Times New Roman"/>
          <w:sz w:val="19"/>
          <w:szCs w:val="19"/>
          <w:color w:val="auto"/>
        </w:rPr>
        <w:t>”) and the Amended and Restated Bylaws (as amended and in effect from time to time, the “</w:t>
      </w:r>
      <w:r>
        <w:rPr>
          <w:rFonts w:ascii="Times New Roman" w:cs="Times New Roman" w:eastAsia="Times New Roman" w:hAnsi="Times New Roman"/>
          <w:sz w:val="19"/>
          <w:szCs w:val="19"/>
          <w:u w:val="single" w:color="auto"/>
          <w:color w:val="auto"/>
        </w:rPr>
        <w:t>Bylaws</w:t>
      </w:r>
      <w:r>
        <w:rPr>
          <w:rFonts w:ascii="Times New Roman" w:cs="Times New Roman" w:eastAsia="Times New Roman" w:hAnsi="Times New Roman"/>
          <w:sz w:val="19"/>
          <w:szCs w:val="19"/>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9"/>
          <w:szCs w:val="19"/>
          <w:u w:val="single" w:color="auto"/>
          <w:color w:val="auto"/>
        </w:rPr>
        <w:t>DGCL</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120" w:firstLine="564"/>
        <w:spacing w:after="0" w:line="245" w:lineRule="auto"/>
        <w:rPr>
          <w:sz w:val="20"/>
          <w:szCs w:val="20"/>
          <w:color w:val="auto"/>
        </w:rPr>
      </w:pPr>
      <w:r>
        <w:rPr>
          <w:rFonts w:ascii="Times New Roman" w:cs="Times New Roman" w:eastAsia="Times New Roman" w:hAnsi="Times New Roman"/>
          <w:sz w:val="19"/>
          <w:szCs w:val="19"/>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ind w:right="400" w:firstLine="564"/>
        <w:spacing w:after="0" w:line="259" w:lineRule="auto"/>
        <w:rPr>
          <w:sz w:val="20"/>
          <w:szCs w:val="20"/>
          <w:color w:val="auto"/>
        </w:rPr>
      </w:pPr>
      <w:r>
        <w:rPr>
          <w:rFonts w:ascii="Times New Roman" w:cs="Times New Roman" w:eastAsia="Times New Roman" w:hAnsi="Times New Roman"/>
          <w:sz w:val="19"/>
          <w:szCs w:val="19"/>
          <w:color w:val="auto"/>
        </w:rPr>
        <w:t>WHEREAS, the Board of Directors of the Company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has determined that the increased difficulty in attracting and retaining highly qualified persons such as Indemnitee is detrimental to the best interests of the Company’s stockholders;</w:t>
      </w:r>
    </w:p>
    <w:p>
      <w:pPr>
        <w:spacing w:after="0" w:line="162" w:lineRule="exact"/>
        <w:rPr>
          <w:sz w:val="20"/>
          <w:szCs w:val="20"/>
          <w:color w:val="auto"/>
        </w:rPr>
      </w:pPr>
    </w:p>
    <w:p>
      <w:pPr>
        <w:ind w:right="80" w:firstLine="564"/>
        <w:spacing w:after="0" w:line="245" w:lineRule="auto"/>
        <w:rPr>
          <w:sz w:val="20"/>
          <w:szCs w:val="20"/>
          <w:color w:val="auto"/>
        </w:rPr>
      </w:pPr>
      <w:r>
        <w:rPr>
          <w:rFonts w:ascii="Times New Roman" w:cs="Times New Roman" w:eastAsia="Times New Roman" w:hAnsi="Times New Roman"/>
          <w:sz w:val="19"/>
          <w:szCs w:val="19"/>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WHEREAS, this Agreement is a supplement to and in furtherance of the indemnification provided in the Charter, the Bylaws and any</w:t>
      </w:r>
    </w:p>
    <w:p>
      <w:pPr>
        <w:spacing w:after="0" w:line="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resolutions adopted pursuant thereto, and shall not be deemed a substitute therefor, nor to diminish or abrogate any rights of Indemnitee thereunder.</w:t>
      </w:r>
    </w:p>
    <w:p>
      <w:pPr>
        <w:spacing w:after="0" w:line="196" w:lineRule="exact"/>
        <w:rPr>
          <w:sz w:val="20"/>
          <w:szCs w:val="20"/>
          <w:color w:val="auto"/>
        </w:rPr>
      </w:pPr>
    </w:p>
    <w:p>
      <w:pPr>
        <w:ind w:right="80" w:firstLine="564"/>
        <w:spacing w:after="0" w:line="259" w:lineRule="auto"/>
        <w:rPr>
          <w:sz w:val="20"/>
          <w:szCs w:val="20"/>
          <w:color w:val="auto"/>
        </w:rPr>
      </w:pPr>
      <w:r>
        <w:rPr>
          <w:rFonts w:ascii="Times New Roman" w:cs="Times New Roman" w:eastAsia="Times New Roman" w:hAnsi="Times New Roman"/>
          <w:sz w:val="19"/>
          <w:szCs w:val="19"/>
          <w:color w:val="auto"/>
        </w:rPr>
        <w:t>NOW, THEREFORE, in consideration of the premises and the covenants contained herein, the Company and Indemnitee do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82" w:name="page83"/>
    <w:bookmarkEnd w:id="82"/>
    <w:p>
      <w:pPr>
        <w:ind w:left="6" w:right="20" w:firstLine="564"/>
        <w:spacing w:after="0" w:line="209"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Services to the Company</w:t>
      </w:r>
      <w:r>
        <w:rPr>
          <w:rFonts w:ascii="Times New Roman" w:cs="Times New Roman" w:eastAsia="Times New Roman" w:hAnsi="Times New Roman"/>
          <w:sz w:val="19"/>
          <w:szCs w:val="19"/>
          <w:color w:val="auto"/>
        </w:rPr>
        <w:t>. Indemnitee agrees to [continue to] serve as [a director and]</w:t>
      </w: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9"/>
          <w:szCs w:val="19"/>
          <w:color w:val="auto"/>
        </w:rPr>
        <w:t xml:space="preserve">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0" w:lineRule="exact"/>
        <w:rPr>
          <w:sz w:val="20"/>
          <w:szCs w:val="20"/>
          <w:color w:val="auto"/>
        </w:rPr>
      </w:pPr>
    </w:p>
    <w:p>
      <w:pPr>
        <w:ind w:left="566"/>
        <w:spacing w:after="0"/>
        <w:tabs>
          <w:tab w:leader="none" w:pos="1766"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9"/>
          <w:szCs w:val="19"/>
          <w:color w:val="auto"/>
        </w:rPr>
        <w:t>As used in this Agreement:</w:t>
      </w:r>
    </w:p>
    <w:p>
      <w:pPr>
        <w:spacing w:after="0" w:line="204" w:lineRule="exact"/>
        <w:rPr>
          <w:sz w:val="20"/>
          <w:szCs w:val="20"/>
          <w:color w:val="auto"/>
        </w:rPr>
      </w:pPr>
    </w:p>
    <w:p>
      <w:pPr>
        <w:ind w:left="6" w:firstLine="1121"/>
        <w:spacing w:after="0" w:line="241" w:lineRule="auto"/>
        <w:tabs>
          <w:tab w:leader="none" w:pos="181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 and “Associate</w:t>
      </w:r>
      <w:r>
        <w:rPr>
          <w:rFonts w:ascii="Times New Roman" w:cs="Times New Roman" w:eastAsia="Times New Roman" w:hAnsi="Times New Roman"/>
          <w:sz w:val="19"/>
          <w:szCs w:val="19"/>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79" w:lineRule="exact"/>
        <w:rPr>
          <w:rFonts w:ascii="Times New Roman" w:cs="Times New Roman" w:eastAsia="Times New Roman" w:hAnsi="Times New Roman"/>
          <w:sz w:val="19"/>
          <w:szCs w:val="19"/>
          <w:color w:val="auto"/>
        </w:rPr>
      </w:pPr>
    </w:p>
    <w:p>
      <w:pPr>
        <w:ind w:left="6" w:right="480" w:firstLine="1121"/>
        <w:spacing w:after="0" w:line="259" w:lineRule="auto"/>
        <w:tabs>
          <w:tab w:leader="none" w:pos="182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shall be deemed the “Beneficial Owner” of, and shall be deemed to “Beneficially Own” and have “Beneficial Ownership” of, any securities:</w:t>
      </w:r>
    </w:p>
    <w:p>
      <w:pPr>
        <w:spacing w:after="0" w:line="162" w:lineRule="exact"/>
        <w:rPr>
          <w:sz w:val="20"/>
          <w:szCs w:val="20"/>
          <w:color w:val="auto"/>
        </w:rPr>
      </w:pPr>
    </w:p>
    <w:p>
      <w:pPr>
        <w:ind w:left="6" w:right="180" w:firstLine="1121"/>
        <w:spacing w:after="0" w:line="259" w:lineRule="auto"/>
        <w:tabs>
          <w:tab w:leader="none" w:pos="17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62" w:lineRule="exact"/>
        <w:rPr>
          <w:rFonts w:ascii="Times New Roman" w:cs="Times New Roman" w:eastAsia="Times New Roman" w:hAnsi="Times New Roman"/>
          <w:sz w:val="19"/>
          <w:szCs w:val="19"/>
          <w:color w:val="auto"/>
        </w:rPr>
      </w:pPr>
    </w:p>
    <w:p>
      <w:pPr>
        <w:ind w:left="6" w:firstLine="1121"/>
        <w:spacing w:after="0" w:line="237" w:lineRule="auto"/>
        <w:tabs>
          <w:tab w:leader="none" w:pos="183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180" w:lineRule="exact"/>
        <w:rPr>
          <w:rFonts w:ascii="Times New Roman" w:cs="Times New Roman" w:eastAsia="Times New Roman" w:hAnsi="Times New Roman"/>
          <w:sz w:val="19"/>
          <w:szCs w:val="19"/>
          <w:color w:val="auto"/>
        </w:rPr>
      </w:pPr>
    </w:p>
    <w:p>
      <w:pPr>
        <w:jc w:val="both"/>
        <w:ind w:left="6" w:right="20" w:firstLine="1121"/>
        <w:spacing w:after="0" w:line="241" w:lineRule="auto"/>
        <w:tabs>
          <w:tab w:leader="none" w:pos="188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43129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257" w:lineRule="exact"/>
        <w:rPr>
          <w:sz w:val="20"/>
          <w:szCs w:val="20"/>
          <w:color w:val="auto"/>
        </w:rPr>
      </w:pPr>
    </w:p>
    <w:p>
      <w:pPr>
        <w:ind w:left="126" w:hanging="126"/>
        <w:spacing w:after="0"/>
        <w:tabs>
          <w:tab w:leader="none" w:pos="126" w:val="left"/>
        </w:tabs>
        <w:numPr>
          <w:ilvl w:val="0"/>
          <w:numId w:val="7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Bracketed and highlighted language to be used for directors also serving as officers of the company</w:t>
      </w:r>
    </w:p>
    <w:p>
      <w:pPr>
        <w:spacing w:after="0" w:line="3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1" w:right="339" w:bottom="1440" w:gutter="0" w:footer="0" w:header="0"/>
        </w:sectPr>
      </w:pPr>
    </w:p>
    <w:bookmarkStart w:id="83" w:name="page84"/>
    <w:bookmarkEnd w:id="83"/>
    <w:p>
      <w:pPr>
        <w:ind w:left="6" w:right="40" w:firstLine="1121"/>
        <w:spacing w:after="0" w:line="248" w:lineRule="auto"/>
        <w:tabs>
          <w:tab w:leader="none" w:pos="187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w:t>
      </w:r>
    </w:p>
    <w:p>
      <w:pPr>
        <w:spacing w:after="0" w:line="3" w:lineRule="exact"/>
        <w:rPr>
          <w:rFonts w:ascii="Times New Roman" w:cs="Times New Roman" w:eastAsia="Times New Roman" w:hAnsi="Times New Roman"/>
          <w:sz w:val="18"/>
          <w:szCs w:val="18"/>
          <w:color w:val="auto"/>
        </w:rPr>
      </w:pPr>
    </w:p>
    <w:p>
      <w:pPr>
        <w:ind w:left="6" w:right="380" w:hanging="6"/>
        <w:spacing w:after="0" w:line="238" w:lineRule="auto"/>
        <w:tabs>
          <w:tab w:leader="none" w:pos="30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or any of such Person’s Affiliates or Associates may have entered into other transactions that hedge the economic effect of such derivative security;</w:t>
      </w:r>
    </w:p>
    <w:p>
      <w:pPr>
        <w:spacing w:after="0" w:line="181" w:lineRule="exact"/>
        <w:rPr>
          <w:sz w:val="20"/>
          <w:szCs w:val="20"/>
          <w:color w:val="auto"/>
        </w:rPr>
      </w:pPr>
    </w:p>
    <w:p>
      <w:pPr>
        <w:ind w:left="6" w:right="220" w:firstLine="564"/>
        <w:spacing w:after="0" w:line="259" w:lineRule="auto"/>
        <w:rPr>
          <w:sz w:val="20"/>
          <w:szCs w:val="20"/>
          <w:color w:val="auto"/>
        </w:rPr>
      </w:pPr>
      <w:r>
        <w:rPr>
          <w:rFonts w:ascii="Times New Roman" w:cs="Times New Roman" w:eastAsia="Times New Roman" w:hAnsi="Times New Roman"/>
          <w:sz w:val="19"/>
          <w:szCs w:val="19"/>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62" w:lineRule="exact"/>
        <w:rPr>
          <w:sz w:val="20"/>
          <w:szCs w:val="20"/>
          <w:color w:val="auto"/>
        </w:rPr>
      </w:pPr>
    </w:p>
    <w:p>
      <w:pPr>
        <w:ind w:left="1806" w:hanging="679"/>
        <w:spacing w:after="0"/>
        <w:tabs>
          <w:tab w:leader="none" w:pos="180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shall be deemed to occur upon the earliest to occur after the date of this Agreement of any of the</w:t>
      </w:r>
    </w:p>
    <w:p>
      <w:pPr>
        <w:spacing w:after="0" w:line="12" w:lineRule="exact"/>
        <w:rPr>
          <w:rFonts w:ascii="Times New Roman" w:cs="Times New Roman" w:eastAsia="Times New Roman" w:hAnsi="Times New Roman"/>
          <w:sz w:val="19"/>
          <w:szCs w:val="19"/>
          <w:color w:val="auto"/>
        </w:rPr>
      </w:pPr>
    </w:p>
    <w:p>
      <w:pPr>
        <w:ind w:left="6"/>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events</w:t>
      </w:r>
      <w:r>
        <w:rPr>
          <w:rFonts w:ascii="Times New Roman" w:cs="Times New Roman" w:eastAsia="Times New Roman" w:hAnsi="Times New Roman"/>
          <w:sz w:val="19"/>
          <w:szCs w:val="19"/>
          <w:i w:val="1"/>
          <w:iCs w:val="1"/>
          <w:color w:val="auto"/>
        </w:rPr>
        <w:t>:</w:t>
      </w:r>
    </w:p>
    <w:p>
      <w:pPr>
        <w:spacing w:after="0" w:line="184" w:lineRule="exact"/>
        <w:rPr>
          <w:sz w:val="20"/>
          <w:szCs w:val="20"/>
          <w:color w:val="auto"/>
        </w:rPr>
      </w:pPr>
    </w:p>
    <w:p>
      <w:pPr>
        <w:ind w:left="6" w:right="40" w:firstLine="1121"/>
        <w:spacing w:after="0" w:line="215" w:lineRule="auto"/>
        <w:tabs>
          <w:tab w:leader="none" w:pos="17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Acquisition of Stock by Third Party</w:t>
      </w:r>
      <w:r>
        <w:rPr>
          <w:rFonts w:ascii="Times New Roman" w:cs="Times New Roman" w:eastAsia="Times New Roman" w:hAnsi="Times New Roman"/>
          <w:sz w:val="19"/>
          <w:szCs w:val="19"/>
          <w:color w:val="auto"/>
        </w:rPr>
        <w:t>. Any Person is or becomes the Beneficial Owner (as defined above), directly or indirectly, of securities of the Company representing fifty percent (50%)</w:t>
      </w: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9"/>
          <w:szCs w:val="19"/>
          <w:color w:val="auto"/>
        </w:rPr>
        <w:t xml:space="preserve">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81" w:lineRule="exact"/>
        <w:rPr>
          <w:rFonts w:ascii="Times New Roman" w:cs="Times New Roman" w:eastAsia="Times New Roman" w:hAnsi="Times New Roman"/>
          <w:sz w:val="19"/>
          <w:szCs w:val="19"/>
          <w:color w:val="auto"/>
        </w:rPr>
      </w:pPr>
    </w:p>
    <w:p>
      <w:pPr>
        <w:ind w:left="6" w:firstLine="1121"/>
        <w:spacing w:after="0" w:line="238" w:lineRule="auto"/>
        <w:tabs>
          <w:tab w:leader="none" w:pos="183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Board of Directors</w:t>
      </w:r>
      <w:r>
        <w:rPr>
          <w:rFonts w:ascii="Times New Roman" w:cs="Times New Roman" w:eastAsia="Times New Roman" w:hAnsi="Times New Roman"/>
          <w:sz w:val="19"/>
          <w:szCs w:val="19"/>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79" w:lineRule="exact"/>
        <w:rPr>
          <w:rFonts w:ascii="Times New Roman" w:cs="Times New Roman" w:eastAsia="Times New Roman" w:hAnsi="Times New Roman"/>
          <w:sz w:val="19"/>
          <w:szCs w:val="19"/>
          <w:color w:val="auto"/>
        </w:rPr>
      </w:pPr>
    </w:p>
    <w:p>
      <w:pPr>
        <w:ind w:left="6" w:right="120" w:firstLine="1121"/>
        <w:spacing w:after="0" w:line="255" w:lineRule="auto"/>
        <w:tabs>
          <w:tab w:leader="none" w:pos="18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32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15" w:right="359" w:bottom="1440" w:gutter="0" w:footer="0" w:header="0"/>
        </w:sectPr>
      </w:pPr>
    </w:p>
    <w:bookmarkStart w:id="84" w:name="page85"/>
    <w:bookmarkEnd w:id="84"/>
    <w:p>
      <w:pPr>
        <w:jc w:val="both"/>
        <w:ind w:left="6" w:right="200" w:firstLine="1121"/>
        <w:spacing w:after="0" w:line="246" w:lineRule="auto"/>
        <w:tabs>
          <w:tab w:leader="none" w:pos="187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Liquidation</w:t>
      </w:r>
      <w:r>
        <w:rPr>
          <w:rFonts w:ascii="Times New Roman" w:cs="Times New Roman" w:eastAsia="Times New Roman" w:hAnsi="Times New Roman"/>
          <w:sz w:val="19"/>
          <w:szCs w:val="19"/>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74" w:lineRule="exact"/>
        <w:rPr>
          <w:rFonts w:ascii="Times New Roman" w:cs="Times New Roman" w:eastAsia="Times New Roman" w:hAnsi="Times New Roman"/>
          <w:sz w:val="19"/>
          <w:szCs w:val="19"/>
          <w:color w:val="auto"/>
        </w:rPr>
      </w:pPr>
    </w:p>
    <w:p>
      <w:pPr>
        <w:ind w:left="6" w:right="40" w:firstLine="1121"/>
        <w:spacing w:after="0" w:line="255" w:lineRule="auto"/>
        <w:tabs>
          <w:tab w:leader="none" w:pos="182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Events</w:t>
      </w:r>
      <w:r>
        <w:rPr>
          <w:rFonts w:ascii="Times New Roman" w:cs="Times New Roman" w:eastAsia="Times New Roman" w:hAnsi="Times New Roman"/>
          <w:sz w:val="19"/>
          <w:szCs w:val="19"/>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r>
        <w:rPr>
          <w:rFonts w:ascii="Times New Roman" w:cs="Times New Roman" w:eastAsia="Times New Roman" w:hAnsi="Times New Roman"/>
          <w:sz w:val="31"/>
          <w:szCs w:val="31"/>
          <w:color w:val="auto"/>
          <w:vertAlign w:val="superscript"/>
        </w:rPr>
        <w:t>3</w:t>
      </w:r>
    </w:p>
    <w:p>
      <w:pPr>
        <w:spacing w:after="0" w:line="2" w:lineRule="exact"/>
        <w:rPr>
          <w:sz w:val="20"/>
          <w:szCs w:val="20"/>
          <w:color w:val="auto"/>
        </w:rPr>
      </w:pPr>
    </w:p>
    <w:p>
      <w:pPr>
        <w:ind w:left="6" w:right="40" w:firstLine="1121"/>
        <w:spacing w:after="0" w:line="245" w:lineRule="auto"/>
        <w:tabs>
          <w:tab w:leader="none" w:pos="182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Corporate Status</w:t>
      </w:r>
      <w:r>
        <w:rPr>
          <w:rFonts w:ascii="Times New Roman" w:cs="Times New Roman" w:eastAsia="Times New Roman" w:hAnsi="Times New Roman"/>
          <w:sz w:val="19"/>
          <w:szCs w:val="19"/>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76" w:lineRule="exact"/>
        <w:rPr>
          <w:rFonts w:ascii="Times New Roman" w:cs="Times New Roman" w:eastAsia="Times New Roman" w:hAnsi="Times New Roman"/>
          <w:sz w:val="19"/>
          <w:szCs w:val="19"/>
          <w:color w:val="auto"/>
        </w:rPr>
      </w:pPr>
    </w:p>
    <w:p>
      <w:pPr>
        <w:ind w:left="6" w:right="80" w:firstLine="1121"/>
        <w:spacing w:after="0" w:line="241" w:lineRule="auto"/>
        <w:tabs>
          <w:tab w:leader="none" w:pos="1811"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Enforcement Expenses</w:t>
      </w:r>
      <w:r>
        <w:rPr>
          <w:rFonts w:ascii="Times New Roman" w:cs="Times New Roman" w:eastAsia="Times New Roman" w:hAnsi="Times New Roman"/>
          <w:sz w:val="19"/>
          <w:szCs w:val="19"/>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9" w:lineRule="exact"/>
        <w:rPr>
          <w:rFonts w:ascii="Times New Roman" w:cs="Times New Roman" w:eastAsia="Times New Roman" w:hAnsi="Times New Roman"/>
          <w:sz w:val="19"/>
          <w:szCs w:val="19"/>
          <w:color w:val="auto"/>
        </w:rPr>
      </w:pPr>
    </w:p>
    <w:p>
      <w:pPr>
        <w:jc w:val="both"/>
        <w:ind w:left="6" w:right="220" w:firstLine="1121"/>
        <w:spacing w:after="0" w:line="245" w:lineRule="auto"/>
        <w:tabs>
          <w:tab w:leader="none" w:pos="179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Enterprise</w:t>
      </w:r>
      <w:r>
        <w:rPr>
          <w:rFonts w:ascii="Times New Roman" w:cs="Times New Roman" w:eastAsia="Times New Roman" w:hAnsi="Times New Roman"/>
          <w:sz w:val="19"/>
          <w:szCs w:val="19"/>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6" w:lineRule="exact"/>
        <w:rPr>
          <w:rFonts w:ascii="Times New Roman" w:cs="Times New Roman" w:eastAsia="Times New Roman" w:hAnsi="Times New Roman"/>
          <w:sz w:val="19"/>
          <w:szCs w:val="19"/>
          <w:color w:val="auto"/>
        </w:rPr>
      </w:pPr>
    </w:p>
    <w:p>
      <w:pPr>
        <w:ind w:left="6" w:firstLine="1121"/>
        <w:spacing w:after="0" w:line="255" w:lineRule="auto"/>
        <w:tabs>
          <w:tab w:leader="none" w:pos="18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68" w:lineRule="exact"/>
        <w:rPr>
          <w:rFonts w:ascii="Times New Roman" w:cs="Times New Roman" w:eastAsia="Times New Roman" w:hAnsi="Times New Roman"/>
          <w:sz w:val="18"/>
          <w:szCs w:val="18"/>
          <w:color w:val="auto"/>
        </w:rPr>
      </w:pPr>
    </w:p>
    <w:p>
      <w:pPr>
        <w:ind w:left="6" w:right="220" w:firstLine="1121"/>
        <w:spacing w:after="0" w:line="236" w:lineRule="auto"/>
        <w:tabs>
          <w:tab w:leader="none" w:pos="182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Counsel</w:t>
      </w:r>
      <w:r>
        <w:rPr>
          <w:rFonts w:ascii="Times New Roman" w:cs="Times New Roman" w:eastAsia="Times New Roman" w:hAnsi="Times New Roman"/>
          <w:sz w:val="19"/>
          <w:szCs w:val="19"/>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43129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262" w:lineRule="exact"/>
        <w:rPr>
          <w:sz w:val="20"/>
          <w:szCs w:val="20"/>
          <w:color w:val="auto"/>
        </w:rPr>
      </w:pPr>
    </w:p>
    <w:p>
      <w:pPr>
        <w:ind w:left="126" w:hanging="126"/>
        <w:spacing w:after="0"/>
        <w:tabs>
          <w:tab w:leader="none" w:pos="126" w:val="left"/>
        </w:tabs>
        <w:numPr>
          <w:ilvl w:val="0"/>
          <w:numId w:val="8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For CEO Director version only</w:t>
      </w:r>
    </w:p>
    <w:p>
      <w:pPr>
        <w:spacing w:after="0" w:line="3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5" w:right="339" w:bottom="1440" w:gutter="0" w:footer="0" w:header="0"/>
        </w:sectPr>
      </w:pPr>
    </w:p>
    <w:bookmarkStart w:id="85" w:name="page86"/>
    <w:bookmarkEnd w:id="85"/>
    <w:p>
      <w:pPr>
        <w:ind w:right="20" w:firstLine="1121"/>
        <w:spacing w:after="0" w:line="241" w:lineRule="auto"/>
        <w:tabs>
          <w:tab w:leader="none" w:pos="177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80" w:lineRule="exact"/>
        <w:rPr>
          <w:rFonts w:ascii="Times New Roman" w:cs="Times New Roman" w:eastAsia="Times New Roman" w:hAnsi="Times New Roman"/>
          <w:sz w:val="19"/>
          <w:szCs w:val="19"/>
          <w:color w:val="auto"/>
        </w:rPr>
      </w:pPr>
    </w:p>
    <w:p>
      <w:pPr>
        <w:ind w:firstLine="1121"/>
        <w:spacing w:after="0" w:line="235" w:lineRule="auto"/>
        <w:tabs>
          <w:tab w:leader="none" w:pos="177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term “Proceeding” shall not include any action, suit or arbitration, or part thereof, initiated by Indemnitee to enforce Indemnitee’s rights under this Agreement as provided for in Section 12(a) of this Agreement.</w:t>
      </w:r>
    </w:p>
    <w:p>
      <w:pPr>
        <w:spacing w:after="0" w:line="183" w:lineRule="exact"/>
        <w:rPr>
          <w:sz w:val="20"/>
          <w:szCs w:val="20"/>
          <w:color w:val="auto"/>
        </w:rPr>
      </w:pPr>
    </w:p>
    <w:p>
      <w:pPr>
        <w:ind w:right="80" w:firstLine="564"/>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77" w:lineRule="exact"/>
        <w:rPr>
          <w:sz w:val="20"/>
          <w:szCs w:val="20"/>
          <w:color w:val="auto"/>
        </w:rPr>
      </w:pPr>
    </w:p>
    <w:p>
      <w:pPr>
        <w:ind w:right="20" w:firstLine="564"/>
        <w:spacing w:after="0" w:line="268" w:lineRule="auto"/>
        <w:rPr>
          <w:sz w:val="20"/>
          <w:szCs w:val="20"/>
          <w:color w:val="auto"/>
        </w:rPr>
      </w:pPr>
      <w:r>
        <w:rPr>
          <w:rFonts w:ascii="Times New Roman" w:cs="Times New Roman" w:eastAsia="Times New Roman" w:hAnsi="Times New Roman"/>
          <w:sz w:val="15"/>
          <w:szCs w:val="15"/>
          <w:color w:val="auto"/>
        </w:rPr>
        <w:t xml:space="preserve">Section 4. </w:t>
      </w:r>
      <w:r>
        <w:rPr>
          <w:rFonts w:ascii="Times New Roman" w:cs="Times New Roman" w:eastAsia="Times New Roman" w:hAnsi="Times New Roman"/>
          <w:sz w:val="15"/>
          <w:szCs w:val="15"/>
          <w:u w:val="single" w:color="auto"/>
          <w:color w:val="auto"/>
        </w:rPr>
        <w:t>Indemnity in Proceedings by or in the Right of the Company</w:t>
      </w:r>
      <w:r>
        <w:rPr>
          <w:rFonts w:ascii="Times New Roman" w:cs="Times New Roman" w:eastAsia="Times New Roman" w:hAnsi="Times New Roman"/>
          <w:sz w:val="15"/>
          <w:szCs w:val="15"/>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cs="Times New Roman" w:eastAsia="Times New Roman" w:hAnsi="Times New Roman"/>
          <w:sz w:val="15"/>
          <w:szCs w:val="15"/>
          <w:u w:val="single" w:color="auto"/>
          <w:color w:val="auto"/>
        </w:rPr>
        <w:t>Delaware Court</w:t>
      </w:r>
      <w:r>
        <w:rPr>
          <w:rFonts w:ascii="Times New Roman" w:cs="Times New Roman" w:eastAsia="Times New Roman" w:hAnsi="Times New Roman"/>
          <w:sz w:val="15"/>
          <w:szCs w:val="15"/>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ind w:firstLine="564"/>
        <w:spacing w:after="0" w:line="236"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Indemnification for Expenses of a Party Who is Wholly or Partly Successful</w:t>
      </w:r>
      <w:r>
        <w:rPr>
          <w:rFonts w:ascii="Times New Roman" w:cs="Times New Roman" w:eastAsia="Times New Roman" w:hAnsi="Times New Roman"/>
          <w:sz w:val="19"/>
          <w:szCs w:val="19"/>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4" w:lineRule="exact"/>
        <w:rPr>
          <w:sz w:val="20"/>
          <w:szCs w:val="20"/>
          <w:color w:val="auto"/>
        </w:rPr>
      </w:pPr>
    </w:p>
    <w:p>
      <w:pPr>
        <w:ind w:right="40" w:firstLine="564"/>
        <w:spacing w:after="0" w:line="239"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u w:val="single" w:color="auto"/>
          <w:color w:val="auto"/>
        </w:rPr>
        <w:t>Reimbursement for Expenses of a Witness or in Response to a Subpoena</w:t>
      </w:r>
      <w:r>
        <w:rPr>
          <w:rFonts w:ascii="Times New Roman" w:cs="Times New Roman" w:eastAsia="Times New Roman" w:hAnsi="Times New Roman"/>
          <w:sz w:val="19"/>
          <w:szCs w:val="19"/>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0" w:lineRule="exact"/>
        <w:rPr>
          <w:sz w:val="20"/>
          <w:szCs w:val="20"/>
          <w:color w:val="auto"/>
        </w:rPr>
      </w:pPr>
    </w:p>
    <w:p>
      <w:pPr>
        <w:ind w:left="56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u w:val="single" w:color="auto"/>
          <w:color w:val="auto"/>
        </w:rPr>
        <w:t xml:space="preserve">Exclusions. </w:t>
      </w:r>
      <w:r>
        <w:rPr>
          <w:rFonts w:ascii="Times New Roman" w:cs="Times New Roman" w:eastAsia="Times New Roman" w:hAnsi="Times New Roman"/>
          <w:sz w:val="18"/>
          <w:szCs w:val="18"/>
          <w:color w:val="auto"/>
        </w:rPr>
        <w:t>Notwithstanding any provision in this Agreement to the contrary, the Company shall not be obligated under this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184" w:lineRule="exact"/>
        <w:rPr>
          <w:sz w:val="20"/>
          <w:szCs w:val="20"/>
          <w:color w:val="auto"/>
        </w:rPr>
      </w:pPr>
    </w:p>
    <w:p>
      <w:pPr>
        <w:ind w:right="80" w:firstLine="1121"/>
        <w:spacing w:after="0" w:line="259" w:lineRule="auto"/>
        <w:tabs>
          <w:tab w:leader="none" w:pos="180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indemnify for amounts otherwise indemnifiable hereunder (or for which advancement is provided hereunder) if and to the extent that Indemnitee has otherwise actually received such amounts under any insurance policy, contract, agreement or otherwise;</w:t>
      </w:r>
    </w:p>
    <w:p>
      <w:pPr>
        <w:spacing w:after="0" w:line="162" w:lineRule="exact"/>
        <w:rPr>
          <w:rFonts w:ascii="Times New Roman" w:cs="Times New Roman" w:eastAsia="Times New Roman" w:hAnsi="Times New Roman"/>
          <w:sz w:val="19"/>
          <w:szCs w:val="19"/>
          <w:color w:val="auto"/>
        </w:rPr>
      </w:pPr>
    </w:p>
    <w:p>
      <w:pPr>
        <w:jc w:val="both"/>
        <w:ind w:right="20" w:firstLine="1121"/>
        <w:spacing w:after="0" w:line="241" w:lineRule="auto"/>
        <w:tabs>
          <w:tab w:leader="none" w:pos="181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w:t>
      </w:r>
      <w:r>
        <w:rPr>
          <w:rFonts w:ascii="Times New Roman" w:cs="Times New Roman" w:eastAsia="Times New Roman" w:hAnsi="Times New Roman"/>
          <w:sz w:val="19"/>
          <w:szCs w:val="19"/>
          <w:u w:val="single" w:color="auto"/>
          <w:color w:val="auto"/>
        </w:rPr>
        <w:t>SOX</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right="60" w:firstLine="1121"/>
        <w:spacing w:after="0" w:line="241" w:lineRule="auto"/>
        <w:tabs>
          <w:tab w:leader="none" w:pos="180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ind w:right="20" w:firstLine="1121"/>
        <w:spacing w:after="0" w:line="237" w:lineRule="auto"/>
        <w:tabs>
          <w:tab w:leader="none" w:pos="1816"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81" w:lineRule="exact"/>
        <w:rPr>
          <w:rFonts w:ascii="Times New Roman" w:cs="Times New Roman" w:eastAsia="Times New Roman" w:hAnsi="Times New Roman"/>
          <w:sz w:val="19"/>
          <w:szCs w:val="19"/>
          <w:color w:val="auto"/>
        </w:rPr>
      </w:pPr>
    </w:p>
    <w:p>
      <w:pPr>
        <w:ind w:right="340" w:firstLine="1121"/>
        <w:spacing w:after="0" w:line="259" w:lineRule="auto"/>
        <w:tabs>
          <w:tab w:leader="none" w:pos="1805"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ind w:firstLine="564"/>
        <w:spacing w:after="0" w:line="24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8" w:lineRule="exact"/>
        <w:rPr>
          <w:sz w:val="20"/>
          <w:szCs w:val="20"/>
          <w:color w:val="auto"/>
        </w:rPr>
      </w:pPr>
    </w:p>
    <w:p>
      <w:pPr>
        <w:ind w:left="56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9.</w:t>
      </w:r>
      <w:r>
        <w:rPr>
          <w:sz w:val="20"/>
          <w:szCs w:val="20"/>
          <w:color w:val="auto"/>
        </w:rPr>
        <w:tab/>
      </w:r>
      <w:r>
        <w:rPr>
          <w:rFonts w:ascii="Times New Roman" w:cs="Times New Roman" w:eastAsia="Times New Roman" w:hAnsi="Times New Roman"/>
          <w:sz w:val="18"/>
          <w:szCs w:val="18"/>
          <w:u w:val="single" w:color="auto"/>
          <w:color w:val="auto"/>
        </w:rPr>
        <w:t>Procedure for Notification and Defense of Claim</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40" w:firstLine="1121"/>
        <w:spacing w:after="0" w:line="245" w:lineRule="auto"/>
        <w:tabs>
          <w:tab w:leader="none" w:pos="1805"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ind w:firstLine="1121"/>
        <w:spacing w:after="0" w:line="235" w:lineRule="auto"/>
        <w:tabs>
          <w:tab w:leader="none" w:pos="181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83" w:lineRule="exact"/>
        <w:rPr>
          <w:rFonts w:ascii="Times New Roman" w:cs="Times New Roman" w:eastAsia="Times New Roman" w:hAnsi="Times New Roman"/>
          <w:sz w:val="19"/>
          <w:szCs w:val="19"/>
          <w:color w:val="auto"/>
        </w:rPr>
      </w:pPr>
    </w:p>
    <w:p>
      <w:pPr>
        <w:ind w:right="660" w:firstLine="1121"/>
        <w:spacing w:after="0" w:line="259" w:lineRule="auto"/>
        <w:tabs>
          <w:tab w:leader="none" w:pos="180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Company does not assume the defense in a Proceeding pursuant to paragraph (b) above, then the Company will be entitled to participate in the Proceeding at its own expense.</w:t>
      </w:r>
    </w:p>
    <w:p>
      <w:pPr>
        <w:spacing w:after="0" w:line="162" w:lineRule="exact"/>
        <w:rPr>
          <w:rFonts w:ascii="Times New Roman" w:cs="Times New Roman" w:eastAsia="Times New Roman" w:hAnsi="Times New Roman"/>
          <w:sz w:val="19"/>
          <w:szCs w:val="19"/>
          <w:color w:val="auto"/>
        </w:rPr>
      </w:pPr>
    </w:p>
    <w:p>
      <w:pPr>
        <w:ind w:right="100" w:firstLine="1121"/>
        <w:spacing w:after="0" w:line="250" w:lineRule="auto"/>
        <w:tabs>
          <w:tab w:leader="none" w:pos="18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9" w:name="page90"/>
    <w:bookmarkEnd w:id="89"/>
    <w:p>
      <w:pPr>
        <w:ind w:left="566"/>
        <w:spacing w:after="0"/>
        <w:tabs>
          <w:tab w:leader="none" w:pos="1866" w:val="left"/>
        </w:tabs>
        <w:rPr>
          <w:sz w:val="20"/>
          <w:szCs w:val="20"/>
          <w:color w:val="auto"/>
        </w:rPr>
      </w:pPr>
      <w:r>
        <w:rPr>
          <w:rFonts w:ascii="Times New Roman" w:cs="Times New Roman" w:eastAsia="Times New Roman" w:hAnsi="Times New Roman"/>
          <w:sz w:val="19"/>
          <w:szCs w:val="19"/>
          <w:color w:val="auto"/>
        </w:rPr>
        <w:t>Section 10.</w:t>
      </w:r>
      <w:r>
        <w:rPr>
          <w:sz w:val="20"/>
          <w:szCs w:val="20"/>
          <w:color w:val="auto"/>
        </w:rPr>
        <w:tab/>
      </w:r>
      <w:r>
        <w:rPr>
          <w:rFonts w:ascii="Times New Roman" w:cs="Times New Roman" w:eastAsia="Times New Roman" w:hAnsi="Times New Roman"/>
          <w:sz w:val="18"/>
          <w:szCs w:val="18"/>
          <w:u w:val="single" w:color="auto"/>
          <w:color w:val="auto"/>
        </w:rPr>
        <w:t>Procedure Upon Application for Indemnification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 w:right="20" w:firstLine="1121"/>
        <w:spacing w:after="0" w:line="226" w:lineRule="auto"/>
        <w:tabs>
          <w:tab w:leader="none" w:pos="1811"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w:t>
      </w: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9"/>
          <w:szCs w:val="19"/>
          <w:color w:val="auto"/>
        </w:rPr>
        <w:t xml:space="preserv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93" w:lineRule="exact"/>
        <w:rPr>
          <w:rFonts w:ascii="Times New Roman" w:cs="Times New Roman" w:eastAsia="Times New Roman" w:hAnsi="Times New Roman"/>
          <w:sz w:val="19"/>
          <w:szCs w:val="19"/>
          <w:color w:val="auto"/>
        </w:rPr>
      </w:pPr>
    </w:p>
    <w:p>
      <w:pPr>
        <w:ind w:left="6" w:firstLine="1121"/>
        <w:spacing w:after="0" w:line="234" w:lineRule="auto"/>
        <w:tabs>
          <w:tab w:leader="none" w:pos="182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determination of entitlement to indemnification is to be made by Independent Counsel pursuant to Section 10(a), the Independent Counsel shall be selected by the Board[;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43129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261" w:lineRule="exact"/>
        <w:rPr>
          <w:sz w:val="20"/>
          <w:szCs w:val="20"/>
          <w:color w:val="auto"/>
        </w:rPr>
      </w:pPr>
    </w:p>
    <w:p>
      <w:pPr>
        <w:ind w:left="126" w:hanging="126"/>
        <w:spacing w:after="0"/>
        <w:tabs>
          <w:tab w:leader="none" w:pos="126" w:val="left"/>
        </w:tabs>
        <w:numPr>
          <w:ilvl w:val="0"/>
          <w:numId w:val="93"/>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Bracketed provision for CEO Director only</w:t>
      </w:r>
    </w:p>
    <w:p>
      <w:pPr>
        <w:spacing w:after="0" w:line="33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15" w:right="359" w:bottom="1440" w:gutter="0" w:footer="0" w:header="0"/>
        </w:sectPr>
      </w:pPr>
    </w:p>
    <w:bookmarkStart w:id="90" w:name="page91"/>
    <w:bookmarkEnd w:id="90"/>
    <w:p>
      <w:pPr>
        <w:ind w:left="-40" w:firstLine="1121"/>
        <w:spacing w:after="0" w:line="241" w:lineRule="auto"/>
        <w:tabs>
          <w:tab w:leader="none" w:pos="1765"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80"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9"/>
          <w:szCs w:val="19"/>
          <w:color w:val="auto"/>
        </w:rPr>
        <w:t>Section 11.</w:t>
      </w:r>
      <w:r>
        <w:rPr>
          <w:sz w:val="20"/>
          <w:szCs w:val="20"/>
          <w:color w:val="auto"/>
        </w:rPr>
        <w:tab/>
      </w:r>
      <w:r>
        <w:rPr>
          <w:rFonts w:ascii="Times New Roman" w:cs="Times New Roman" w:eastAsia="Times New Roman" w:hAnsi="Times New Roman"/>
          <w:sz w:val="18"/>
          <w:szCs w:val="18"/>
          <w:u w:val="single" w:color="auto"/>
          <w:color w:val="auto"/>
        </w:rPr>
        <w:t>Presumptions and Effect of Certain Proceedings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40" w:right="20" w:firstLine="1121"/>
        <w:spacing w:after="0" w:line="241" w:lineRule="auto"/>
        <w:tabs>
          <w:tab w:leader="none" w:pos="176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79" w:lineRule="exact"/>
        <w:rPr>
          <w:rFonts w:ascii="Times New Roman" w:cs="Times New Roman" w:eastAsia="Times New Roman" w:hAnsi="Times New Roman"/>
          <w:sz w:val="19"/>
          <w:szCs w:val="19"/>
          <w:color w:val="auto"/>
        </w:rPr>
      </w:pPr>
    </w:p>
    <w:p>
      <w:pPr>
        <w:ind w:left="-40" w:right="20" w:firstLine="1121"/>
        <w:spacing w:after="0" w:line="239" w:lineRule="auto"/>
        <w:tabs>
          <w:tab w:leader="none" w:pos="1776"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9"/>
          <w:szCs w:val="19"/>
          <w:u w:val="single" w:color="auto"/>
          <w:color w:val="auto"/>
        </w:rPr>
        <w:t>nolo contendere</w:t>
      </w:r>
      <w:r>
        <w:rPr>
          <w:rFonts w:ascii="Times New Roman" w:cs="Times New Roman" w:eastAsia="Times New Roman" w:hAnsi="Times New Roman"/>
          <w:sz w:val="19"/>
          <w:szCs w:val="19"/>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0" w:lineRule="exact"/>
        <w:rPr>
          <w:rFonts w:ascii="Times New Roman" w:cs="Times New Roman" w:eastAsia="Times New Roman" w:hAnsi="Times New Roman"/>
          <w:sz w:val="19"/>
          <w:szCs w:val="19"/>
          <w:color w:val="auto"/>
        </w:rPr>
      </w:pPr>
    </w:p>
    <w:p>
      <w:pPr>
        <w:ind w:left="-40" w:firstLine="1121"/>
        <w:spacing w:after="0" w:line="235" w:lineRule="auto"/>
        <w:tabs>
          <w:tab w:leader="none" w:pos="176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60" w:top="115" w:right="359" w:bottom="1440" w:gutter="0" w:footer="0" w:header="0"/>
        </w:sectPr>
      </w:pPr>
    </w:p>
    <w:bookmarkStart w:id="91" w:name="page92"/>
    <w:bookmarkEnd w:id="91"/>
    <w:p>
      <w:pPr>
        <w:ind w:left="566"/>
        <w:spacing w:after="0"/>
        <w:tabs>
          <w:tab w:leader="none" w:pos="1866" w:val="left"/>
        </w:tabs>
        <w:rPr>
          <w:sz w:val="20"/>
          <w:szCs w:val="20"/>
          <w:color w:val="auto"/>
        </w:rPr>
      </w:pPr>
      <w:r>
        <w:rPr>
          <w:rFonts w:ascii="Times New Roman" w:cs="Times New Roman" w:eastAsia="Times New Roman" w:hAnsi="Times New Roman"/>
          <w:sz w:val="19"/>
          <w:szCs w:val="19"/>
          <w:color w:val="auto"/>
        </w:rPr>
        <w:t>Section 12.</w:t>
      </w:r>
      <w:r>
        <w:rPr>
          <w:sz w:val="20"/>
          <w:szCs w:val="20"/>
          <w:color w:val="auto"/>
        </w:rPr>
        <w:tab/>
      </w: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 w:right="260" w:firstLine="1121"/>
        <w:spacing w:after="0" w:line="252" w:lineRule="auto"/>
        <w:tabs>
          <w:tab w:leader="none" w:pos="181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w:t>
      </w:r>
    </w:p>
    <w:p>
      <w:pPr>
        <w:spacing w:after="0" w:line="2" w:lineRule="exact"/>
        <w:rPr>
          <w:rFonts w:ascii="Times New Roman" w:cs="Times New Roman" w:eastAsia="Times New Roman" w:hAnsi="Times New Roman"/>
          <w:sz w:val="18"/>
          <w:szCs w:val="18"/>
          <w:color w:val="auto"/>
        </w:rPr>
      </w:pPr>
    </w:p>
    <w:p>
      <w:pPr>
        <w:ind w:left="6" w:hanging="6"/>
        <w:spacing w:after="0" w:line="233" w:lineRule="auto"/>
        <w:tabs>
          <w:tab w:leader="none" w:pos="36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82" w:lineRule="exact"/>
        <w:rPr>
          <w:rFonts w:ascii="Times New Roman" w:cs="Times New Roman" w:eastAsia="Times New Roman" w:hAnsi="Times New Roman"/>
          <w:sz w:val="19"/>
          <w:szCs w:val="19"/>
          <w:color w:val="auto"/>
        </w:rPr>
      </w:pPr>
    </w:p>
    <w:p>
      <w:pPr>
        <w:ind w:left="6" w:right="100" w:firstLine="1121"/>
        <w:spacing w:after="0" w:line="239" w:lineRule="auto"/>
        <w:tabs>
          <w:tab w:leader="none" w:pos="182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80" w:lineRule="exact"/>
        <w:rPr>
          <w:rFonts w:ascii="Times New Roman" w:cs="Times New Roman" w:eastAsia="Times New Roman" w:hAnsi="Times New Roman"/>
          <w:sz w:val="19"/>
          <w:szCs w:val="19"/>
          <w:color w:val="auto"/>
        </w:rPr>
      </w:pPr>
    </w:p>
    <w:p>
      <w:pPr>
        <w:ind w:left="6" w:right="20" w:firstLine="1121"/>
        <w:spacing w:after="0" w:line="241" w:lineRule="auto"/>
        <w:tabs>
          <w:tab w:leader="none" w:pos="1811"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9"/>
          <w:szCs w:val="19"/>
          <w:color w:val="auto"/>
        </w:rPr>
      </w:pPr>
    </w:p>
    <w:p>
      <w:pPr>
        <w:ind w:left="6" w:right="40" w:firstLine="1121"/>
        <w:spacing w:after="0" w:line="245" w:lineRule="auto"/>
        <w:tabs>
          <w:tab w:leader="none" w:pos="182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3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92" w:name="page93"/>
    <w:bookmarkEnd w:id="92"/>
    <w:p>
      <w:pPr>
        <w:ind w:right="60" w:firstLine="1121"/>
        <w:spacing w:after="0" w:line="236" w:lineRule="auto"/>
        <w:tabs>
          <w:tab w:leader="none" w:pos="1805"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84" w:lineRule="exact"/>
        <w:rPr>
          <w:rFonts w:ascii="Times New Roman" w:cs="Times New Roman" w:eastAsia="Times New Roman" w:hAnsi="Times New Roman"/>
          <w:sz w:val="19"/>
          <w:szCs w:val="19"/>
          <w:color w:val="auto"/>
        </w:rPr>
      </w:pPr>
    </w:p>
    <w:p>
      <w:pPr>
        <w:ind w:right="120" w:firstLine="1121"/>
        <w:spacing w:after="0" w:line="259" w:lineRule="auto"/>
        <w:tabs>
          <w:tab w:leader="none" w:pos="178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62" w:lineRule="exact"/>
        <w:rPr>
          <w:sz w:val="20"/>
          <w:szCs w:val="20"/>
          <w:color w:val="auto"/>
        </w:rPr>
      </w:pPr>
    </w:p>
    <w:p>
      <w:pPr>
        <w:ind w:left="56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13.</w:t>
      </w:r>
      <w:r>
        <w:rPr>
          <w:sz w:val="20"/>
          <w:szCs w:val="20"/>
          <w:color w:val="auto"/>
        </w:rPr>
        <w:tab/>
      </w:r>
      <w:r>
        <w:rPr>
          <w:rFonts w:ascii="Times New Roman" w:cs="Times New Roman" w:eastAsia="Times New Roman" w:hAnsi="Times New Roman"/>
          <w:sz w:val="18"/>
          <w:szCs w:val="18"/>
          <w:u w:val="single" w:color="auto"/>
          <w:color w:val="auto"/>
        </w:rPr>
        <w:t>Non-exclusivity; Survival of Rights; Insurance; Subrogation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firstLine="1121"/>
        <w:spacing w:after="0" w:line="235" w:lineRule="auto"/>
        <w:tabs>
          <w:tab w:leader="none" w:pos="1805"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5" w:lineRule="exact"/>
        <w:rPr>
          <w:rFonts w:ascii="Times New Roman" w:cs="Times New Roman" w:eastAsia="Times New Roman" w:hAnsi="Times New Roman"/>
          <w:sz w:val="19"/>
          <w:szCs w:val="19"/>
          <w:color w:val="auto"/>
        </w:rPr>
      </w:pPr>
    </w:p>
    <w:p>
      <w:pPr>
        <w:ind w:right="60" w:firstLine="1121"/>
        <w:spacing w:after="0" w:line="235" w:lineRule="auto"/>
        <w:tabs>
          <w:tab w:leader="none" w:pos="181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3" w:name="page94"/>
    <w:bookmarkEnd w:id="93"/>
    <w:p>
      <w:pPr>
        <w:ind w:right="100" w:firstLine="1121"/>
        <w:spacing w:after="0" w:line="246" w:lineRule="auto"/>
        <w:tabs>
          <w:tab w:leader="none" w:pos="1805"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4" w:lineRule="exact"/>
        <w:rPr>
          <w:rFonts w:ascii="Times New Roman" w:cs="Times New Roman" w:eastAsia="Times New Roman" w:hAnsi="Times New Roman"/>
          <w:sz w:val="19"/>
          <w:szCs w:val="19"/>
          <w:color w:val="auto"/>
        </w:rPr>
      </w:pPr>
    </w:p>
    <w:p>
      <w:pPr>
        <w:ind w:right="120" w:firstLine="1121"/>
        <w:spacing w:after="0" w:line="245" w:lineRule="auto"/>
        <w:tabs>
          <w:tab w:leader="none" w:pos="1816"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6" w:lineRule="exact"/>
        <w:rPr>
          <w:sz w:val="20"/>
          <w:szCs w:val="20"/>
          <w:color w:val="auto"/>
        </w:rPr>
      </w:pPr>
    </w:p>
    <w:p>
      <w:pPr>
        <w:ind w:firstLine="564"/>
        <w:spacing w:after="0" w:line="236" w:lineRule="auto"/>
        <w:rPr>
          <w:sz w:val="20"/>
          <w:szCs w:val="20"/>
          <w:color w:val="auto"/>
        </w:rPr>
      </w:pPr>
      <w:r>
        <w:rPr>
          <w:rFonts w:ascii="Times New Roman" w:cs="Times New Roman" w:eastAsia="Times New Roman" w:hAnsi="Times New Roman"/>
          <w:sz w:val="19"/>
          <w:szCs w:val="19"/>
          <w:color w:val="auto"/>
        </w:rPr>
        <w:t xml:space="preserve">Section 14. </w:t>
      </w:r>
      <w:r>
        <w:rPr>
          <w:rFonts w:ascii="Times New Roman" w:cs="Times New Roman" w:eastAsia="Times New Roman" w:hAnsi="Times New Roman"/>
          <w:sz w:val="19"/>
          <w:szCs w:val="19"/>
          <w:u w:val="single" w:color="auto"/>
          <w:color w:val="auto"/>
        </w:rPr>
        <w:t>Duration of Agreement</w:t>
      </w:r>
      <w:r>
        <w:rPr>
          <w:rFonts w:ascii="Times New Roman" w:cs="Times New Roman" w:eastAsia="Times New Roman" w:hAnsi="Times New Roman"/>
          <w:sz w:val="19"/>
          <w:szCs w:val="19"/>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0" w:lineRule="exact"/>
        <w:rPr>
          <w:sz w:val="20"/>
          <w:szCs w:val="20"/>
          <w:color w:val="auto"/>
        </w:rPr>
      </w:pPr>
    </w:p>
    <w:p>
      <w:pPr>
        <w:ind w:right="40" w:firstLine="564"/>
        <w:spacing w:after="0" w:line="236" w:lineRule="auto"/>
        <w:rPr>
          <w:sz w:val="20"/>
          <w:szCs w:val="20"/>
          <w:color w:val="auto"/>
        </w:rPr>
      </w:pPr>
      <w:r>
        <w:rPr>
          <w:rFonts w:ascii="Times New Roman" w:cs="Times New Roman" w:eastAsia="Times New Roman" w:hAnsi="Times New Roman"/>
          <w:sz w:val="19"/>
          <w:szCs w:val="19"/>
          <w:color w:val="auto"/>
        </w:rPr>
        <w:t xml:space="preserve">Section 15.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3" w:lineRule="exact"/>
        <w:rPr>
          <w:sz w:val="20"/>
          <w:szCs w:val="20"/>
          <w:color w:val="auto"/>
        </w:rPr>
      </w:pPr>
    </w:p>
    <w:p>
      <w:pPr>
        <w:ind w:left="56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16.</w:t>
      </w:r>
      <w:r>
        <w:rPr>
          <w:sz w:val="20"/>
          <w:szCs w:val="20"/>
          <w:color w:val="auto"/>
        </w:rPr>
        <w:tab/>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right="60" w:firstLine="1121"/>
        <w:spacing w:after="0" w:line="245" w:lineRule="auto"/>
        <w:tabs>
          <w:tab w:leader="none" w:pos="1805"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4" w:name="page95"/>
    <w:bookmarkEnd w:id="94"/>
    <w:p>
      <w:pPr>
        <w:ind w:right="80" w:firstLine="1121"/>
        <w:spacing w:after="0" w:line="241" w:lineRule="auto"/>
        <w:tabs>
          <w:tab w:leader="none" w:pos="1816"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ind w:firstLine="564"/>
        <w:spacing w:after="0" w:line="239" w:lineRule="auto"/>
        <w:rPr>
          <w:sz w:val="20"/>
          <w:szCs w:val="20"/>
          <w:color w:val="auto"/>
        </w:rPr>
      </w:pPr>
      <w:r>
        <w:rPr>
          <w:rFonts w:ascii="Times New Roman" w:cs="Times New Roman" w:eastAsia="Times New Roman" w:hAnsi="Times New Roman"/>
          <w:sz w:val="19"/>
          <w:szCs w:val="19"/>
          <w:color w:val="auto"/>
        </w:rPr>
        <w:t xml:space="preserve">Section 17. </w:t>
      </w:r>
      <w:r>
        <w:rPr>
          <w:rFonts w:ascii="Times New Roman" w:cs="Times New Roman" w:eastAsia="Times New Roman" w:hAnsi="Times New Roman"/>
          <w:sz w:val="19"/>
          <w:szCs w:val="19"/>
          <w:u w:val="single" w:color="auto"/>
          <w:color w:val="auto"/>
        </w:rPr>
        <w:t>Modification and Waiver</w:t>
      </w:r>
      <w:r>
        <w:rPr>
          <w:rFonts w:ascii="Times New Roman" w:cs="Times New Roman" w:eastAsia="Times New Roman" w:hAnsi="Times New Roman"/>
          <w:sz w:val="19"/>
          <w:szCs w:val="19"/>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0" w:lineRule="exact"/>
        <w:rPr>
          <w:sz w:val="20"/>
          <w:szCs w:val="20"/>
          <w:color w:val="auto"/>
        </w:rPr>
      </w:pPr>
    </w:p>
    <w:p>
      <w:pPr>
        <w:ind w:right="20" w:firstLine="564"/>
        <w:spacing w:after="0" w:line="237" w:lineRule="auto"/>
        <w:rPr>
          <w:sz w:val="20"/>
          <w:szCs w:val="20"/>
          <w:color w:val="auto"/>
        </w:rPr>
      </w:pPr>
      <w:r>
        <w:rPr>
          <w:rFonts w:ascii="Times New Roman" w:cs="Times New Roman" w:eastAsia="Times New Roman" w:hAnsi="Times New Roman"/>
          <w:sz w:val="19"/>
          <w:szCs w:val="19"/>
          <w:color w:val="auto"/>
        </w:rPr>
        <w:t xml:space="preserve">Section 18. </w:t>
      </w:r>
      <w:r>
        <w:rPr>
          <w:rFonts w:ascii="Times New Roman" w:cs="Times New Roman" w:eastAsia="Times New Roman" w:hAnsi="Times New Roman"/>
          <w:sz w:val="19"/>
          <w:szCs w:val="19"/>
          <w:u w:val="single" w:color="auto"/>
          <w:color w:val="auto"/>
        </w:rPr>
        <w:t>Notice by Indemnitee</w:t>
      </w:r>
      <w:r>
        <w:rPr>
          <w:rFonts w:ascii="Times New Roman" w:cs="Times New Roman" w:eastAsia="Times New Roman" w:hAnsi="Times New Roman"/>
          <w:sz w:val="19"/>
          <w:szCs w:val="19"/>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81" w:lineRule="exact"/>
        <w:rPr>
          <w:sz w:val="20"/>
          <w:szCs w:val="20"/>
          <w:color w:val="auto"/>
        </w:rPr>
      </w:pPr>
    </w:p>
    <w:p>
      <w:pPr>
        <w:ind w:right="100" w:firstLine="564"/>
        <w:spacing w:after="0" w:line="239" w:lineRule="auto"/>
        <w:rPr>
          <w:sz w:val="20"/>
          <w:szCs w:val="20"/>
          <w:color w:val="auto"/>
        </w:rPr>
      </w:pPr>
      <w:r>
        <w:rPr>
          <w:rFonts w:ascii="Times New Roman" w:cs="Times New Roman" w:eastAsia="Times New Roman" w:hAnsi="Times New Roman"/>
          <w:sz w:val="19"/>
          <w:szCs w:val="19"/>
          <w:color w:val="auto"/>
        </w:rPr>
        <w:t xml:space="preserve">Section 19.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0" w:lineRule="exact"/>
        <w:rPr>
          <w:sz w:val="20"/>
          <w:szCs w:val="20"/>
          <w:color w:val="auto"/>
        </w:rPr>
      </w:pPr>
    </w:p>
    <w:p>
      <w:pPr>
        <w:ind w:left="1800" w:hanging="679"/>
        <w:spacing w:after="0"/>
        <w:tabs>
          <w:tab w:leader="none" w:pos="180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Indemnitee, at such address as Indemnitee shall provide to the Company.</w:t>
      </w:r>
    </w:p>
    <w:p>
      <w:pPr>
        <w:spacing w:after="0" w:line="204" w:lineRule="exact"/>
        <w:rPr>
          <w:rFonts w:ascii="Times New Roman" w:cs="Times New Roman" w:eastAsia="Times New Roman" w:hAnsi="Times New Roman"/>
          <w:sz w:val="19"/>
          <w:szCs w:val="19"/>
          <w:color w:val="auto"/>
        </w:rPr>
      </w:pPr>
    </w:p>
    <w:p>
      <w:pPr>
        <w:ind w:left="1800" w:hanging="679"/>
        <w:spacing w:after="0"/>
        <w:tabs>
          <w:tab w:leader="none" w:pos="180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ind w:left="1680"/>
        <w:spacing w:after="0"/>
        <w:rPr>
          <w:sz w:val="20"/>
          <w:szCs w:val="20"/>
          <w:color w:val="auto"/>
        </w:rPr>
      </w:pPr>
      <w:r>
        <w:rPr>
          <w:rFonts w:ascii="Times New Roman" w:cs="Times New Roman" w:eastAsia="Times New Roman" w:hAnsi="Times New Roman"/>
          <w:sz w:val="19"/>
          <w:szCs w:val="19"/>
          <w:color w:val="auto"/>
        </w:rPr>
        <w:t>Disc Medicine, Inc.</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321 Arsenal Street, Suite 101</w:t>
      </w:r>
    </w:p>
    <w:p>
      <w:pPr>
        <w:ind w:left="1680"/>
        <w:spacing w:after="0" w:line="232" w:lineRule="auto"/>
        <w:rPr>
          <w:sz w:val="20"/>
          <w:szCs w:val="20"/>
          <w:color w:val="auto"/>
        </w:rPr>
      </w:pPr>
      <w:r>
        <w:rPr>
          <w:rFonts w:ascii="Times New Roman" w:cs="Times New Roman" w:eastAsia="Times New Roman" w:hAnsi="Times New Roman"/>
          <w:sz w:val="19"/>
          <w:szCs w:val="19"/>
          <w:color w:val="auto"/>
        </w:rPr>
        <w:t>Watertown, MA 02472</w:t>
      </w:r>
    </w:p>
    <w:p>
      <w:pPr>
        <w:ind w:left="1680"/>
        <w:spacing w:after="0"/>
        <w:rPr>
          <w:sz w:val="20"/>
          <w:szCs w:val="20"/>
          <w:color w:val="auto"/>
        </w:rPr>
      </w:pPr>
      <w:r>
        <w:rPr>
          <w:rFonts w:ascii="Times New Roman" w:cs="Times New Roman" w:eastAsia="Times New Roman" w:hAnsi="Times New Roman"/>
          <w:sz w:val="19"/>
          <w:szCs w:val="19"/>
          <w:color w:val="auto"/>
        </w:rPr>
        <w:t>Attention: President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to any other address as may have been furnished to Indemnitee by the Company.</w:t>
      </w:r>
    </w:p>
    <w:p>
      <w:pPr>
        <w:spacing w:after="0" w:line="204" w:lineRule="exact"/>
        <w:rPr>
          <w:sz w:val="20"/>
          <w:szCs w:val="20"/>
          <w:color w:val="auto"/>
        </w:rPr>
      </w:pPr>
    </w:p>
    <w:p>
      <w:pPr>
        <w:ind w:right="20" w:firstLine="564"/>
        <w:spacing w:after="0" w:line="253"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70" w:lineRule="exact"/>
        <w:rPr>
          <w:sz w:val="20"/>
          <w:szCs w:val="20"/>
          <w:color w:val="auto"/>
        </w:rPr>
      </w:pPr>
    </w:p>
    <w:p>
      <w:pPr>
        <w:ind w:right="60" w:firstLine="564"/>
        <w:spacing w:after="0" w:line="238" w:lineRule="auto"/>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Internal Revenue Code Section 409A</w:t>
      </w:r>
      <w:r>
        <w:rPr>
          <w:rFonts w:ascii="Times New Roman" w:cs="Times New Roman" w:eastAsia="Times New Roman" w:hAnsi="Times New Roman"/>
          <w:sz w:val="19"/>
          <w:szCs w:val="19"/>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80" w:lineRule="exact"/>
        <w:rPr>
          <w:sz w:val="20"/>
          <w:szCs w:val="20"/>
          <w:color w:val="auto"/>
        </w:rPr>
      </w:pPr>
    </w:p>
    <w:p>
      <w:pPr>
        <w:ind w:firstLine="564"/>
        <w:spacing w:after="0" w:line="235" w:lineRule="auto"/>
        <w:rPr>
          <w:sz w:val="20"/>
          <w:szCs w:val="20"/>
          <w:color w:val="auto"/>
        </w:rPr>
      </w:pPr>
      <w:r>
        <w:rPr>
          <w:rFonts w:ascii="Times New Roman" w:cs="Times New Roman" w:eastAsia="Times New Roman" w:hAnsi="Times New Roman"/>
          <w:sz w:val="19"/>
          <w:szCs w:val="19"/>
          <w:color w:val="auto"/>
        </w:rPr>
        <w:t xml:space="preserve">Section 22. </w:t>
      </w:r>
      <w:r>
        <w:rPr>
          <w:rFonts w:ascii="Times New Roman" w:cs="Times New Roman" w:eastAsia="Times New Roman" w:hAnsi="Times New Roman"/>
          <w:sz w:val="19"/>
          <w:szCs w:val="19"/>
          <w:u w:val="single" w:color="auto"/>
          <w:color w:val="auto"/>
        </w:rPr>
        <w:t>Applicable Law and Consent to Jurisdiction</w:t>
      </w:r>
      <w:r>
        <w:rPr>
          <w:rFonts w:ascii="Times New Roman" w:cs="Times New Roman" w:eastAsia="Times New Roman" w:hAnsi="Times New Roman"/>
          <w:sz w:val="19"/>
          <w:szCs w:val="19"/>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6" w:name="page97"/>
    <w:bookmarkEnd w:id="96"/>
    <w:p>
      <w:pPr>
        <w:ind w:right="140" w:firstLine="564"/>
        <w:spacing w:after="0" w:line="260" w:lineRule="auto"/>
        <w:rPr>
          <w:sz w:val="20"/>
          <w:szCs w:val="20"/>
          <w:color w:val="auto"/>
        </w:rPr>
      </w:pPr>
      <w:r>
        <w:rPr>
          <w:rFonts w:ascii="Times New Roman" w:cs="Times New Roman" w:eastAsia="Times New Roman" w:hAnsi="Times New Roman"/>
          <w:sz w:val="19"/>
          <w:szCs w:val="19"/>
          <w:color w:val="auto"/>
        </w:rPr>
        <w:t xml:space="preserve">Section 23.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ind w:right="140" w:firstLine="564"/>
        <w:spacing w:after="0" w:line="245" w:lineRule="auto"/>
        <w:rPr>
          <w:sz w:val="20"/>
          <w:szCs w:val="20"/>
          <w:color w:val="auto"/>
        </w:rPr>
      </w:pPr>
      <w:r>
        <w:rPr>
          <w:rFonts w:ascii="Times New Roman" w:cs="Times New Roman" w:eastAsia="Times New Roman" w:hAnsi="Times New Roman"/>
          <w:sz w:val="19"/>
          <w:szCs w:val="19"/>
          <w:color w:val="auto"/>
        </w:rPr>
        <w:t xml:space="preserve">Section 24. </w:t>
      </w:r>
      <w:r>
        <w:rPr>
          <w:rFonts w:ascii="Times New Roman" w:cs="Times New Roman" w:eastAsia="Times New Roman" w:hAnsi="Times New Roman"/>
          <w:sz w:val="19"/>
          <w:szCs w:val="19"/>
          <w:u w:val="single" w:color="auto"/>
          <w:color w:val="auto"/>
        </w:rPr>
        <w:t>Identical Counterparts</w:t>
      </w:r>
      <w:r>
        <w:rPr>
          <w:rFonts w:ascii="Times New Roman" w:cs="Times New Roman" w:eastAsia="Times New Roman" w:hAnsi="Times New Roman"/>
          <w:sz w:val="19"/>
          <w:szCs w:val="19"/>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ind w:firstLine="564"/>
        <w:spacing w:after="0" w:line="235" w:lineRule="auto"/>
        <w:rPr>
          <w:sz w:val="20"/>
          <w:szCs w:val="20"/>
          <w:color w:val="auto"/>
        </w:rPr>
      </w:pPr>
      <w:r>
        <w:rPr>
          <w:rFonts w:ascii="Times New Roman" w:cs="Times New Roman" w:eastAsia="Times New Roman" w:hAnsi="Times New Roman"/>
          <w:sz w:val="19"/>
          <w:szCs w:val="19"/>
          <w:color w:val="auto"/>
        </w:rPr>
        <w:t xml:space="preserve">Section 25. </w:t>
      </w:r>
      <w:r>
        <w:rPr>
          <w:rFonts w:ascii="Times New Roman" w:cs="Times New Roman" w:eastAsia="Times New Roman" w:hAnsi="Times New Roman"/>
          <w:sz w:val="19"/>
          <w:szCs w:val="19"/>
          <w:u w:val="single" w:color="auto"/>
          <w:color w:val="auto"/>
        </w:rPr>
        <w:t>Monetary Damages Insufficient/Specific Enforcement</w:t>
      </w:r>
      <w:r>
        <w:rPr>
          <w:rFonts w:ascii="Times New Roman" w:cs="Times New Roman" w:eastAsia="Times New Roman" w:hAnsi="Times New Roman"/>
          <w:sz w:val="19"/>
          <w:szCs w:val="19"/>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signed as of the day and year first above written.</w:t>
      </w: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20320</wp:posOffset>
            </wp:positionV>
            <wp:extent cx="335534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248920</wp:posOffset>
            </wp:positionV>
            <wp:extent cx="335534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3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of Indemnitee]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59055</wp:posOffset>
            </wp:positionV>
            <wp:extent cx="715010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140"/>
          </w:cols>
          <w:pgMar w:left="1380" w:top="115" w:right="13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COMMON STOCK ISSUANCE AGREEMENT</w:t>
      </w:r>
    </w:p>
    <w:p>
      <w:pPr>
        <w:spacing w:after="0" w:line="208" w:lineRule="exact"/>
        <w:rPr>
          <w:sz w:val="20"/>
          <w:szCs w:val="20"/>
          <w:color w:val="auto"/>
        </w:rPr>
      </w:pPr>
    </w:p>
    <w:p>
      <w:pPr>
        <w:jc w:val="both"/>
        <w:ind w:right="20" w:firstLine="564"/>
        <w:spacing w:after="0" w:line="239" w:lineRule="auto"/>
        <w:rPr>
          <w:sz w:val="20"/>
          <w:szCs w:val="20"/>
          <w:color w:val="auto"/>
        </w:rPr>
      </w:pPr>
      <w:r>
        <w:rPr>
          <w:rFonts w:ascii="Times New Roman" w:cs="Times New Roman" w:eastAsia="Times New Roman" w:hAnsi="Times New Roman"/>
          <w:sz w:val="19"/>
          <w:szCs w:val="19"/>
          <w:color w:val="auto"/>
        </w:rPr>
        <w:t>This Common Stock Issuance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as of December 29, 2022, by and between Disc Medicine, Inc., a Delaware corporation with an office and place of business at 321 Arsenal Street, Suite 101, Watertown, MA 02472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 Hoffmann-La Roche Ltd, with an office and place of business at Grenzacherstrasse 124, 4070 Basel, Switzerland (“</w:t>
      </w:r>
      <w:r>
        <w:rPr>
          <w:rFonts w:ascii="Times New Roman" w:cs="Times New Roman" w:eastAsia="Times New Roman" w:hAnsi="Times New Roman"/>
          <w:sz w:val="19"/>
          <w:szCs w:val="19"/>
          <w:u w:val="single" w:color="auto"/>
          <w:color w:val="auto"/>
        </w:rPr>
        <w:t>Roche Basel</w:t>
      </w:r>
      <w:r>
        <w:rPr>
          <w:rFonts w:ascii="Times New Roman" w:cs="Times New Roman" w:eastAsia="Times New Roman" w:hAnsi="Times New Roman"/>
          <w:sz w:val="19"/>
          <w:szCs w:val="19"/>
          <w:color w:val="auto"/>
        </w:rPr>
        <w:t>”) and Hoffmann-La Roche Inc., with an office and place of business at 150 Clove Road, Suite 8, Little Falls, New Jersey 07424, U.S.A. (“</w:t>
      </w:r>
      <w:r>
        <w:rPr>
          <w:rFonts w:ascii="Times New Roman" w:cs="Times New Roman" w:eastAsia="Times New Roman" w:hAnsi="Times New Roman"/>
          <w:sz w:val="19"/>
          <w:szCs w:val="19"/>
          <w:u w:val="single" w:color="auto"/>
          <w:color w:val="auto"/>
        </w:rPr>
        <w:t>Roche US</w:t>
      </w:r>
      <w:r>
        <w:rPr>
          <w:rFonts w:ascii="Times New Roman" w:cs="Times New Roman" w:eastAsia="Times New Roman" w:hAnsi="Times New Roman"/>
          <w:sz w:val="19"/>
          <w:szCs w:val="19"/>
          <w:color w:val="auto"/>
        </w:rPr>
        <w:t>”; Roche Basel and Roche Financetogether referred to as “</w:t>
      </w:r>
      <w:r>
        <w:rPr>
          <w:rFonts w:ascii="Times New Roman" w:cs="Times New Roman" w:eastAsia="Times New Roman" w:hAnsi="Times New Roman"/>
          <w:sz w:val="19"/>
          <w:szCs w:val="19"/>
          <w:u w:val="single" w:color="auto"/>
          <w:color w:val="auto"/>
        </w:rPr>
        <w:t>Roche</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firstLine="558"/>
        <w:spacing w:after="0" w:line="235" w:lineRule="auto"/>
        <w:tabs>
          <w:tab w:leader="none" w:pos="1221"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Issuance of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terms and conditions of this Agreement, simultaneously with the execution and delivery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by the parties or on such other date as the Company and Roche shall agree (the “</w:t>
      </w:r>
      <w:r>
        <w:rPr>
          <w:rFonts w:ascii="Times New Roman" w:cs="Times New Roman" w:eastAsia="Times New Roman" w:hAnsi="Times New Roman"/>
          <w:sz w:val="19"/>
          <w:szCs w:val="19"/>
          <w:u w:val="single" w:color="auto"/>
          <w:color w:val="auto"/>
        </w:rPr>
        <w:t>Issuance Date</w:t>
      </w:r>
      <w:r>
        <w:rPr>
          <w:rFonts w:ascii="Times New Roman" w:cs="Times New Roman" w:eastAsia="Times New Roman" w:hAnsi="Times New Roman"/>
          <w:sz w:val="19"/>
          <w:szCs w:val="19"/>
          <w:color w:val="auto"/>
        </w:rPr>
        <w:t>”), the Company will issue to Roche Finance Ltd, a Swiss company (“</w:t>
      </w:r>
      <w:r>
        <w:rPr>
          <w:rFonts w:ascii="Times New Roman" w:cs="Times New Roman" w:eastAsia="Times New Roman" w:hAnsi="Times New Roman"/>
          <w:sz w:val="19"/>
          <w:szCs w:val="19"/>
          <w:u w:val="single" w:color="auto"/>
          <w:color w:val="auto"/>
        </w:rPr>
        <w:t>Roche Finance</w:t>
      </w:r>
      <w:r>
        <w:rPr>
          <w:rFonts w:ascii="Times New Roman" w:cs="Times New Roman" w:eastAsia="Times New Roman" w:hAnsi="Times New Roman"/>
          <w:sz w:val="19"/>
          <w:szCs w:val="19"/>
          <w:color w:val="auto"/>
        </w:rPr>
        <w:t>”), 482,313 shares of the Company’s Common Stock (the “</w:t>
      </w: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in consideration of the license granted by Roche to the Company under that certain License Agreement, dated May 7, 2021, by and among the parties hereto, and that certain Addendum to License Agreement dated December 7, 2021, by and among the parties hereto, as further amended from time to time (collectively, the “</w:t>
      </w:r>
      <w:r>
        <w:rPr>
          <w:rFonts w:ascii="Times New Roman" w:cs="Times New Roman" w:eastAsia="Times New Roman" w:hAnsi="Times New Roman"/>
          <w:sz w:val="19"/>
          <w:szCs w:val="19"/>
          <w:u w:val="single" w:color="auto"/>
          <w:color w:val="auto"/>
        </w:rPr>
        <w:t>License Agreement</w:t>
      </w:r>
      <w:r>
        <w:rPr>
          <w:rFonts w:ascii="Times New Roman" w:cs="Times New Roman" w:eastAsia="Times New Roman" w:hAnsi="Times New Roman"/>
          <w:sz w:val="19"/>
          <w:szCs w:val="19"/>
          <w:color w:val="auto"/>
        </w:rPr>
        <w:t>”). On the Issuance Date, the Company will enter the Shares in Roche Finance’s name as of such date in the books and records of the Company or, if applicable, a duly authorized transfer agent of the Company. The Company will deliver to Roche, upon request, a notice of issuance with respect to the Shares as soon as practicable following such date. As used elsewhere herein, the term “</w:t>
      </w: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refers to all of the Shares issued hereunder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Roche is entitled by reason of Roche’s ownership of the Shares.</w:t>
      </w:r>
    </w:p>
    <w:p>
      <w:pPr>
        <w:spacing w:after="0" w:line="183" w:lineRule="exact"/>
        <w:rPr>
          <w:rFonts w:ascii="Times New Roman" w:cs="Times New Roman" w:eastAsia="Times New Roman" w:hAnsi="Times New Roman"/>
          <w:sz w:val="19"/>
          <w:szCs w:val="19"/>
          <w:color w:val="auto"/>
        </w:rPr>
      </w:pPr>
    </w:p>
    <w:p>
      <w:pPr>
        <w:jc w:val="both"/>
        <w:ind w:firstLine="558"/>
        <w:spacing w:after="0" w:line="248" w:lineRule="auto"/>
        <w:tabs>
          <w:tab w:leader="none" w:pos="120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Consideration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consideration for the mutual promises and covenants set forth in this Agreement, Roche has granted to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license to use certain intellectual property pursuant to the License Agreement. The Company and Roche expressly acknowledge and agree that the Shares are being issued in accordance with, and subject to, the License Agreement, which is incorporated herein in full by reference.</w:t>
      </w:r>
    </w:p>
    <w:p>
      <w:pPr>
        <w:spacing w:after="0" w:line="168" w:lineRule="exact"/>
        <w:rPr>
          <w:rFonts w:ascii="Times New Roman" w:cs="Times New Roman" w:eastAsia="Times New Roman" w:hAnsi="Times New Roman"/>
          <w:sz w:val="19"/>
          <w:szCs w:val="19"/>
          <w:color w:val="auto"/>
        </w:rPr>
      </w:pPr>
    </w:p>
    <w:p>
      <w:pPr>
        <w:ind w:right="20" w:firstLine="558"/>
        <w:spacing w:after="0" w:line="263" w:lineRule="auto"/>
        <w:tabs>
          <w:tab w:leader="none" w:pos="118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Limitations on Transfer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Roche shall not assign, encumber or dispose of any interest in the Shares except to the extent permitted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in compliance with, applicable laws, and the provisions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5010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99" w:name="page100"/>
    <w:bookmarkEnd w:id="99"/>
    <w:p>
      <w:pPr>
        <w:jc w:val="both"/>
        <w:ind w:firstLine="1121"/>
        <w:spacing w:after="0" w:line="234" w:lineRule="auto"/>
        <w:tabs>
          <w:tab w:leader="none" w:pos="2021"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any proposed sale, pledge, or transfer of any Shares, unless there is in effect a registration statement under the Securities Act covering the proposed transaction Roche (together with any future holder of the Shares, hereinafter referred to as the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 shall give notice to the Company of Holder’s intention to effect such sale, pledge, or transfer. The notice shall describe the manner and circumstances of the proposed sale, pledge, or transfer in sufficient detail and, if reasonably requested by the Company, shall be accompanied at Holder’s expense by either (i) a written opinion of legal counsel who shall, and whose legal opinion shall, be reasonably satisfactory to the Company, addressed to the Company, to the effect that the proposed transaction may be effected without registration under the Securities Act of 1933, as amended from time to time (the “</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xml:space="preserve">”); (ii) a “no action” letter from the Securities and Exchange Commission to the effect that the proposed sale, pledge, or transfer of such Shares without registration will not result in a recommendation by the staff of the Securities and Exchange Commission that action be taken with respect thereto; or (iii) any other evidence reasonably satisfactory to counsel to the Company to the effect that the proposed sale, pledge, or transfer of the Shares may be effected without registration under the Securities Act, whereupon Holder shall be entitled to sell, pledge, or transfer such Shares in accordance with the terms of the notice given by the Holder to the Company. The Company will not require such a notice, legal opinion or “no action” letter (x) in any transaction in compliance with Rule 144; or (y) in any transaction in which such Holder distributes any Shares to its affiliate for no consideration; provided that with respect to transfers under the foregoing clauses, each transferee agrees in writing to be subject to the terms of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ind w:left="1840" w:hanging="719"/>
        <w:spacing w:after="0"/>
        <w:tabs>
          <w:tab w:leader="none" w:pos="18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Stand-off”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hereby agrees that it will comply with the restrictions set forth in Section 10.11 of</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License Agreement.</w:t>
      </w:r>
    </w:p>
    <w:p>
      <w:pPr>
        <w:spacing w:after="0" w:line="180" w:lineRule="exact"/>
        <w:rPr>
          <w:rFonts w:ascii="Times New Roman" w:cs="Times New Roman" w:eastAsia="Times New Roman" w:hAnsi="Times New Roman"/>
          <w:sz w:val="18"/>
          <w:szCs w:val="18"/>
          <w:color w:val="auto"/>
        </w:rPr>
      </w:pPr>
    </w:p>
    <w:p>
      <w:pPr>
        <w:ind w:left="1260" w:hanging="702"/>
        <w:spacing w:after="0"/>
        <w:tabs>
          <w:tab w:leader="none" w:pos="126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Investment and Taxation Representations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connection with the issuance of the Shares, Roche represents to the Company the</w:t>
      </w:r>
    </w:p>
    <w:p>
      <w:pPr>
        <w:spacing w:after="0" w:line="1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w:t>
      </w:r>
    </w:p>
    <w:p>
      <w:pPr>
        <w:spacing w:after="0" w:line="184" w:lineRule="exact"/>
        <w:rPr>
          <w:rFonts w:ascii="Times New Roman" w:cs="Times New Roman" w:eastAsia="Times New Roman" w:hAnsi="Times New Roman"/>
          <w:sz w:val="19"/>
          <w:szCs w:val="19"/>
          <w:color w:val="auto"/>
        </w:rPr>
      </w:pPr>
    </w:p>
    <w:p>
      <w:pPr>
        <w:jc w:val="both"/>
        <w:ind w:firstLine="1121"/>
        <w:spacing w:after="0" w:line="241" w:lineRule="auto"/>
        <w:tabs>
          <w:tab w:leader="none" w:pos="1877"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Roche is aware of the Company’s business affairs and financial condition and has acquired sufficient information about the Company to reach an informed and knowledgeable decision to acquire the Shares. Roche is acquiring the Shares for investment for Roche’s own account only and not with a view to, or for resale in connection with, any “distribution” thereof within the meaning of the Securities Act or under any applicable provision of state law. Roche does not have any present intention to transfer the Shares to any other person or entity.</w:t>
      </w:r>
    </w:p>
    <w:p>
      <w:pPr>
        <w:spacing w:after="0" w:line="179" w:lineRule="exact"/>
        <w:rPr>
          <w:rFonts w:ascii="Times New Roman" w:cs="Times New Roman" w:eastAsia="Times New Roman" w:hAnsi="Times New Roman"/>
          <w:sz w:val="19"/>
          <w:szCs w:val="19"/>
          <w:color w:val="auto"/>
        </w:rPr>
      </w:pPr>
    </w:p>
    <w:p>
      <w:pPr>
        <w:ind w:firstLine="1121"/>
        <w:spacing w:after="0" w:line="259" w:lineRule="auto"/>
        <w:tabs>
          <w:tab w:leader="none" w:pos="1922"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Roche understands that the Shares have not been registered under the Securities Act by reason of a specific exemption therefrom, which exemption depends upon, among other things, the bona fide nature of Roche’s investment intent as expressed herein.</w:t>
      </w:r>
    </w:p>
    <w:p>
      <w:pPr>
        <w:spacing w:after="0" w:line="162" w:lineRule="exact"/>
        <w:rPr>
          <w:rFonts w:ascii="Times New Roman" w:cs="Times New Roman" w:eastAsia="Times New Roman" w:hAnsi="Times New Roman"/>
          <w:sz w:val="19"/>
          <w:szCs w:val="19"/>
          <w:color w:val="auto"/>
        </w:rPr>
      </w:pPr>
    </w:p>
    <w:p>
      <w:pPr>
        <w:jc w:val="both"/>
        <w:ind w:firstLine="1121"/>
        <w:spacing w:after="0" w:line="245" w:lineRule="auto"/>
        <w:tabs>
          <w:tab w:leader="none" w:pos="1937"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Roche acknowledges and understands that the securities must be held indefinitely unless they are subsequently registered under the Securities Act or an exemption from such registration is available. Roche further acknowledges and understands that the Company is under no obligation to register the securities.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0" w:name="page101"/>
    <w:bookmarkEnd w:id="100"/>
    <w:p>
      <w:pPr>
        <w:jc w:val="both"/>
        <w:ind w:firstLine="1121"/>
        <w:spacing w:after="0" w:line="237" w:lineRule="auto"/>
        <w:tabs>
          <w:tab w:leader="none" w:pos="1786"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Roche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Roche understands that the Company provides no assurances as to whether it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4(d), Roche acknowledges and agrees to the restrictions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4(e) below.</w:t>
      </w:r>
    </w:p>
    <w:p>
      <w:pPr>
        <w:spacing w:after="0" w:line="181" w:lineRule="exact"/>
        <w:rPr>
          <w:rFonts w:ascii="Times New Roman" w:cs="Times New Roman" w:eastAsia="Times New Roman" w:hAnsi="Times New Roman"/>
          <w:sz w:val="19"/>
          <w:szCs w:val="19"/>
          <w:color w:val="auto"/>
        </w:rPr>
      </w:pPr>
    </w:p>
    <w:p>
      <w:pPr>
        <w:jc w:val="both"/>
        <w:ind w:firstLine="1121"/>
        <w:spacing w:after="0" w:line="238" w:lineRule="auto"/>
        <w:tabs>
          <w:tab w:leader="none" w:pos="1838"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Roche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79" w:lineRule="exact"/>
        <w:rPr>
          <w:rFonts w:ascii="Times New Roman" w:cs="Times New Roman" w:eastAsia="Times New Roman" w:hAnsi="Times New Roman"/>
          <w:sz w:val="19"/>
          <w:szCs w:val="19"/>
          <w:color w:val="auto"/>
        </w:rPr>
      </w:pPr>
    </w:p>
    <w:p>
      <w:pPr>
        <w:ind w:right="20" w:firstLine="1121"/>
        <w:spacing w:after="0" w:line="259" w:lineRule="auto"/>
        <w:tabs>
          <w:tab w:leader="none" w:pos="1815"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Roche represents that Roche is not subject to any of the “Bad Actor” disqualifications described in Rule 506(d)(1)(i) to (viii) under the Securities Act. Roche also agrees to notify the Company if Roche becomes subject to such disqualifications after the date hereof.</w:t>
      </w:r>
    </w:p>
    <w:p>
      <w:pPr>
        <w:spacing w:after="0" w:line="162" w:lineRule="exact"/>
        <w:rPr>
          <w:rFonts w:ascii="Times New Roman" w:cs="Times New Roman" w:eastAsia="Times New Roman" w:hAnsi="Times New Roman"/>
          <w:sz w:val="19"/>
          <w:szCs w:val="19"/>
          <w:color w:val="auto"/>
        </w:rPr>
      </w:pPr>
    </w:p>
    <w:p>
      <w:pPr>
        <w:jc w:val="both"/>
        <w:ind w:firstLine="1121"/>
        <w:spacing w:after="0" w:line="245" w:lineRule="auto"/>
        <w:tabs>
          <w:tab w:leader="none" w:pos="1822"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Roche understands that it may suffer adverse tax consequences as a result of Roche’s acquisition or disposition of the Shares. Roche represents that it has consulted any tax consultants Roche deems advisable in connection with the acquisition or disposition of the Shares and that Roche is not relying on the Company for any tax advice.</w:t>
      </w:r>
    </w:p>
    <w:p>
      <w:pPr>
        <w:spacing w:after="0" w:line="172" w:lineRule="exact"/>
        <w:rPr>
          <w:rFonts w:ascii="Times New Roman" w:cs="Times New Roman" w:eastAsia="Times New Roman" w:hAnsi="Times New Roman"/>
          <w:sz w:val="19"/>
          <w:szCs w:val="19"/>
          <w:color w:val="auto"/>
        </w:rPr>
      </w:pPr>
    </w:p>
    <w:p>
      <w:pPr>
        <w:ind w:left="1220" w:hanging="662"/>
        <w:spacing w:after="0"/>
        <w:tabs>
          <w:tab w:leader="none" w:pos="122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Restrictive Legends and Stop-Transfer Orders</w:t>
      </w:r>
      <w:r>
        <w:rPr>
          <w:rFonts w:ascii="Times New Roman" w:cs="Times New Roman" w:eastAsia="Times New Roman" w:hAnsi="Times New Roman"/>
          <w:sz w:val="19"/>
          <w:szCs w:val="19"/>
          <w:b w:val="1"/>
          <w:bCs w:val="1"/>
          <w:color w:val="auto"/>
        </w:rPr>
        <w:t>.</w:t>
      </w:r>
    </w:p>
    <w:p>
      <w:pPr>
        <w:spacing w:after="0" w:line="204" w:lineRule="exact"/>
        <w:rPr>
          <w:rFonts w:ascii="Times New Roman" w:cs="Times New Roman" w:eastAsia="Times New Roman" w:hAnsi="Times New Roman"/>
          <w:sz w:val="19"/>
          <w:szCs w:val="19"/>
          <w:color w:val="auto"/>
        </w:rPr>
      </w:pPr>
    </w:p>
    <w:p>
      <w:pPr>
        <w:ind w:firstLine="1121"/>
        <w:spacing w:after="0" w:line="263" w:lineRule="auto"/>
        <w:tabs>
          <w:tab w:leader="none" w:pos="1805"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stock certificate or, in the case of uncertificated securities, any notice of issuance, for the Shares, shall bear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legends (as well as any legends required by the Company or applicable state and federal corporate and securities laws):</w:t>
      </w:r>
    </w:p>
    <w:p>
      <w:pPr>
        <w:spacing w:after="0" w:line="159" w:lineRule="exact"/>
        <w:rPr>
          <w:rFonts w:ascii="Times New Roman" w:cs="Times New Roman" w:eastAsia="Times New Roman" w:hAnsi="Times New Roman"/>
          <w:sz w:val="19"/>
          <w:szCs w:val="19"/>
          <w:color w:val="auto"/>
        </w:rPr>
      </w:pPr>
    </w:p>
    <w:p>
      <w:pPr>
        <w:jc w:val="both"/>
        <w:ind w:firstLine="1685"/>
        <w:spacing w:after="0" w:line="239" w:lineRule="auto"/>
        <w:tabs>
          <w:tab w:leader="none" w:pos="2345" w:val="left"/>
        </w:tabs>
        <w:numPr>
          <w:ilvl w:val="2"/>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80" w:lineRule="exact"/>
        <w:rPr>
          <w:rFonts w:ascii="Times New Roman" w:cs="Times New Roman" w:eastAsia="Times New Roman" w:hAnsi="Times New Roman"/>
          <w:sz w:val="19"/>
          <w:szCs w:val="19"/>
          <w:color w:val="auto"/>
        </w:rPr>
      </w:pPr>
    </w:p>
    <w:p>
      <w:pPr>
        <w:jc w:val="both"/>
        <w:ind w:firstLine="1685"/>
        <w:spacing w:after="0" w:line="241" w:lineRule="auto"/>
        <w:tabs>
          <w:tab w:leader="none" w:pos="2399" w:val="left"/>
        </w:tabs>
        <w:numPr>
          <w:ilvl w:val="2"/>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SECURITIES REFERENCED HEREIN MAY BE TRANSFERRED ONLY IN ACCORDANCE WITH THE TERMS OF THE COMMON STOCK ISSUANCE AGREEMENT BETWEEN THE COMPANY AND THE STOCKHOLDER OR ITS AFFILIATES, A COPY OF WHICH IS ON FILE WITH AND MAY BE OBTAINED FROM THE SECRETARY OF THE COMPANY AT NO CHARGE.”</w:t>
      </w:r>
    </w:p>
    <w:p>
      <w:pPr>
        <w:spacing w:after="0" w:line="175" w:lineRule="exact"/>
        <w:rPr>
          <w:rFonts w:ascii="Times New Roman" w:cs="Times New Roman" w:eastAsia="Times New Roman" w:hAnsi="Times New Roman"/>
          <w:sz w:val="19"/>
          <w:szCs w:val="19"/>
          <w:color w:val="auto"/>
        </w:rPr>
      </w:pPr>
    </w:p>
    <w:p>
      <w:pPr>
        <w:jc w:val="both"/>
        <w:ind w:firstLine="1121"/>
        <w:spacing w:after="0" w:line="248" w:lineRule="auto"/>
        <w:tabs>
          <w:tab w:leader="none" w:pos="2086"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Stop-Transfer Notices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Roche agrees that, in order to ensure compliance with the restrictions referred to herein,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issue appropriate “stop transfer” instructions to its transfer agent, if any, and that, if the Company transfers its own securities, it may make appropriate notations to the same effect in its own records.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1" w:name="page102"/>
    <w:bookmarkEnd w:id="101"/>
    <w:p>
      <w:pPr>
        <w:jc w:val="both"/>
        <w:ind w:firstLine="1121"/>
        <w:spacing w:after="0" w:line="248" w:lineRule="auto"/>
        <w:tabs>
          <w:tab w:leader="none" w:pos="1993"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Refusal to Transfer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(i) to transfer on its books any Shares that have been sold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8" w:lineRule="exact"/>
        <w:rPr>
          <w:rFonts w:ascii="Times New Roman" w:cs="Times New Roman" w:eastAsia="Times New Roman" w:hAnsi="Times New Roman"/>
          <w:sz w:val="19"/>
          <w:szCs w:val="19"/>
          <w:color w:val="auto"/>
        </w:rPr>
      </w:pPr>
    </w:p>
    <w:p>
      <w:pPr>
        <w:jc w:val="both"/>
        <w:ind w:firstLine="1121"/>
        <w:spacing w:after="0" w:line="236" w:lineRule="auto"/>
        <w:tabs>
          <w:tab w:leader="none" w:pos="1839"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Required Notices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Roche acknowledges that the Shares are issued and shall be held subject to all the provisions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the Company’s Certificate of Incorporation (as may be amended from time to time) and the Bylaws (as may be amended from time to time)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Roche acknowledges that the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5 shall constitute the notices required by Sections 151(f) and 202(a) of the Delaware General Corporation Law and Roche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spacing w:after="0" w:line="179" w:lineRule="exact"/>
        <w:rPr>
          <w:rFonts w:ascii="Times New Roman" w:cs="Times New Roman" w:eastAsia="Times New Roman" w:hAnsi="Times New Roman"/>
          <w:sz w:val="19"/>
          <w:szCs w:val="19"/>
          <w:color w:val="auto"/>
        </w:rPr>
      </w:pPr>
    </w:p>
    <w:p>
      <w:pPr>
        <w:ind w:left="1220" w:hanging="662"/>
        <w:spacing w:after="0"/>
        <w:tabs>
          <w:tab w:leader="none" w:pos="12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b w:val="1"/>
          <w:bCs w:val="1"/>
          <w:color w:val="auto"/>
        </w:rPr>
        <w:t>.</w:t>
      </w:r>
    </w:p>
    <w:p>
      <w:pPr>
        <w:spacing w:after="0" w:line="204" w:lineRule="exact"/>
        <w:rPr>
          <w:rFonts w:ascii="Times New Roman" w:cs="Times New Roman" w:eastAsia="Times New Roman" w:hAnsi="Times New Roman"/>
          <w:sz w:val="19"/>
          <w:szCs w:val="19"/>
          <w:color w:val="auto"/>
        </w:rPr>
      </w:pPr>
    </w:p>
    <w:p>
      <w:pPr>
        <w:jc w:val="both"/>
        <w:ind w:firstLine="1121"/>
        <w:spacing w:after="0" w:line="248" w:lineRule="auto"/>
        <w:tabs>
          <w:tab w:leader="none" w:pos="1829"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validity, interpretation, construction and performance of this Agreement, and all acts and transactions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hereto and the rights and obligations of the parties hereto shall be governed, construed and interpreted in accordance with the laws of the state of Delaware, without giving effect to principles of conflicts of law.</w:t>
      </w:r>
    </w:p>
    <w:p>
      <w:pPr>
        <w:spacing w:after="0" w:line="168" w:lineRule="exact"/>
        <w:rPr>
          <w:rFonts w:ascii="Times New Roman" w:cs="Times New Roman" w:eastAsia="Times New Roman" w:hAnsi="Times New Roman"/>
          <w:sz w:val="19"/>
          <w:szCs w:val="19"/>
          <w:color w:val="auto"/>
        </w:rPr>
      </w:pPr>
    </w:p>
    <w:p>
      <w:pPr>
        <w:jc w:val="both"/>
        <w:ind w:firstLine="1121"/>
        <w:spacing w:after="0" w:line="248" w:lineRule="auto"/>
        <w:tabs>
          <w:tab w:leader="none" w:pos="1945"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and the License Agreement sets forth the entire agreement and understanding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 relating to the subject matter herein and supersedes all prior or contemporaneous discussions, understandings and agreements, whether oral or written, between them relating to the subject matter hereof.</w:t>
      </w:r>
    </w:p>
    <w:p>
      <w:pPr>
        <w:spacing w:after="0" w:line="168" w:lineRule="exact"/>
        <w:rPr>
          <w:rFonts w:ascii="Times New Roman" w:cs="Times New Roman" w:eastAsia="Times New Roman" w:hAnsi="Times New Roman"/>
          <w:sz w:val="19"/>
          <w:szCs w:val="19"/>
          <w:color w:val="auto"/>
        </w:rPr>
      </w:pPr>
    </w:p>
    <w:p>
      <w:pPr>
        <w:jc w:val="both"/>
        <w:ind w:firstLine="1121"/>
        <w:spacing w:after="0" w:line="248" w:lineRule="auto"/>
        <w:tabs>
          <w:tab w:leader="none" w:pos="1899"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Amendments and Waivers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modification of or amendment to this Agreement, nor any waiver of any rights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shall be 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Times New Roman" w:cs="Times New Roman" w:eastAsia="Times New Roman" w:hAnsi="Times New Roman"/>
          <w:sz w:val="19"/>
          <w:szCs w:val="19"/>
          <w:color w:val="auto"/>
        </w:rPr>
      </w:pPr>
    </w:p>
    <w:p>
      <w:pPr>
        <w:jc w:val="both"/>
        <w:ind w:firstLine="1121"/>
        <w:spacing w:after="0"/>
        <w:tabs>
          <w:tab w:leader="none" w:pos="1851"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Except as otherwise provided in this Agreement, this Agreement, and the rights and obligations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2" w:name="page103"/>
    <w:bookmarkEnd w:id="102"/>
    <w:p>
      <w:pPr>
        <w:jc w:val="both"/>
        <w:ind w:firstLine="1121"/>
        <w:spacing w:after="0" w:line="243" w:lineRule="auto"/>
        <w:tabs>
          <w:tab w:leader="none" w:pos="18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notice, demand or request required or permitted to be given under this Agreement shall be in writing and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deemed sufficient when delivered personally or by overnight courier or sent by email, or 48 hours after being deposited in the U.S. mail as certified or registered mail with postage prepaid, addressed to the party to be notified at such party’s address as provided in the License Agreement, as subsequently modified by written notice, or if no address is specified, at the most recent address set forth in the Company’s books and records.</w:t>
      </w:r>
    </w:p>
    <w:p>
      <w:pPr>
        <w:spacing w:after="0" w:line="172" w:lineRule="exact"/>
        <w:rPr>
          <w:rFonts w:ascii="Times New Roman" w:cs="Times New Roman" w:eastAsia="Times New Roman" w:hAnsi="Times New Roman"/>
          <w:sz w:val="19"/>
          <w:szCs w:val="19"/>
          <w:color w:val="auto"/>
        </w:rPr>
      </w:pPr>
    </w:p>
    <w:p>
      <w:pPr>
        <w:jc w:val="both"/>
        <w:ind w:firstLine="1121"/>
        <w:spacing w:after="0" w:line="242" w:lineRule="auto"/>
        <w:tabs>
          <w:tab w:leader="none" w:pos="198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one or more provisions of this Agreement are held to be unenforceable under applicable law,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5" w:lineRule="exact"/>
        <w:rPr>
          <w:rFonts w:ascii="Times New Roman" w:cs="Times New Roman" w:eastAsia="Times New Roman" w:hAnsi="Times New Roman"/>
          <w:sz w:val="19"/>
          <w:szCs w:val="19"/>
          <w:color w:val="auto"/>
        </w:rPr>
      </w:pPr>
    </w:p>
    <w:p>
      <w:pPr>
        <w:jc w:val="both"/>
        <w:ind w:firstLine="1121"/>
        <w:spacing w:after="0" w:line="248" w:lineRule="auto"/>
        <w:tabs>
          <w:tab w:leader="none" w:pos="180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Construction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is the result of negotiations between and has been reviewed by each of the parties hereto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their respective counsel, if any; accordingly, this Agreement shall be deemed to be the product of all of the parties hereto, and no ambiguity shall be construed in favor of or against any one of the parties hereto.</w:t>
      </w:r>
    </w:p>
    <w:p>
      <w:pPr>
        <w:spacing w:after="0" w:line="168" w:lineRule="exact"/>
        <w:rPr>
          <w:rFonts w:ascii="Times New Roman" w:cs="Times New Roman" w:eastAsia="Times New Roman" w:hAnsi="Times New Roman"/>
          <w:sz w:val="19"/>
          <w:szCs w:val="19"/>
          <w:color w:val="auto"/>
        </w:rPr>
      </w:pPr>
    </w:p>
    <w:p>
      <w:pPr>
        <w:jc w:val="both"/>
        <w:ind w:firstLine="1121"/>
        <w:spacing w:after="0" w:line="242" w:lineRule="auto"/>
        <w:tabs>
          <w:tab w:leader="none" w:pos="2027"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may be executed in any number of counterparts, each of which when so executed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175" w:lineRule="exact"/>
        <w:rPr>
          <w:rFonts w:ascii="Times New Roman" w:cs="Times New Roman" w:eastAsia="Times New Roman" w:hAnsi="Times New Roman"/>
          <w:sz w:val="19"/>
          <w:szCs w:val="19"/>
          <w:color w:val="auto"/>
        </w:rPr>
      </w:pPr>
    </w:p>
    <w:p>
      <w:pPr>
        <w:jc w:val="both"/>
        <w:ind w:firstLine="1121"/>
        <w:spacing w:after="0"/>
        <w:tabs>
          <w:tab w:leader="none" w:pos="1821"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Electronic Delivery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may, in its sole discretion, decide to deliver any documents related to this Agreement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notices required by applicable law or the Company’s Certificate of Incorporation or Bylaws by email or any other electronic means. Roche hereby consents to (i) conduct business electronically, (ii) receive such documents and notices by such electronic delivery at the addresses indicated on the signature pages hereto and (iii) sign documents electronically and agrees to participate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4808855</wp:posOffset>
            </wp:positionH>
            <wp:positionV relativeFrom="paragraph">
              <wp:posOffset>-2442845</wp:posOffset>
            </wp:positionV>
            <wp:extent cx="3746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color w:val="auto"/>
        </w:rPr>
        <w:t>The parties have executed this Common Stock Issuance Agreement as of the date first set forth above.</w:t>
      </w:r>
    </w:p>
    <w:p>
      <w:pPr>
        <w:spacing w:after="0" w:line="20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tbl>
      <w:tblPr>
        <w:tblLayout w:type="fixed"/>
        <w:tblInd w:w="506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/s/John Quisel</w:t>
            </w:r>
          </w:p>
        </w:tc>
      </w:tr>
      <w:tr>
        <w:trPr>
          <w:trHeight w:val="153"/>
        </w:trPr>
        <w:tc>
          <w:tcPr>
            <w:tcW w:w="5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Name:</w:t>
            </w:r>
          </w:p>
        </w:tc>
        <w:tc>
          <w:tcPr>
            <w:tcW w:w="74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6"/>
                <w:szCs w:val="16"/>
                <w:color w:val="auto"/>
                <w:w w:val="94"/>
              </w:rPr>
              <w:t>John Quisel</w:t>
            </w:r>
          </w:p>
        </w:tc>
        <w:tc>
          <w:tcPr>
            <w:tcW w:w="4320" w:type="dxa"/>
            <w:vAlign w:val="bottom"/>
            <w:gridSpan w:val="6"/>
          </w:tcPr>
          <w:p>
            <w:pPr>
              <w:spacing w:after="0"/>
              <w:rPr>
                <w:sz w:val="13"/>
                <w:szCs w:val="13"/>
                <w:color w:val="auto"/>
              </w:rPr>
            </w:pPr>
          </w:p>
        </w:tc>
      </w:tr>
      <w:tr>
        <w:trPr>
          <w:trHeight w:val="168"/>
        </w:trPr>
        <w:tc>
          <w:tcPr>
            <w:tcW w:w="5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Title:</w:t>
            </w:r>
          </w:p>
        </w:tc>
        <w:tc>
          <w:tcPr>
            <w:tcW w:w="506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auto"/>
              </w:rPr>
              <w:t>President &amp; CEO</w:t>
            </w:r>
          </w:p>
        </w:tc>
      </w:tr>
      <w:tr>
        <w:trPr>
          <w:trHeight w:val="20"/>
        </w:trPr>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90"/>
        </w:trPr>
        <w:tc>
          <w:tcPr>
            <w:tcW w:w="56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F. HOFFMANN-LA ROCHE LTD</w:t>
            </w:r>
          </w:p>
        </w:tc>
      </w:tr>
      <w:tr>
        <w:trPr>
          <w:trHeight w:val="38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/s/Vikas Kabra</w:t>
            </w:r>
          </w:p>
        </w:tc>
      </w:tr>
      <w:tr>
        <w:trPr>
          <w:trHeight w:val="153"/>
        </w:trPr>
        <w:tc>
          <w:tcPr>
            <w:tcW w:w="5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Name:</w:t>
            </w:r>
          </w:p>
        </w:tc>
        <w:tc>
          <w:tcPr>
            <w:tcW w:w="780" w:type="dxa"/>
            <w:vAlign w:val="bottom"/>
            <w:tcBorders>
              <w:bottom w:val="single" w:sz="8" w:color="auto"/>
            </w:tcBorders>
            <w:gridSpan w:val="2"/>
          </w:tcPr>
          <w:p>
            <w:pPr>
              <w:spacing w:after="0" w:line="153" w:lineRule="exact"/>
              <w:rPr>
                <w:sz w:val="20"/>
                <w:szCs w:val="20"/>
                <w:color w:val="auto"/>
              </w:rPr>
            </w:pPr>
            <w:r>
              <w:rPr>
                <w:rFonts w:ascii="Times New Roman" w:cs="Times New Roman" w:eastAsia="Times New Roman" w:hAnsi="Times New Roman"/>
                <w:sz w:val="16"/>
                <w:szCs w:val="16"/>
                <w:color w:val="auto"/>
                <w:w w:val="94"/>
              </w:rPr>
              <w:t>Vikas Kabra</w:t>
            </w:r>
          </w:p>
        </w:tc>
        <w:tc>
          <w:tcPr>
            <w:tcW w:w="4280" w:type="dxa"/>
            <w:vAlign w:val="bottom"/>
            <w:gridSpan w:val="5"/>
          </w:tcPr>
          <w:p>
            <w:pPr>
              <w:spacing w:after="0"/>
              <w:rPr>
                <w:sz w:val="13"/>
                <w:szCs w:val="13"/>
                <w:color w:val="auto"/>
              </w:rPr>
            </w:pPr>
          </w:p>
        </w:tc>
      </w:tr>
      <w:tr>
        <w:trPr>
          <w:trHeight w:val="168"/>
        </w:trPr>
        <w:tc>
          <w:tcPr>
            <w:tcW w:w="5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Title:</w:t>
            </w:r>
          </w:p>
        </w:tc>
        <w:tc>
          <w:tcPr>
            <w:tcW w:w="506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auto"/>
              </w:rPr>
              <w:t>Authorized Signatory</w:t>
            </w:r>
          </w:p>
        </w:tc>
      </w:tr>
      <w:tr>
        <w:trPr>
          <w:trHeight w:val="20"/>
        </w:trPr>
        <w:tc>
          <w:tcPr>
            <w:tcW w:w="58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/s/Barbara Schroeder de Castro Lopes</w:t>
            </w:r>
          </w:p>
        </w:tc>
      </w:tr>
      <w:tr>
        <w:trPr>
          <w:trHeight w:val="153"/>
        </w:trPr>
        <w:tc>
          <w:tcPr>
            <w:tcW w:w="5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Name:</w:t>
            </w:r>
          </w:p>
        </w:tc>
        <w:tc>
          <w:tcPr>
            <w:tcW w:w="2220" w:type="dxa"/>
            <w:vAlign w:val="bottom"/>
            <w:tcBorders>
              <w:bottom w:val="single" w:sz="8" w:color="auto"/>
            </w:tcBorders>
            <w:gridSpan w:val="6"/>
          </w:tcPr>
          <w:p>
            <w:pPr>
              <w:spacing w:after="0" w:line="153" w:lineRule="exact"/>
              <w:rPr>
                <w:sz w:val="20"/>
                <w:szCs w:val="20"/>
                <w:color w:val="auto"/>
              </w:rPr>
            </w:pPr>
            <w:r>
              <w:rPr>
                <w:rFonts w:ascii="Times New Roman" w:cs="Times New Roman" w:eastAsia="Times New Roman" w:hAnsi="Times New Roman"/>
                <w:sz w:val="16"/>
                <w:szCs w:val="16"/>
                <w:color w:val="auto"/>
                <w:w w:val="96"/>
              </w:rPr>
              <w:t>Barbara Schroeder de Castro Lopes</w:t>
            </w:r>
          </w:p>
        </w:tc>
        <w:tc>
          <w:tcPr>
            <w:tcW w:w="2840" w:type="dxa"/>
            <w:vAlign w:val="bottom"/>
          </w:tcPr>
          <w:p>
            <w:pPr>
              <w:spacing w:after="0"/>
              <w:rPr>
                <w:sz w:val="13"/>
                <w:szCs w:val="13"/>
                <w:color w:val="auto"/>
              </w:rPr>
            </w:pPr>
          </w:p>
        </w:tc>
      </w:tr>
      <w:tr>
        <w:trPr>
          <w:trHeight w:val="168"/>
        </w:trPr>
        <w:tc>
          <w:tcPr>
            <w:tcW w:w="5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Title:</w:t>
            </w:r>
          </w:p>
        </w:tc>
        <w:tc>
          <w:tcPr>
            <w:tcW w:w="506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auto"/>
              </w:rPr>
              <w:t>Authorized Signatory</w:t>
            </w:r>
          </w:p>
        </w:tc>
      </w:tr>
      <w:tr>
        <w:trPr>
          <w:trHeight w:val="20"/>
        </w:trPr>
        <w:tc>
          <w:tcPr>
            <w:tcW w:w="58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390"/>
        </w:trPr>
        <w:tc>
          <w:tcPr>
            <w:tcW w:w="564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HOFFMANN-LA ROCHE INC.</w:t>
            </w:r>
          </w:p>
        </w:tc>
      </w:tr>
      <w:tr>
        <w:trPr>
          <w:trHeight w:val="38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/s/Gerald Bohm</w:t>
            </w:r>
          </w:p>
        </w:tc>
      </w:tr>
      <w:tr>
        <w:trPr>
          <w:trHeight w:val="153"/>
        </w:trPr>
        <w:tc>
          <w:tcPr>
            <w:tcW w:w="5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gridSpan w:val="7"/>
          </w:tcPr>
          <w:p>
            <w:pPr>
              <w:spacing w:after="0" w:line="153" w:lineRule="exact"/>
              <w:rPr>
                <w:sz w:val="20"/>
                <w:szCs w:val="20"/>
                <w:color w:val="auto"/>
              </w:rPr>
            </w:pPr>
            <w:r>
              <w:rPr>
                <w:rFonts w:ascii="Times New Roman" w:cs="Times New Roman" w:eastAsia="Times New Roman" w:hAnsi="Times New Roman"/>
                <w:sz w:val="16"/>
                <w:szCs w:val="16"/>
                <w:color w:val="auto"/>
              </w:rPr>
              <w:t>Gerald Bohm</w:t>
            </w:r>
          </w:p>
        </w:tc>
      </w:tr>
      <w:tr>
        <w:trPr>
          <w:trHeight w:val="20"/>
        </w:trPr>
        <w:tc>
          <w:tcPr>
            <w:tcW w:w="58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Title:</w:t>
            </w:r>
          </w:p>
        </w:tc>
        <w:tc>
          <w:tcPr>
            <w:tcW w:w="506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auto"/>
              </w:rPr>
              <w:t>Authorized Signatory</w:t>
            </w:r>
          </w:p>
        </w:tc>
      </w:tr>
      <w:tr>
        <w:trPr>
          <w:trHeight w:val="20"/>
        </w:trPr>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Address: F. Hoffmann-La Roche Ltd</w:t>
      </w:r>
    </w:p>
    <w:p>
      <w:pPr>
        <w:spacing w:after="0" w:line="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Grenzacherstrasse 124</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4070 Basel</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Switzerland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Attn: Legal Department</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E-mail: and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and</w:t>
      </w:r>
    </w:p>
    <w:p>
      <w:pPr>
        <w:spacing w:after="0" w:line="17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Hoffmann-La Roche Inc.</w:t>
      </w:r>
    </w:p>
    <w:p>
      <w:pPr>
        <w:spacing w:after="0" w:line="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150 Clove Road, Suite 8</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Little Falls</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New Jersey 07424, U.S.A.</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Attn: Corporate Secretary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E-mail:</w:t>
      </w:r>
    </w:p>
    <w:p>
      <w:pPr>
        <w:spacing w:after="0" w:line="19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[Signature Page to Common Stock Issuance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203835</wp:posOffset>
            </wp:positionV>
            <wp:extent cx="715010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15"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08" w:lineRule="exact"/>
        <w:rPr>
          <w:sz w:val="20"/>
          <w:szCs w:val="20"/>
          <w:color w:val="auto"/>
        </w:rPr>
      </w:pPr>
    </w:p>
    <w:p>
      <w:pPr>
        <w:ind w:right="80" w:firstLine="564"/>
        <w:spacing w:after="0" w:line="253" w:lineRule="auto"/>
        <w:rPr>
          <w:sz w:val="20"/>
          <w:szCs w:val="20"/>
          <w:color w:val="auto"/>
        </w:rPr>
      </w:pPr>
      <w:r>
        <w:rPr>
          <w:rFonts w:ascii="Times New Roman" w:cs="Times New Roman" w:eastAsia="Times New Roman" w:hAnsi="Times New Roman"/>
          <w:sz w:val="18"/>
          <w:szCs w:val="18"/>
          <w:color w:val="auto"/>
        </w:rPr>
        <w:t>This Employment Agreement (“Agreement”) is made between Disc Medicine, Inc., (the “Company”), and John D. Quisel, J.D., Ph.D. (the “You”) and is effective as of the closing of the proposed business combination among the Company, Disc Medicine Opco, Inc. (formerly Disc Medicine, Inc.) and Gemstone Merger Sub, Inc. pursuant to that certain Agreement and Plan of Merger, dated as of August 9, 2022 (the “Effective Date”). Except with respect to the Restrictive Covenants Agreements and the Equity Documents (each as defined below), this Agreement supersedes in all respects all prior agreements between you and Disc Medicine, Inc., predecessor in interest to the Company regarding the subject matter herein, including without limitation the Employment Agreement between you and the Disc Medicine, Inc. dated October 30, 2019 (the “Prior Agreement”).</w:t>
      </w:r>
    </w:p>
    <w:p>
      <w:pPr>
        <w:spacing w:after="0" w:line="170" w:lineRule="exact"/>
        <w:rPr>
          <w:sz w:val="20"/>
          <w:szCs w:val="20"/>
          <w:color w:val="auto"/>
        </w:rPr>
      </w:pPr>
    </w:p>
    <w:p>
      <w:pPr>
        <w:ind w:right="240" w:firstLine="564"/>
        <w:spacing w:after="0" w:line="259" w:lineRule="auto"/>
        <w:rPr>
          <w:sz w:val="20"/>
          <w:szCs w:val="20"/>
          <w:color w:val="auto"/>
        </w:rPr>
      </w:pPr>
      <w:r>
        <w:rPr>
          <w:rFonts w:ascii="Times New Roman" w:cs="Times New Roman" w:eastAsia="Times New Roman" w:hAnsi="Times New Roman"/>
          <w:sz w:val="19"/>
          <w:szCs w:val="19"/>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ind w:right="140" w:firstLine="564"/>
        <w:spacing w:after="0" w:line="259"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105" w:name="page106"/>
    <w:bookmarkEnd w:id="105"/>
    <w:p>
      <w:pPr>
        <w:ind w:left="1160" w:hanging="602"/>
        <w:spacing w:after="0"/>
        <w:tabs>
          <w:tab w:leader="none" w:pos="11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1"/>
        <w:spacing w:after="0" w:line="241" w:lineRule="auto"/>
        <w:tabs>
          <w:tab w:leader="none" w:pos="1805"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9"/>
          <w:szCs w:val="19"/>
          <w:color w:val="auto"/>
        </w:rPr>
      </w:pPr>
    </w:p>
    <w:p>
      <w:pPr>
        <w:ind w:right="40" w:firstLine="1121"/>
        <w:spacing w:after="0" w:line="235" w:lineRule="auto"/>
        <w:tabs>
          <w:tab w:leader="none" w:pos="1816"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Position and Duties</w:t>
      </w:r>
      <w:r>
        <w:rPr>
          <w:rFonts w:ascii="Times New Roman" w:cs="Times New Roman" w:eastAsia="Times New Roman" w:hAnsi="Times New Roman"/>
          <w:sz w:val="19"/>
          <w:szCs w:val="19"/>
          <w:color w:val="auto"/>
        </w:rPr>
        <w:t>. You shall serve as the Chief Executive Officer (“CEO”) of the Company and shall report directly to the Board of Directors (including any committee thereof, the “Board”). You shall have supervision and control over, and responsibility for, the day-to-day business and affairs of the Company, and you shall have such other powers and duties as may from time to time be prescribed by the Board which are consistent with your position as CEO. In addition, the Company shall cause you to be nominated for election to the Board and to be recommended to the stockholders for election to the Board as long as you remain the CEO of the Company. You shall devote your full working time and efforts to the business and affairs of the Company. Notwithstanding the foregoing, you may serve on other boards of directors, with the approval 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ind w:left="1140" w:hanging="602"/>
        <w:spacing w:after="0"/>
        <w:tabs>
          <w:tab w:leader="none" w:pos="114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and Related Matters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20" w:firstLine="1121"/>
        <w:spacing w:after="0" w:line="239" w:lineRule="auto"/>
        <w:tabs>
          <w:tab w:leader="none" w:pos="1785"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Your initial base salary shall be paid at the rate of $562,000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0" w:lineRule="exact"/>
        <w:rPr>
          <w:rFonts w:ascii="Times New Roman" w:cs="Times New Roman" w:eastAsia="Times New Roman" w:hAnsi="Times New Roman"/>
          <w:sz w:val="19"/>
          <w:szCs w:val="19"/>
          <w:color w:val="auto"/>
        </w:rPr>
      </w:pPr>
    </w:p>
    <w:p>
      <w:pPr>
        <w:ind w:left="-20" w:right="20" w:firstLine="1121"/>
        <w:spacing w:after="0" w:line="237" w:lineRule="auto"/>
        <w:tabs>
          <w:tab w:leader="none" w:pos="1796"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Compensation</w:t>
      </w:r>
      <w:r>
        <w:rPr>
          <w:rFonts w:ascii="Times New Roman" w:cs="Times New Roman" w:eastAsia="Times New Roman" w:hAnsi="Times New Roman"/>
          <w:sz w:val="19"/>
          <w:szCs w:val="19"/>
          <w:color w:val="auto"/>
        </w:rPr>
        <w:t>. You shall be eligible to receive cash incentive compensation as determined by the Board or the Compensation Committee from time to time. Your target annual incentive compensation shall be fifty percent (50%)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07" w:name="page108"/>
    <w:bookmarkEnd w:id="107"/>
    <w:p>
      <w:pPr>
        <w:ind w:right="320" w:firstLine="1121"/>
        <w:spacing w:after="0" w:line="246" w:lineRule="auto"/>
        <w:tabs>
          <w:tab w:leader="none" w:pos="1805"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74" w:lineRule="exact"/>
        <w:rPr>
          <w:rFonts w:ascii="Times New Roman" w:cs="Times New Roman" w:eastAsia="Times New Roman" w:hAnsi="Times New Roman"/>
          <w:sz w:val="19"/>
          <w:szCs w:val="19"/>
          <w:color w:val="auto"/>
        </w:rPr>
      </w:pPr>
    </w:p>
    <w:p>
      <w:pPr>
        <w:ind w:right="300" w:firstLine="1121"/>
        <w:spacing w:after="0" w:line="259" w:lineRule="auto"/>
        <w:tabs>
          <w:tab w:leader="none" w:pos="1816"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Benefits</w:t>
      </w:r>
      <w:r>
        <w:rPr>
          <w:rFonts w:ascii="Times New Roman" w:cs="Times New Roman" w:eastAsia="Times New Roman" w:hAnsi="Times New Roman"/>
          <w:sz w:val="19"/>
          <w:szCs w:val="19"/>
          <w:color w:val="auto"/>
        </w:rPr>
        <w:t>. You shall be eligible to participate in or receive benefits under the Company’s employee benefit plans in effect from time to time, subject to the terms of such plans.</w:t>
      </w:r>
    </w:p>
    <w:p>
      <w:pPr>
        <w:spacing w:after="0" w:line="162" w:lineRule="exact"/>
        <w:rPr>
          <w:rFonts w:ascii="Times New Roman" w:cs="Times New Roman" w:eastAsia="Times New Roman" w:hAnsi="Times New Roman"/>
          <w:sz w:val="19"/>
          <w:szCs w:val="19"/>
          <w:color w:val="auto"/>
        </w:rPr>
      </w:pPr>
    </w:p>
    <w:p>
      <w:pPr>
        <w:ind w:right="60" w:firstLine="1121"/>
        <w:spacing w:after="0" w:line="287" w:lineRule="auto"/>
        <w:tabs>
          <w:tab w:leader="none" w:pos="180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39" w:lineRule="exact"/>
        <w:rPr>
          <w:rFonts w:ascii="Times New Roman" w:cs="Times New Roman" w:eastAsia="Times New Roman" w:hAnsi="Times New Roman"/>
          <w:sz w:val="18"/>
          <w:szCs w:val="18"/>
          <w:color w:val="auto"/>
        </w:rPr>
      </w:pPr>
    </w:p>
    <w:p>
      <w:pPr>
        <w:ind w:firstLine="1121"/>
        <w:spacing w:after="0" w:line="238" w:lineRule="auto"/>
        <w:tabs>
          <w:tab w:leader="none" w:pos="178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w:t>
      </w:r>
      <w:r>
        <w:rPr>
          <w:rFonts w:ascii="Times New Roman" w:cs="Times New Roman" w:eastAsia="Times New Roman" w:hAnsi="Times New Roman"/>
          <w:sz w:val="19"/>
          <w:szCs w:val="19"/>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5(d) of this Agreement shall apply in the event of termination by the Company without Cause or by you for Good Reason, in either event outside of the Change of Control Period, and Section 6(a)(ii) of this Agreement shall apply in the event of a termination by the Company without Cause or by you for Good Reason in either event within the Change in Control Period (as such terms are defined below).</w:t>
      </w:r>
    </w:p>
    <w:p>
      <w:pPr>
        <w:spacing w:after="0" w:line="179"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Your employment hereunder may be terminated without any breach of this Agreement under the following</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circumstances: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8" w:name="page109"/>
    <w:bookmarkEnd w:id="108"/>
    <w:p>
      <w:pPr>
        <w:ind w:left="1800" w:hanging="679"/>
        <w:spacing w:after="0"/>
        <w:tabs>
          <w:tab w:leader="none" w:pos="18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Your employment hereunder shall terminate upon your death.</w:t>
      </w:r>
    </w:p>
    <w:p>
      <w:pPr>
        <w:spacing w:after="0" w:line="205" w:lineRule="exact"/>
        <w:rPr>
          <w:rFonts w:ascii="Times New Roman" w:cs="Times New Roman" w:eastAsia="Times New Roman" w:hAnsi="Times New Roman"/>
          <w:sz w:val="19"/>
          <w:szCs w:val="19"/>
          <w:color w:val="auto"/>
        </w:rPr>
      </w:pPr>
    </w:p>
    <w:p>
      <w:pPr>
        <w:ind w:firstLine="1121"/>
        <w:spacing w:after="0" w:line="235" w:lineRule="auto"/>
        <w:tabs>
          <w:tab w:leader="none" w:pos="1816"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the Americans with Disabilities Act, 42 U.S.C. §12101</w:t>
      </w:r>
      <w:r>
        <w:rPr>
          <w:rFonts w:ascii="Times New Roman" w:cs="Times New Roman" w:eastAsia="Times New Roman" w:hAnsi="Times New Roman"/>
          <w:sz w:val="19"/>
          <w:szCs w:val="19"/>
          <w:i w:val="1"/>
          <w:iCs w:val="1"/>
          <w:color w:val="auto"/>
        </w:rPr>
        <w:t xml:space="preserve"> et seq.</w:t>
      </w:r>
    </w:p>
    <w:p>
      <w:pPr>
        <w:spacing w:after="0" w:line="183" w:lineRule="exact"/>
        <w:rPr>
          <w:rFonts w:ascii="Times New Roman" w:cs="Times New Roman" w:eastAsia="Times New Roman" w:hAnsi="Times New Roman"/>
          <w:sz w:val="19"/>
          <w:szCs w:val="19"/>
          <w:color w:val="auto"/>
        </w:rPr>
      </w:pPr>
    </w:p>
    <w:p>
      <w:pPr>
        <w:ind w:right="160" w:firstLine="1121"/>
        <w:spacing w:after="0" w:line="259" w:lineRule="auto"/>
        <w:tabs>
          <w:tab w:leader="none" w:pos="1805"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Company for Cause</w:t>
      </w:r>
      <w:r>
        <w:rPr>
          <w:rFonts w:ascii="Times New Roman" w:cs="Times New Roman" w:eastAsia="Times New Roman" w:hAnsi="Times New Roman"/>
          <w:sz w:val="19"/>
          <w:szCs w:val="19"/>
          <w:color w:val="auto"/>
        </w:rPr>
        <w:t>. The Company may terminate your employment hereunder for Cause. For purposes of this Agreement, “Cause” shall mean any of the following:</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9" w:name="page110"/>
    <w:bookmarkEnd w:id="109"/>
    <w:p>
      <w:pPr>
        <w:ind w:right="20" w:firstLine="1685"/>
        <w:spacing w:after="0" w:line="259" w:lineRule="auto"/>
        <w:tabs>
          <w:tab w:leader="none" w:pos="23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Board ; (B) intentional dishonesty to the Board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64" w:lineRule="exact"/>
        <w:rPr>
          <w:rFonts w:ascii="Times New Roman" w:cs="Times New Roman" w:eastAsia="Times New Roman" w:hAnsi="Times New Roman"/>
          <w:sz w:val="18"/>
          <w:szCs w:val="18"/>
          <w:color w:val="auto"/>
        </w:rPr>
      </w:pPr>
    </w:p>
    <w:p>
      <w:pPr>
        <w:ind w:left="2340" w:hanging="655"/>
        <w:spacing w:after="0"/>
        <w:tabs>
          <w:tab w:leader="none" w:pos="2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15" w:lineRule="exact"/>
        <w:rPr>
          <w:rFonts w:ascii="Times New Roman" w:cs="Times New Roman" w:eastAsia="Times New Roman" w:hAnsi="Times New Roman"/>
          <w:sz w:val="18"/>
          <w:szCs w:val="18"/>
          <w:color w:val="auto"/>
        </w:rPr>
      </w:pPr>
    </w:p>
    <w:p>
      <w:pPr>
        <w:jc w:val="both"/>
        <w:ind w:right="400" w:firstLine="1685"/>
        <w:spacing w:after="0" w:line="245" w:lineRule="auto"/>
        <w:tabs>
          <w:tab w:leader="none" w:pos="234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6" w:lineRule="exact"/>
        <w:rPr>
          <w:rFonts w:ascii="Times New Roman" w:cs="Times New Roman" w:eastAsia="Times New Roman" w:hAnsi="Times New Roman"/>
          <w:sz w:val="19"/>
          <w:szCs w:val="19"/>
          <w:color w:val="auto"/>
        </w:rPr>
      </w:pPr>
    </w:p>
    <w:p>
      <w:pPr>
        <w:ind w:right="320" w:firstLine="1685"/>
        <w:spacing w:after="0" w:line="245" w:lineRule="auto"/>
        <w:tabs>
          <w:tab w:leader="none" w:pos="233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continued willful non-performance by you of your duties hereunder (other than by reason of your physical or mental illness, incapacity or Disability) which has continued for more than 30 days following written notice of such non-performance from the Board;</w:t>
      </w:r>
    </w:p>
    <w:p>
      <w:pPr>
        <w:spacing w:after="0" w:line="176" w:lineRule="exact"/>
        <w:rPr>
          <w:rFonts w:ascii="Times New Roman" w:cs="Times New Roman" w:eastAsia="Times New Roman" w:hAnsi="Times New Roman"/>
          <w:sz w:val="19"/>
          <w:szCs w:val="19"/>
          <w:color w:val="auto"/>
        </w:rPr>
      </w:pPr>
    </w:p>
    <w:p>
      <w:pPr>
        <w:ind w:right="580" w:firstLine="1685"/>
        <w:spacing w:after="0" w:line="245" w:lineRule="auto"/>
        <w:tabs>
          <w:tab w:leader="none" w:pos="2379"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ind w:firstLine="1685"/>
        <w:spacing w:after="0" w:line="241" w:lineRule="auto"/>
        <w:tabs>
          <w:tab w:leader="none" w:pos="2385"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9"/>
          <w:szCs w:val="19"/>
          <w:color w:val="auto"/>
        </w:rPr>
      </w:pPr>
    </w:p>
    <w:p>
      <w:pPr>
        <w:ind w:firstLine="1121"/>
        <w:spacing w:after="0" w:line="245" w:lineRule="auto"/>
        <w:tabs>
          <w:tab w:leader="none" w:pos="181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the Company without Cause</w:t>
      </w:r>
      <w:r>
        <w:rPr>
          <w:rFonts w:ascii="Times New Roman" w:cs="Times New Roman" w:eastAsia="Times New Roman" w:hAnsi="Times New Roman"/>
          <w:sz w:val="19"/>
          <w:szCs w:val="19"/>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6" w:lineRule="exact"/>
        <w:rPr>
          <w:rFonts w:ascii="Times New Roman" w:cs="Times New Roman" w:eastAsia="Times New Roman" w:hAnsi="Times New Roman"/>
          <w:sz w:val="19"/>
          <w:szCs w:val="19"/>
          <w:color w:val="auto"/>
        </w:rPr>
      </w:pPr>
    </w:p>
    <w:p>
      <w:pPr>
        <w:ind w:right="380" w:firstLine="1121"/>
        <w:spacing w:after="0" w:line="266" w:lineRule="auto"/>
        <w:tabs>
          <w:tab w:leader="none" w:pos="18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you have completed all steps of the Good Reason Process (hereinafter defined) following the occurrence of any of the following events without your written consent (each, a “</w:t>
      </w: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340" w:hanging="655"/>
        <w:spacing w:after="0"/>
        <w:tabs>
          <w:tab w:leader="none" w:pos="2340"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your responsibilities, authority or duties;</w:t>
      </w:r>
    </w:p>
    <w:p>
      <w:pPr>
        <w:spacing w:after="0" w:line="204" w:lineRule="exact"/>
        <w:rPr>
          <w:rFonts w:ascii="Times New Roman" w:cs="Times New Roman" w:eastAsia="Times New Roman" w:hAnsi="Times New Roman"/>
          <w:sz w:val="19"/>
          <w:szCs w:val="19"/>
          <w:color w:val="auto"/>
        </w:rPr>
      </w:pPr>
    </w:p>
    <w:p>
      <w:pPr>
        <w:ind w:left="560" w:right="100" w:firstLine="1125"/>
        <w:spacing w:after="0" w:line="259" w:lineRule="auto"/>
        <w:tabs>
          <w:tab w:leader="none" w:pos="2339"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ind w:left="560" w:right="200" w:firstLine="1125"/>
        <w:spacing w:after="0" w:line="260" w:lineRule="auto"/>
        <w:tabs>
          <w:tab w:leader="none" w:pos="234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change of at least thirty (30) miles of the location of the physical Company office to which you report (which to avoid doubt does not include any home office you may have);</w:t>
      </w:r>
    </w:p>
    <w:p>
      <w:pPr>
        <w:spacing w:after="0" w:line="161" w:lineRule="exact"/>
        <w:rPr>
          <w:rFonts w:ascii="Times New Roman" w:cs="Times New Roman" w:eastAsia="Times New Roman" w:hAnsi="Times New Roman"/>
          <w:sz w:val="19"/>
          <w:szCs w:val="19"/>
          <w:color w:val="auto"/>
        </w:rPr>
      </w:pPr>
    </w:p>
    <w:p>
      <w:pPr>
        <w:ind w:left="2340" w:hanging="655"/>
        <w:spacing w:after="0"/>
        <w:tabs>
          <w:tab w:leader="none" w:pos="23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by the Company of the material terms of this Agreement or any other written agreement between the</w:t>
      </w:r>
    </w:p>
    <w:p>
      <w:pPr>
        <w:spacing w:after="0" w:line="12"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and you; or</w:t>
      </w:r>
    </w:p>
    <w:p>
      <w:pPr>
        <w:spacing w:after="0" w:line="184" w:lineRule="exact"/>
        <w:rPr>
          <w:rFonts w:ascii="Times New Roman" w:cs="Times New Roman" w:eastAsia="Times New Roman" w:hAnsi="Times New Roman"/>
          <w:sz w:val="19"/>
          <w:szCs w:val="19"/>
          <w:color w:val="auto"/>
        </w:rPr>
      </w:pPr>
    </w:p>
    <w:p>
      <w:pPr>
        <w:ind w:left="2320" w:hanging="635"/>
        <w:spacing w:after="0"/>
        <w:tabs>
          <w:tab w:leader="none" w:pos="23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you to report to someone other than the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“Good Reason Process” consists of the following steps:</w:t>
      </w:r>
    </w:p>
    <w:p>
      <w:pPr>
        <w:spacing w:after="0" w:line="204" w:lineRule="exact"/>
        <w:rPr>
          <w:sz w:val="20"/>
          <w:szCs w:val="20"/>
          <w:color w:val="auto"/>
        </w:rPr>
      </w:pPr>
    </w:p>
    <w:p>
      <w:pPr>
        <w:ind w:left="2340" w:hanging="655"/>
        <w:spacing w:after="0"/>
        <w:tabs>
          <w:tab w:leader="none" w:pos="23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reasonably determine in good faith that a Good Reason Condition has occurred;</w:t>
      </w:r>
    </w:p>
    <w:p>
      <w:pPr>
        <w:spacing w:after="0" w:line="204" w:lineRule="exact"/>
        <w:rPr>
          <w:rFonts w:ascii="Times New Roman" w:cs="Times New Roman" w:eastAsia="Times New Roman" w:hAnsi="Times New Roman"/>
          <w:sz w:val="19"/>
          <w:szCs w:val="19"/>
          <w:color w:val="auto"/>
        </w:rPr>
      </w:pPr>
    </w:p>
    <w:p>
      <w:pPr>
        <w:ind w:left="560" w:firstLine="1125"/>
        <w:spacing w:after="0" w:line="259" w:lineRule="auto"/>
        <w:tabs>
          <w:tab w:leader="none" w:pos="233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notify the Company in writing of the first occurrence of the Good Reason Condition within 60 days of the first occurrence of such condition;</w:t>
      </w:r>
    </w:p>
    <w:p>
      <w:pPr>
        <w:spacing w:after="0" w:line="162" w:lineRule="exact"/>
        <w:rPr>
          <w:rFonts w:ascii="Times New Roman" w:cs="Times New Roman" w:eastAsia="Times New Roman" w:hAnsi="Times New Roman"/>
          <w:sz w:val="19"/>
          <w:szCs w:val="19"/>
          <w:color w:val="auto"/>
        </w:rPr>
      </w:pPr>
    </w:p>
    <w:p>
      <w:pPr>
        <w:ind w:left="560" w:right="20" w:firstLine="1125"/>
        <w:spacing w:after="0" w:line="259" w:lineRule="auto"/>
        <w:tabs>
          <w:tab w:leader="none" w:pos="2345"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cooperate in good faith with the Company’s efforts, for a period of not less than 30 days following such notice (the “Cure Period”), to remedy the Good Reason Condition;</w:t>
      </w:r>
    </w:p>
    <w:p>
      <w:pPr>
        <w:spacing w:after="0" w:line="162" w:lineRule="exact"/>
        <w:rPr>
          <w:rFonts w:ascii="Times New Roman" w:cs="Times New Roman" w:eastAsia="Times New Roman" w:hAnsi="Times New Roman"/>
          <w:sz w:val="19"/>
          <w:szCs w:val="19"/>
          <w:color w:val="auto"/>
        </w:rPr>
      </w:pPr>
    </w:p>
    <w:p>
      <w:pPr>
        <w:ind w:left="2340" w:hanging="655"/>
        <w:spacing w:after="0"/>
        <w:tabs>
          <w:tab w:leader="none" w:pos="23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such Cure Period, the Good Reason Condition continues to exist; and</w:t>
      </w:r>
    </w:p>
    <w:p>
      <w:pPr>
        <w:spacing w:after="0" w:line="204" w:lineRule="exact"/>
        <w:rPr>
          <w:rFonts w:ascii="Times New Roman" w:cs="Times New Roman" w:eastAsia="Times New Roman" w:hAnsi="Times New Roman"/>
          <w:sz w:val="19"/>
          <w:szCs w:val="19"/>
          <w:color w:val="auto"/>
        </w:rPr>
      </w:pPr>
    </w:p>
    <w:p>
      <w:pPr>
        <w:ind w:left="2320" w:hanging="635"/>
        <w:spacing w:after="0"/>
        <w:tabs>
          <w:tab w:leader="none" w:pos="23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terminate employment within 60 days after the end of the Cure Period.</w:t>
      </w:r>
    </w:p>
    <w:p>
      <w:pPr>
        <w:spacing w:after="0" w:line="3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80"/>
          </w:cols>
          <w:pgMar w:left="320" w:top="115" w:right="5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If the Company cures the Good Reason Condition during the Cure Period, Good Reason shall be deemed not to have occurred.</w:t>
      </w:r>
    </w:p>
    <w:p>
      <w:pPr>
        <w:spacing w:after="0" w:line="20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spacing w:after="0" w:line="183" w:lineRule="exact"/>
        <w:rPr>
          <w:sz w:val="20"/>
          <w:szCs w:val="20"/>
          <w:color w:val="auto"/>
        </w:rPr>
      </w:pPr>
    </w:p>
    <w:p>
      <w:pPr>
        <w:ind w:left="1160" w:hanging="602"/>
        <w:spacing w:after="0"/>
        <w:tabs>
          <w:tab w:leader="none" w:pos="11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and Date of Termination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320" w:firstLine="1121"/>
        <w:spacing w:after="0" w:line="266" w:lineRule="auto"/>
        <w:tabs>
          <w:tab w:leader="none" w:pos="180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ind w:left="1806" w:hanging="679"/>
        <w:spacing w:after="0"/>
        <w:tabs>
          <w:tab w:leader="none" w:pos="1806" w:val="left"/>
        </w:tabs>
        <w:numPr>
          <w:ilvl w:val="2"/>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Date of Termination</w:t>
      </w:r>
      <w:r>
        <w:rPr>
          <w:rFonts w:ascii="Times New Roman" w:cs="Times New Roman" w:eastAsia="Times New Roman" w:hAnsi="Times New Roman"/>
          <w:sz w:val="19"/>
          <w:szCs w:val="19"/>
          <w:color w:val="auto"/>
        </w:rPr>
        <w:t>. “Date of Termination” shall mean: (i) if your employment is terminated by death, the date of death;</w:t>
      </w:r>
    </w:p>
    <w:p>
      <w:pPr>
        <w:spacing w:after="0" w:line="13" w:lineRule="exact"/>
        <w:rPr>
          <w:rFonts w:ascii="Times New Roman" w:cs="Times New Roman" w:eastAsia="Times New Roman" w:hAnsi="Times New Roman"/>
          <w:sz w:val="19"/>
          <w:szCs w:val="19"/>
          <w:color w:val="auto"/>
        </w:rPr>
      </w:pPr>
    </w:p>
    <w:p>
      <w:pPr>
        <w:ind w:left="6" w:hanging="6"/>
        <w:spacing w:after="0" w:line="233" w:lineRule="auto"/>
        <w:tabs>
          <w:tab w:leader="none" w:pos="282"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185" w:lineRule="exact"/>
        <w:rPr>
          <w:rFonts w:ascii="Times New Roman" w:cs="Times New Roman" w:eastAsia="Times New Roman" w:hAnsi="Times New Roman"/>
          <w:sz w:val="19"/>
          <w:szCs w:val="19"/>
          <w:color w:val="auto"/>
        </w:rPr>
      </w:pPr>
    </w:p>
    <w:p>
      <w:pPr>
        <w:ind w:left="6" w:right="100" w:firstLine="558"/>
        <w:spacing w:after="0" w:line="235" w:lineRule="auto"/>
        <w:tabs>
          <w:tab w:leader="none" w:pos="1180"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9"/>
          <w:szCs w:val="19"/>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34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15" w:right="359" w:bottom="1440" w:gutter="0" w:footer="0" w:header="0"/>
        </w:sectPr>
      </w:pPr>
    </w:p>
    <w:bookmarkStart w:id="114" w:name="page115"/>
    <w:bookmarkEnd w:id="114"/>
    <w:p>
      <w:pPr>
        <w:ind w:left="-40" w:right="20" w:firstLine="1121"/>
        <w:spacing w:after="0" w:line="241" w:lineRule="auto"/>
        <w:tabs>
          <w:tab w:leader="none" w:pos="1765"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you an amount equal to twelve (12)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79" w:lineRule="exact"/>
        <w:rPr>
          <w:rFonts w:ascii="Times New Roman" w:cs="Times New Roman" w:eastAsia="Times New Roman" w:hAnsi="Times New Roman"/>
          <w:sz w:val="19"/>
          <w:szCs w:val="19"/>
          <w:color w:val="auto"/>
        </w:rPr>
      </w:pPr>
    </w:p>
    <w:p>
      <w:pPr>
        <w:ind w:left="-40" w:right="400" w:firstLine="1121"/>
        <w:spacing w:after="0" w:line="241" w:lineRule="auto"/>
        <w:tabs>
          <w:tab w:leader="none" w:pos="1776"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lump sum payment of: (i) a pro-rata share of your Target Bonus for the then-current fiscal year (based on the Date of Termination); and (ii) any earned, but unpaid Bonus for the fiscal year prior to the fiscal year of your Date of Termination with such earned, but unpaid Bonus to be paid at the same time as the Company pays bonuses to similarly situated executives, but in no event later than the end of the taxable year in which the Date of Termination occurs;</w:t>
      </w:r>
    </w:p>
    <w:p>
      <w:pPr>
        <w:spacing w:after="0" w:line="179" w:lineRule="exact"/>
        <w:rPr>
          <w:rFonts w:ascii="Times New Roman" w:cs="Times New Roman" w:eastAsia="Times New Roman" w:hAnsi="Times New Roman"/>
          <w:sz w:val="19"/>
          <w:szCs w:val="19"/>
          <w:color w:val="auto"/>
        </w:rPr>
      </w:pPr>
    </w:p>
    <w:p>
      <w:pPr>
        <w:ind w:left="-40" w:firstLine="1121"/>
        <w:spacing w:after="0" w:line="236" w:lineRule="auto"/>
        <w:tabs>
          <w:tab w:leader="none" w:pos="1765"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twelve (12)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 and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60" w:top="115" w:right="359" w:bottom="1440" w:gutter="0" w:footer="0" w:header="0"/>
        </w:sectPr>
      </w:pPr>
    </w:p>
    <w:bookmarkStart w:id="115" w:name="page116"/>
    <w:bookmarkEnd w:id="115"/>
    <w:p>
      <w:pPr>
        <w:ind w:firstLine="1121"/>
        <w:spacing w:after="0" w:line="236" w:lineRule="auto"/>
        <w:tabs>
          <w:tab w:leader="none" w:pos="1816"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any applicable option agreement or other stock-based award agreement, twenty-five percent (25%) of all then-unvested time-based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line="236" w:lineRule="auto"/>
        <w:rPr>
          <w:sz w:val="20"/>
          <w:szCs w:val="20"/>
          <w:color w:val="auto"/>
        </w:rPr>
      </w:pPr>
      <w:r>
        <w:rPr>
          <w:rFonts w:ascii="Times New Roman" w:cs="Times New Roman" w:eastAsia="Times New Roman" w:hAnsi="Times New Roman"/>
          <w:sz w:val="19"/>
          <w:szCs w:val="19"/>
          <w:color w:val="auto"/>
        </w:rPr>
        <w:t>The amounts payable under Sections 5(a) and (c), to the extent taxable, shall be paid out in substantially equal installments in accordance with the Company’s payroll practice over twelve (12) months commencing within 60 days after the Date of Termination, and the amount payable under Section 5(b)(i), to the extent taxable, shall be paid within 60 days of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4" w:lineRule="exact"/>
        <w:rPr>
          <w:sz w:val="20"/>
          <w:szCs w:val="20"/>
          <w:color w:val="auto"/>
        </w:rPr>
      </w:pPr>
    </w:p>
    <w:p>
      <w:pPr>
        <w:ind w:right="60" w:firstLine="558"/>
        <w:spacing w:after="0" w:line="238" w:lineRule="auto"/>
        <w:tabs>
          <w:tab w:leader="none" w:pos="1174"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9"/>
          <w:szCs w:val="19"/>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79" w:lineRule="exact"/>
        <w:rPr>
          <w:rFonts w:ascii="Times New Roman" w:cs="Times New Roman" w:eastAsia="Times New Roman" w:hAnsi="Times New Roman"/>
          <w:sz w:val="19"/>
          <w:szCs w:val="19"/>
          <w:color w:val="auto"/>
        </w:rPr>
      </w:pPr>
    </w:p>
    <w:p>
      <w:pPr>
        <w:ind w:right="140" w:firstLine="1121"/>
        <w:spacing w:after="0" w:line="239" w:lineRule="auto"/>
        <w:tabs>
          <w:tab w:leader="none" w:pos="1805"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your employment is terminated by the Company without Cause as provided in Section 3(d) or you terminate employment for Good Reason as provided in Section 3(e) and in each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ind w:right="120" w:firstLine="1125"/>
        <w:spacing w:after="0" w:line="238" w:lineRule="auto"/>
        <w:tabs>
          <w:tab w:leader="none" w:pos="177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you a lump sum in cash in an amount equal to the sum of (A) eighteen (18)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Agreements; and</w:t>
      </w:r>
    </w:p>
    <w:p>
      <w:pPr>
        <w:spacing w:after="0" w:line="180" w:lineRule="exact"/>
        <w:rPr>
          <w:rFonts w:ascii="Times New Roman" w:cs="Times New Roman" w:eastAsia="Times New Roman" w:hAnsi="Times New Roman"/>
          <w:sz w:val="19"/>
          <w:szCs w:val="19"/>
          <w:color w:val="auto"/>
        </w:rPr>
      </w:pPr>
    </w:p>
    <w:p>
      <w:pPr>
        <w:ind w:firstLine="1125"/>
        <w:spacing w:after="0" w:line="236" w:lineRule="auto"/>
        <w:tabs>
          <w:tab w:leader="none" w:pos="1826"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33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40"/>
          </w:cols>
          <w:pgMar w:left="880" w:top="115" w:right="379" w:bottom="1440" w:gutter="0" w:footer="0" w:header="0"/>
        </w:sectPr>
      </w:pPr>
    </w:p>
    <w:bookmarkStart w:id="118" w:name="page119"/>
    <w:bookmarkEnd w:id="118"/>
    <w:p>
      <w:pPr>
        <w:ind w:left="560" w:right="20" w:firstLine="1125"/>
        <w:spacing w:after="0" w:line="236" w:lineRule="auto"/>
        <w:tabs>
          <w:tab w:leader="none" w:pos="2439"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18-month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19" w:name="page120"/>
    <w:bookmarkEnd w:id="119"/>
    <w:p>
      <w:pPr>
        <w:ind w:left="1240" w:hanging="679"/>
        <w:spacing w:after="0"/>
        <w:tabs>
          <w:tab w:leader="none" w:pos="12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Limitation</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5"/>
        <w:spacing w:after="0" w:line="234" w:lineRule="auto"/>
        <w:tabs>
          <w:tab w:leader="none" w:pos="1764"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34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5" w:right="339" w:bottom="1440" w:gutter="0" w:footer="0" w:header="0"/>
        </w:sectPr>
      </w:pPr>
    </w:p>
    <w:bookmarkStart w:id="120" w:name="page121"/>
    <w:bookmarkEnd w:id="120"/>
    <w:p>
      <w:pPr>
        <w:ind w:right="160" w:firstLine="1125"/>
        <w:spacing w:after="0" w:line="238" w:lineRule="auto"/>
        <w:tabs>
          <w:tab w:leader="none" w:pos="1826"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0" w:lineRule="exact"/>
        <w:rPr>
          <w:rFonts w:ascii="Times New Roman" w:cs="Times New Roman" w:eastAsia="Times New Roman" w:hAnsi="Times New Roman"/>
          <w:sz w:val="19"/>
          <w:szCs w:val="19"/>
          <w:color w:val="auto"/>
        </w:rPr>
      </w:pPr>
    </w:p>
    <w:p>
      <w:pPr>
        <w:jc w:val="both"/>
        <w:ind w:firstLine="1125"/>
        <w:spacing w:after="0" w:line="259" w:lineRule="auto"/>
        <w:tabs>
          <w:tab w:leader="none" w:pos="18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3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60"/>
          </w:cols>
          <w:pgMar w:left="880" w:top="116" w:right="359" w:bottom="1440" w:gutter="0" w:footer="0" w:header="0"/>
        </w:sectPr>
      </w:pPr>
    </w:p>
    <w:bookmarkStart w:id="121" w:name="page122"/>
    <w:bookmarkEnd w:id="121"/>
    <w:p>
      <w:pPr>
        <w:ind w:firstLine="1125"/>
        <w:spacing w:after="0" w:line="234" w:lineRule="auto"/>
        <w:tabs>
          <w:tab w:leader="none" w:pos="1868"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3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5" w:right="339" w:bottom="1440" w:gutter="0" w:footer="0" w:header="0"/>
        </w:sectPr>
      </w:pPr>
    </w:p>
    <w:bookmarkStart w:id="122" w:name="page123"/>
    <w:bookmarkEnd w:id="122"/>
    <w:p>
      <w:pPr>
        <w:ind w:left="1160" w:hanging="602"/>
        <w:spacing w:after="0"/>
        <w:tabs>
          <w:tab w:leader="none" w:pos="116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1"/>
        <w:spacing w:after="0" w:line="236" w:lineRule="auto"/>
        <w:tabs>
          <w:tab w:leader="none" w:pos="1795"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9" w:lineRule="exact"/>
        <w:rPr>
          <w:rFonts w:ascii="Times New Roman" w:cs="Times New Roman" w:eastAsia="Times New Roman" w:hAnsi="Times New Roman"/>
          <w:sz w:val="19"/>
          <w:szCs w:val="19"/>
          <w:color w:val="auto"/>
        </w:rPr>
      </w:pPr>
    </w:p>
    <w:p>
      <w:pPr>
        <w:ind w:firstLine="1121"/>
        <w:spacing w:after="0" w:line="238" w:lineRule="auto"/>
        <w:tabs>
          <w:tab w:leader="none" w:pos="1805"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9" w:lineRule="exact"/>
        <w:rPr>
          <w:rFonts w:ascii="Times New Roman" w:cs="Times New Roman" w:eastAsia="Times New Roman" w:hAnsi="Times New Roman"/>
          <w:sz w:val="19"/>
          <w:szCs w:val="19"/>
          <w:color w:val="auto"/>
        </w:rPr>
      </w:pPr>
    </w:p>
    <w:p>
      <w:pPr>
        <w:ind w:firstLine="1121"/>
        <w:spacing w:after="0" w:line="227" w:lineRule="exact"/>
        <w:tabs>
          <w:tab w:leader="none" w:pos="180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1(h).</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ind w:left="-20" w:firstLine="1121"/>
        <w:spacing w:after="0" w:line="219" w:lineRule="exact"/>
        <w:tabs>
          <w:tab w:leader="none" w:pos="1792"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1" w:lineRule="exact"/>
        <w:rPr>
          <w:rFonts w:ascii="Times New Roman" w:cs="Times New Roman" w:eastAsia="Times New Roman" w:hAnsi="Times New Roman"/>
          <w:sz w:val="19"/>
          <w:szCs w:val="19"/>
          <w:color w:val="auto"/>
        </w:rPr>
      </w:pPr>
    </w:p>
    <w:p>
      <w:pPr>
        <w:jc w:val="both"/>
        <w:ind w:left="-20" w:right="60" w:firstLine="1121"/>
        <w:spacing w:after="0" w:line="245" w:lineRule="auto"/>
        <w:tabs>
          <w:tab w:leader="none" w:pos="1782"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6" w:lineRule="exact"/>
        <w:rPr>
          <w:rFonts w:ascii="Times New Roman" w:cs="Times New Roman" w:eastAsia="Times New Roman" w:hAnsi="Times New Roman"/>
          <w:sz w:val="19"/>
          <w:szCs w:val="19"/>
          <w:color w:val="auto"/>
        </w:rPr>
      </w:pPr>
    </w:p>
    <w:p>
      <w:pPr>
        <w:ind w:left="1140" w:hanging="602"/>
        <w:spacing w:after="0"/>
        <w:tabs>
          <w:tab w:leader="none" w:pos="114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Obligations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20" w:right="100" w:firstLine="1121"/>
        <w:spacing w:after="0" w:line="255" w:lineRule="auto"/>
        <w:tabs>
          <w:tab w:leader="none" w:pos="178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Agreements</w:t>
      </w:r>
      <w:r>
        <w:rPr>
          <w:rFonts w:ascii="Times New Roman" w:cs="Times New Roman" w:eastAsia="Times New Roman" w:hAnsi="Times New Roman"/>
          <w:sz w:val="18"/>
          <w:szCs w:val="18"/>
          <w:color w:val="auto"/>
        </w:rPr>
        <w:t xml:space="preserve">. The Disc Medicine, Inc. Employee Confidentiality, Assignment, Nonsolicitation and Noncompetition Agreement effective as of November 1, 2019 and the First Amendment to Offer Letter and Disc Medicine, Inc. Employee Confidentiality, Assignment, Nonsolicitation and Noncompetition Agreement dated January 29, 2020 (the “Restrictive Covenants Agreements”), between the Company and you,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continue to be in full force and effect. For purposes of this Agreement, the obligations in this Section 8 and those that arise in the Restrictive Covenants Agreements shall collectively be referred to as the “Continuing Obligations.”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24" w:name="page125"/>
    <w:bookmarkEnd w:id="124"/>
    <w:p>
      <w:pPr>
        <w:ind w:right="80" w:firstLine="1121"/>
        <w:spacing w:after="0" w:line="237" w:lineRule="auto"/>
        <w:tabs>
          <w:tab w:leader="none" w:pos="1816"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Third-Party Agreements and Rights</w:t>
      </w:r>
      <w:r>
        <w:rPr>
          <w:rFonts w:ascii="Times New Roman" w:cs="Times New Roman" w:eastAsia="Times New Roman" w:hAnsi="Times New Roman"/>
          <w:sz w:val="19"/>
          <w:szCs w:val="19"/>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1" w:lineRule="exact"/>
        <w:rPr>
          <w:rFonts w:ascii="Times New Roman" w:cs="Times New Roman" w:eastAsia="Times New Roman" w:hAnsi="Times New Roman"/>
          <w:sz w:val="19"/>
          <w:szCs w:val="19"/>
          <w:color w:val="auto"/>
        </w:rPr>
      </w:pPr>
    </w:p>
    <w:p>
      <w:pPr>
        <w:ind w:firstLine="1121"/>
        <w:spacing w:after="0" w:line="214" w:lineRule="exact"/>
        <w:tabs>
          <w:tab w:leader="none" w:pos="1805"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Litigation and Regulatory Cooperation</w:t>
      </w:r>
      <w:r>
        <w:rPr>
          <w:rFonts w:ascii="Times New Roman" w:cs="Times New Roman" w:eastAsia="Times New Roman" w:hAnsi="Times New Roman"/>
          <w:sz w:val="19"/>
          <w:szCs w:val="19"/>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$450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ind w:right="20" w:firstLine="1121"/>
        <w:spacing w:after="0" w:line="239" w:lineRule="auto"/>
        <w:tabs>
          <w:tab w:leader="none" w:pos="181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Relief</w:t>
      </w:r>
      <w:r>
        <w:rPr>
          <w:rFonts w:ascii="Times New Roman" w:cs="Times New Roman" w:eastAsia="Times New Roman" w:hAnsi="Times New Roman"/>
          <w:sz w:val="19"/>
          <w:szCs w:val="19"/>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19"/>
          <w:szCs w:val="19"/>
          <w:color w:val="auto"/>
        </w:rPr>
      </w:pPr>
    </w:p>
    <w:p>
      <w:pPr>
        <w:ind w:firstLine="1121"/>
        <w:spacing w:after="0" w:line="235" w:lineRule="auto"/>
        <w:tabs>
          <w:tab w:leader="none" w:pos="1805"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Disclosures and Other Protected Action</w:t>
      </w:r>
      <w:r>
        <w:rPr>
          <w:rFonts w:ascii="Times New Roman" w:cs="Times New Roman" w:eastAsia="Times New Roman" w:hAnsi="Times New Roman"/>
          <w:sz w:val="19"/>
          <w:szCs w:val="19"/>
          <w:color w:val="auto"/>
        </w:rPr>
        <w:t>. Nothing in this Agreement shall be interpreted or applied to prohibit you from making any good faith report to any governmental agency or other governmental entity (a “Government Agency”) concerning any act or omission that you reasonably believe constitutes a possible violation of federal or state law or making other disclosures that are protected under the anti-retaliation or whistleblower provisions of applicable federal or state law or regulation.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ind w:left="1120" w:hanging="602"/>
        <w:spacing w:after="0"/>
        <w:tabs>
          <w:tab w:leader="none" w:pos="11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 of Disputes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40" w:firstLine="1121"/>
        <w:spacing w:after="0" w:line="248" w:lineRule="auto"/>
        <w:tabs>
          <w:tab w:leader="none" w:pos="176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60" w:top="115" w:right="359" w:bottom="1440" w:gutter="0" w:footer="0" w:header="0"/>
        </w:sectPr>
      </w:pPr>
    </w:p>
    <w:bookmarkStart w:id="127" w:name="page128"/>
    <w:bookmarkEnd w:id="127"/>
    <w:p>
      <w:pPr>
        <w:ind w:left="-20" w:right="20" w:firstLine="1121"/>
        <w:spacing w:after="0" w:line="259" w:lineRule="auto"/>
        <w:tabs>
          <w:tab w:leader="none" w:pos="17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64" w:lineRule="exact"/>
        <w:rPr>
          <w:rFonts w:ascii="Times New Roman" w:cs="Times New Roman" w:eastAsia="Times New Roman" w:hAnsi="Times New Roman"/>
          <w:sz w:val="18"/>
          <w:szCs w:val="18"/>
          <w:color w:val="auto"/>
        </w:rPr>
      </w:pPr>
    </w:p>
    <w:p>
      <w:pPr>
        <w:ind w:left="-20" w:firstLine="558"/>
        <w:spacing w:after="0" w:line="241" w:lineRule="auto"/>
        <w:tabs>
          <w:tab w:leader="none" w:pos="1201"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and (c) waive any other requirement (whether imposed by statute, rule of court, or otherwise) with respect to personal jurisdiction or service of process.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6" w:right="339" w:bottom="1440" w:gutter="0" w:footer="0" w:header="0"/>
        </w:sectPr>
      </w:pPr>
    </w:p>
    <w:bookmarkStart w:id="128" w:name="page129"/>
    <w:bookmarkEnd w:id="128"/>
    <w:p>
      <w:pPr>
        <w:ind w:left="-40" w:firstLine="558"/>
        <w:spacing w:after="0" w:line="260" w:lineRule="auto"/>
        <w:tabs>
          <w:tab w:leader="none" w:pos="117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“Indemnification Agreement” between the Company and you, dated December 29, 2022 (the “Indemnification Agreement”) is hereby incorporated by reference.</w:t>
      </w:r>
    </w:p>
    <w:p>
      <w:pPr>
        <w:spacing w:after="0" w:line="161" w:lineRule="exact"/>
        <w:rPr>
          <w:rFonts w:ascii="Times New Roman" w:cs="Times New Roman" w:eastAsia="Times New Roman" w:hAnsi="Times New Roman"/>
          <w:sz w:val="19"/>
          <w:szCs w:val="19"/>
          <w:color w:val="auto"/>
        </w:rPr>
      </w:pPr>
    </w:p>
    <w:p>
      <w:pPr>
        <w:jc w:val="both"/>
        <w:ind w:left="-40" w:right="20" w:firstLine="558"/>
        <w:spacing w:after="0" w:line="266" w:lineRule="auto"/>
        <w:tabs>
          <w:tab w:leader="none" w:pos="11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57" w:lineRule="exact"/>
        <w:rPr>
          <w:rFonts w:ascii="Times New Roman" w:cs="Times New Roman" w:eastAsia="Times New Roman" w:hAnsi="Times New Roman"/>
          <w:sz w:val="18"/>
          <w:szCs w:val="18"/>
          <w:color w:val="auto"/>
        </w:rPr>
      </w:pPr>
    </w:p>
    <w:p>
      <w:pPr>
        <w:ind w:left="-40" w:right="360" w:firstLine="558"/>
        <w:spacing w:after="0" w:line="245" w:lineRule="auto"/>
        <w:tabs>
          <w:tab w:leader="none" w:pos="1228"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176" w:lineRule="exact"/>
        <w:rPr>
          <w:rFonts w:ascii="Times New Roman" w:cs="Times New Roman" w:eastAsia="Times New Roman" w:hAnsi="Times New Roman"/>
          <w:sz w:val="19"/>
          <w:szCs w:val="19"/>
          <w:color w:val="auto"/>
        </w:rPr>
      </w:pPr>
    </w:p>
    <w:p>
      <w:pPr>
        <w:ind w:left="-40" w:firstLine="558"/>
        <w:spacing w:after="0" w:line="241" w:lineRule="auto"/>
        <w:tabs>
          <w:tab w:leader="none" w:pos="1228"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Tax Effect</w:t>
      </w:r>
      <w:r>
        <w:rPr>
          <w:rFonts w:ascii="Times New Roman" w:cs="Times New Roman" w:eastAsia="Times New Roman" w:hAnsi="Times New Roman"/>
          <w:sz w:val="19"/>
          <w:szCs w:val="19"/>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60" w:top="115" w:right="379" w:bottom="1440" w:gutter="0" w:footer="0" w:header="0"/>
        </w:sectPr>
      </w:pPr>
    </w:p>
    <w:bookmarkStart w:id="129" w:name="page130"/>
    <w:bookmarkEnd w:id="129"/>
    <w:p>
      <w:pPr>
        <w:ind w:left="-20" w:firstLine="558"/>
        <w:spacing w:after="0" w:line="236" w:lineRule="auto"/>
        <w:tabs>
          <w:tab w:leader="none" w:pos="124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0" w:lineRule="exact"/>
        <w:rPr>
          <w:rFonts w:ascii="Times New Roman" w:cs="Times New Roman" w:eastAsia="Times New Roman" w:hAnsi="Times New Roman"/>
          <w:sz w:val="19"/>
          <w:szCs w:val="19"/>
          <w:color w:val="auto"/>
        </w:rPr>
      </w:pPr>
    </w:p>
    <w:p>
      <w:pPr>
        <w:ind w:left="-20" w:right="80" w:firstLine="558"/>
        <w:spacing w:after="0" w:line="259" w:lineRule="auto"/>
        <w:tabs>
          <w:tab w:leader="none" w:pos="12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3" w:lineRule="exact"/>
        <w:rPr>
          <w:rFonts w:ascii="Times New Roman" w:cs="Times New Roman" w:eastAsia="Times New Roman" w:hAnsi="Times New Roman"/>
          <w:sz w:val="18"/>
          <w:szCs w:val="18"/>
          <w:color w:val="auto"/>
        </w:rPr>
      </w:pPr>
    </w:p>
    <w:p>
      <w:pPr>
        <w:ind w:left="-20" w:right="760" w:firstLine="558"/>
        <w:spacing w:after="0" w:line="259" w:lineRule="auto"/>
        <w:tabs>
          <w:tab w:leader="none" w:pos="124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provisions of this Agreement shall survive the termination of this Agreement and/or the termination of your employment to the extent necessary to effectuate the terms contained herein.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30" w:name="page131"/>
    <w:bookmarkEnd w:id="130"/>
    <w:p>
      <w:pPr>
        <w:ind w:left="-60" w:firstLine="558"/>
        <w:spacing w:after="0" w:line="246" w:lineRule="auto"/>
        <w:tabs>
          <w:tab w:leader="none" w:pos="116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4" w:lineRule="exact"/>
        <w:rPr>
          <w:rFonts w:ascii="Times New Roman" w:cs="Times New Roman" w:eastAsia="Times New Roman" w:hAnsi="Times New Roman"/>
          <w:sz w:val="19"/>
          <w:szCs w:val="19"/>
          <w:color w:val="auto"/>
        </w:rPr>
      </w:pPr>
    </w:p>
    <w:p>
      <w:pPr>
        <w:jc w:val="both"/>
        <w:ind w:left="-60" w:right="40" w:firstLine="558"/>
        <w:spacing w:after="0" w:line="241" w:lineRule="auto"/>
        <w:tabs>
          <w:tab w:leader="none" w:pos="116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9" w:lineRule="exact"/>
        <w:rPr>
          <w:rFonts w:ascii="Times New Roman" w:cs="Times New Roman" w:eastAsia="Times New Roman" w:hAnsi="Times New Roman"/>
          <w:sz w:val="19"/>
          <w:szCs w:val="19"/>
          <w:color w:val="auto"/>
        </w:rPr>
      </w:pPr>
    </w:p>
    <w:p>
      <w:pPr>
        <w:ind w:left="-60" w:right="240" w:firstLine="558"/>
        <w:spacing w:after="0" w:line="259" w:lineRule="auto"/>
        <w:tabs>
          <w:tab w:leader="none" w:pos="116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Agreement may be amended or modified only by a written instrument signed by you and by a duly authorized representative of the Company.</w:t>
      </w:r>
    </w:p>
    <w:p>
      <w:pPr>
        <w:spacing w:after="0" w:line="162" w:lineRule="exact"/>
        <w:rPr>
          <w:rFonts w:ascii="Times New Roman" w:cs="Times New Roman" w:eastAsia="Times New Roman" w:hAnsi="Times New Roman"/>
          <w:sz w:val="19"/>
          <w:szCs w:val="19"/>
          <w:color w:val="auto"/>
        </w:rPr>
      </w:pPr>
    </w:p>
    <w:p>
      <w:pPr>
        <w:ind w:left="-60" w:right="20" w:firstLine="558"/>
        <w:spacing w:after="0" w:line="236" w:lineRule="auto"/>
        <w:tabs>
          <w:tab w:leader="none" w:pos="116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on Other Plans and Agreements</w:t>
      </w:r>
      <w:r>
        <w:rPr>
          <w:rFonts w:ascii="Times New Roman" w:cs="Times New Roman" w:eastAsia="Times New Roman" w:hAnsi="Times New Roman"/>
          <w:sz w:val="19"/>
          <w:szCs w:val="19"/>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29210</wp:posOffset>
            </wp:positionV>
            <wp:extent cx="715010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20"/>
          </w:cols>
          <w:pgMar w:left="380" w:top="115" w:right="399" w:bottom="1440" w:gutter="0" w:footer="0" w:header="0"/>
        </w:sectPr>
      </w:pPr>
    </w:p>
    <w:bookmarkStart w:id="131" w:name="page132"/>
    <w:bookmarkEnd w:id="131"/>
    <w:p>
      <w:pPr>
        <w:jc w:val="both"/>
        <w:ind w:left="-80" w:right="180" w:firstLine="558"/>
        <w:spacing w:after="0" w:line="241" w:lineRule="auto"/>
        <w:tabs>
          <w:tab w:leader="none" w:pos="1141"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0" w:lineRule="exact"/>
        <w:rPr>
          <w:rFonts w:ascii="Times New Roman" w:cs="Times New Roman" w:eastAsia="Times New Roman" w:hAnsi="Times New Roman"/>
          <w:sz w:val="19"/>
          <w:szCs w:val="19"/>
          <w:color w:val="auto"/>
        </w:rPr>
      </w:pPr>
    </w:p>
    <w:p>
      <w:pPr>
        <w:ind w:left="-80" w:firstLine="558"/>
        <w:spacing w:after="0" w:line="259" w:lineRule="auto"/>
        <w:tabs>
          <w:tab w:leader="none" w:pos="1141"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counterparts, each of which when so executed and delivered shall be taken to be an original; but such counterparts shall together constitute one and the same document.</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effective on the Effective Date.</w:t>
      </w:r>
    </w:p>
    <w:p>
      <w:pPr>
        <w:spacing w:after="0" w:line="2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By:  /s/Donald Nicholson,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20320</wp:posOffset>
            </wp:positionV>
            <wp:extent cx="335534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207" w:lineRule="exact"/>
        <w:rPr>
          <w:sz w:val="20"/>
          <w:szCs w:val="20"/>
          <w:color w:val="auto"/>
        </w:rPr>
      </w:pPr>
    </w:p>
    <w:p>
      <w:pPr>
        <w:ind w:left="5540"/>
        <w:spacing w:after="0"/>
        <w:tabs>
          <w:tab w:leader="none" w:pos="588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5"/>
          <w:szCs w:val="15"/>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20320</wp:posOffset>
            </wp:positionV>
            <wp:extent cx="335534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/s/John D.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10795</wp:posOffset>
            </wp:positionV>
            <wp:extent cx="357124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1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John D. Quisel, J.D., Ph.D.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29210</wp:posOffset>
            </wp:positionV>
            <wp:extent cx="7150100"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080"/>
          </w:cols>
          <w:pgMar w:left="400" w:top="116" w:right="41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Restrictive Covenants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347980</wp:posOffset>
            </wp:positionV>
            <wp:extent cx="715010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10.7</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08" w:lineRule="exact"/>
        <w:rPr>
          <w:sz w:val="20"/>
          <w:szCs w:val="20"/>
          <w:color w:val="auto"/>
        </w:rPr>
      </w:pPr>
    </w:p>
    <w:p>
      <w:pPr>
        <w:ind w:right="40" w:firstLine="564"/>
        <w:spacing w:after="0" w:line="237" w:lineRule="auto"/>
        <w:rPr>
          <w:sz w:val="20"/>
          <w:szCs w:val="20"/>
          <w:color w:val="auto"/>
        </w:rPr>
      </w:pPr>
      <w:r>
        <w:rPr>
          <w:rFonts w:ascii="Times New Roman" w:cs="Times New Roman" w:eastAsia="Times New Roman" w:hAnsi="Times New Roman"/>
          <w:sz w:val="19"/>
          <w:szCs w:val="19"/>
          <w:color w:val="auto"/>
        </w:rPr>
        <w:t>This Employment Agreement (“Agreement”) is made between Disc Medicine, Inc. (formerly Gemini Therapeutics, Inc.), (the “Company”), and Joanne Bryce, CPA (the “You”) and is effective as of the closing of the proposed business combination among the Company, Disc Medicine Opco, Inc. (formerly Disc Medicine, Inc.) and Gemstone Merger Sub, Inc. pursuant to that certain Agreement and Plan of Merger, dated as of August 9, 2022 (the “Effective Date”). Except with respect to the Restrictive Covenants Agreement and the Equity Documents (each as defined below), this Agreement supersedes in all respects all prior agreements between you and Disc Medicine, Inc., predecessor in interest to the Company, regarding the subject matter herein, including without limitation the offer letter between you and Disc Medicine, Inc. dated September 14, 2021 (the “Prior Agreement”).</w:t>
      </w:r>
    </w:p>
    <w:p>
      <w:pPr>
        <w:spacing w:after="0" w:line="181" w:lineRule="exact"/>
        <w:rPr>
          <w:sz w:val="20"/>
          <w:szCs w:val="20"/>
          <w:color w:val="auto"/>
        </w:rPr>
      </w:pPr>
    </w:p>
    <w:p>
      <w:pPr>
        <w:ind w:right="240" w:firstLine="564"/>
        <w:spacing w:after="0" w:line="259" w:lineRule="auto"/>
        <w:rPr>
          <w:sz w:val="20"/>
          <w:szCs w:val="20"/>
          <w:color w:val="auto"/>
        </w:rPr>
      </w:pPr>
      <w:r>
        <w:rPr>
          <w:rFonts w:ascii="Times New Roman" w:cs="Times New Roman" w:eastAsia="Times New Roman" w:hAnsi="Times New Roman"/>
          <w:sz w:val="19"/>
          <w:szCs w:val="19"/>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ind w:right="140" w:firstLine="564"/>
        <w:spacing w:after="0" w:line="259"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134" w:name="page135"/>
    <w:bookmarkEnd w:id="134"/>
    <w:p>
      <w:pPr>
        <w:ind w:left="1160" w:hanging="602"/>
        <w:spacing w:after="0"/>
        <w:tabs>
          <w:tab w:leader="none" w:pos="116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1"/>
        <w:spacing w:after="0" w:line="241" w:lineRule="auto"/>
        <w:tabs>
          <w:tab w:leader="none" w:pos="1805"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9"/>
          <w:szCs w:val="19"/>
          <w:color w:val="auto"/>
        </w:rPr>
      </w:pPr>
    </w:p>
    <w:p>
      <w:pPr>
        <w:ind w:right="20" w:firstLine="1121"/>
        <w:spacing w:after="0" w:line="250" w:lineRule="auto"/>
        <w:tabs>
          <w:tab w:leader="none" w:pos="181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Financial Officer of the Company and shall report directly to the Chief Executive Officer (“CEO”). You shall have such powers and duties as may from time to time be prescribed by the CEO or other duly authorized executive which are consistent with your position as General Counsel. You shall devote your full working time and efforts to the business and affairs of the 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5" w:name="page136"/>
    <w:bookmarkEnd w:id="135"/>
    <w:p>
      <w:pPr>
        <w:ind w:left="1140" w:hanging="602"/>
        <w:spacing w:after="0"/>
        <w:tabs>
          <w:tab w:leader="none" w:pos="114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and Related Matters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20" w:firstLine="1121"/>
        <w:spacing w:after="0" w:line="239" w:lineRule="auto"/>
        <w:tabs>
          <w:tab w:leader="none" w:pos="1785"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Your initial base salary shall be paid at the rate of $419,000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0" w:lineRule="exact"/>
        <w:rPr>
          <w:rFonts w:ascii="Times New Roman" w:cs="Times New Roman" w:eastAsia="Times New Roman" w:hAnsi="Times New Roman"/>
          <w:sz w:val="19"/>
          <w:szCs w:val="19"/>
          <w:color w:val="auto"/>
        </w:rPr>
      </w:pPr>
    </w:p>
    <w:p>
      <w:pPr>
        <w:ind w:left="-20" w:right="80" w:firstLine="1121"/>
        <w:spacing w:after="0" w:line="237" w:lineRule="auto"/>
        <w:tabs>
          <w:tab w:leader="none" w:pos="1796"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Compensation</w:t>
      </w:r>
      <w:r>
        <w:rPr>
          <w:rFonts w:ascii="Times New Roman" w:cs="Times New Roman" w:eastAsia="Times New Roman" w:hAnsi="Times New Roman"/>
          <w:sz w:val="19"/>
          <w:szCs w:val="19"/>
          <w:color w:val="auto"/>
        </w:rPr>
        <w:t>. You shall be eligible to receive cash incentive compensation as determined by the Board or the Compensation Committee from time to time. Your target annual incentive 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180" w:lineRule="exact"/>
        <w:rPr>
          <w:rFonts w:ascii="Times New Roman" w:cs="Times New Roman" w:eastAsia="Times New Roman" w:hAnsi="Times New Roman"/>
          <w:sz w:val="19"/>
          <w:szCs w:val="19"/>
          <w:color w:val="auto"/>
        </w:rPr>
      </w:pPr>
    </w:p>
    <w:p>
      <w:pPr>
        <w:ind w:left="-20" w:right="380" w:firstLine="1121"/>
        <w:spacing w:after="0" w:line="245" w:lineRule="auto"/>
        <w:tabs>
          <w:tab w:leader="none" w:pos="1785"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36" w:name="page137"/>
    <w:bookmarkEnd w:id="136"/>
    <w:p>
      <w:pPr>
        <w:ind w:right="280" w:firstLine="1121"/>
        <w:spacing w:after="0" w:line="260" w:lineRule="auto"/>
        <w:tabs>
          <w:tab w:leader="none" w:pos="1816"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Benefits</w:t>
      </w:r>
      <w:r>
        <w:rPr>
          <w:rFonts w:ascii="Times New Roman" w:cs="Times New Roman" w:eastAsia="Times New Roman" w:hAnsi="Times New Roman"/>
          <w:sz w:val="19"/>
          <w:szCs w:val="19"/>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9"/>
          <w:szCs w:val="19"/>
          <w:color w:val="auto"/>
        </w:rPr>
      </w:pPr>
    </w:p>
    <w:p>
      <w:pPr>
        <w:ind w:right="40" w:firstLine="1121"/>
        <w:spacing w:after="0" w:line="287" w:lineRule="auto"/>
        <w:tabs>
          <w:tab w:leader="none" w:pos="180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39" w:lineRule="exact"/>
        <w:rPr>
          <w:rFonts w:ascii="Times New Roman" w:cs="Times New Roman" w:eastAsia="Times New Roman" w:hAnsi="Times New Roman"/>
          <w:sz w:val="18"/>
          <w:szCs w:val="18"/>
          <w:color w:val="auto"/>
        </w:rPr>
      </w:pPr>
    </w:p>
    <w:p>
      <w:pPr>
        <w:ind w:firstLine="1121"/>
        <w:spacing w:after="0" w:line="239" w:lineRule="auto"/>
        <w:tabs>
          <w:tab w:leader="none" w:pos="1784"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w:t>
      </w:r>
      <w:r>
        <w:rPr>
          <w:rFonts w:ascii="Times New Roman" w:cs="Times New Roman" w:eastAsia="Times New Roman" w:hAnsi="Times New Roman"/>
          <w:sz w:val="19"/>
          <w:szCs w:val="19"/>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0"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Your employment hereunder may be terminated without any breach of this Agreement under the following</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circumstances:</w:t>
      </w:r>
    </w:p>
    <w:p>
      <w:pPr>
        <w:spacing w:after="0" w:line="184" w:lineRule="exact"/>
        <w:rPr>
          <w:rFonts w:ascii="Times New Roman" w:cs="Times New Roman" w:eastAsia="Times New Roman" w:hAnsi="Times New Roman"/>
          <w:sz w:val="19"/>
          <w:szCs w:val="19"/>
          <w:color w:val="auto"/>
        </w:rPr>
      </w:pPr>
    </w:p>
    <w:p>
      <w:pPr>
        <w:ind w:left="1800" w:hanging="679"/>
        <w:spacing w:after="0"/>
        <w:tabs>
          <w:tab w:leader="none" w:pos="1800"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Your employment hereunder shall terminate upon your death.</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37" w:name="page138"/>
    <w:bookmarkEnd w:id="137"/>
    <w:p>
      <w:pPr>
        <w:ind w:firstLine="1121"/>
        <w:spacing w:after="0" w:line="235" w:lineRule="auto"/>
        <w:tabs>
          <w:tab w:leader="none" w:pos="1816"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the Americans with Disabilities Act, 42 U.S.C. §12101</w:t>
      </w:r>
      <w:r>
        <w:rPr>
          <w:rFonts w:ascii="Times New Roman" w:cs="Times New Roman" w:eastAsia="Times New Roman" w:hAnsi="Times New Roman"/>
          <w:sz w:val="19"/>
          <w:szCs w:val="19"/>
          <w:i w:val="1"/>
          <w:iCs w:val="1"/>
          <w:color w:val="auto"/>
        </w:rPr>
        <w:t xml:space="preserve"> et seq.</w:t>
      </w:r>
    </w:p>
    <w:p>
      <w:pPr>
        <w:spacing w:after="0" w:line="183" w:lineRule="exact"/>
        <w:rPr>
          <w:rFonts w:ascii="Times New Roman" w:cs="Times New Roman" w:eastAsia="Times New Roman" w:hAnsi="Times New Roman"/>
          <w:sz w:val="19"/>
          <w:szCs w:val="19"/>
          <w:color w:val="auto"/>
        </w:rPr>
      </w:pPr>
    </w:p>
    <w:p>
      <w:pPr>
        <w:ind w:right="160" w:firstLine="1121"/>
        <w:spacing w:after="0" w:line="259" w:lineRule="auto"/>
        <w:tabs>
          <w:tab w:leader="none" w:pos="180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Company for Cause</w:t>
      </w:r>
      <w:r>
        <w:rPr>
          <w:rFonts w:ascii="Times New Roman" w:cs="Times New Roman" w:eastAsia="Times New Roman" w:hAnsi="Times New Roman"/>
          <w:sz w:val="19"/>
          <w:szCs w:val="19"/>
          <w:color w:val="auto"/>
        </w:rPr>
        <w:t>. The Company may terminate your employment hereunder for Cause. For purposes of this Agreement, “Cause” shall mean any of the following:</w:t>
      </w:r>
    </w:p>
    <w:p>
      <w:pPr>
        <w:spacing w:after="0" w:line="162" w:lineRule="exact"/>
        <w:rPr>
          <w:rFonts w:ascii="Times New Roman" w:cs="Times New Roman" w:eastAsia="Times New Roman" w:hAnsi="Times New Roman"/>
          <w:sz w:val="19"/>
          <w:szCs w:val="19"/>
          <w:color w:val="auto"/>
        </w:rPr>
      </w:pPr>
    </w:p>
    <w:p>
      <w:pPr>
        <w:ind w:right="40" w:firstLine="1685"/>
        <w:spacing w:after="0" w:line="259" w:lineRule="auto"/>
        <w:tabs>
          <w:tab w:leader="none" w:pos="233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8" w:name="page139"/>
    <w:bookmarkEnd w:id="138"/>
    <w:p>
      <w:pPr>
        <w:ind w:left="2340" w:hanging="655"/>
        <w:spacing w:after="0"/>
        <w:tabs>
          <w:tab w:leader="none" w:pos="2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16" w:lineRule="exact"/>
        <w:rPr>
          <w:rFonts w:ascii="Times New Roman" w:cs="Times New Roman" w:eastAsia="Times New Roman" w:hAnsi="Times New Roman"/>
          <w:sz w:val="18"/>
          <w:szCs w:val="18"/>
          <w:color w:val="auto"/>
        </w:rPr>
      </w:pPr>
    </w:p>
    <w:p>
      <w:pPr>
        <w:jc w:val="both"/>
        <w:ind w:right="400" w:firstLine="1685"/>
        <w:spacing w:after="0" w:line="245" w:lineRule="auto"/>
        <w:tabs>
          <w:tab w:leader="none" w:pos="2348"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6" w:lineRule="exact"/>
        <w:rPr>
          <w:rFonts w:ascii="Times New Roman" w:cs="Times New Roman" w:eastAsia="Times New Roman" w:hAnsi="Times New Roman"/>
          <w:sz w:val="19"/>
          <w:szCs w:val="19"/>
          <w:color w:val="auto"/>
        </w:rPr>
      </w:pPr>
    </w:p>
    <w:p>
      <w:pPr>
        <w:ind w:right="40" w:firstLine="1685"/>
        <w:spacing w:after="0" w:line="287" w:lineRule="auto"/>
        <w:tabs>
          <w:tab w:leader="none" w:pos="233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39" w:lineRule="exact"/>
        <w:rPr>
          <w:rFonts w:ascii="Times New Roman" w:cs="Times New Roman" w:eastAsia="Times New Roman" w:hAnsi="Times New Roman"/>
          <w:sz w:val="18"/>
          <w:szCs w:val="18"/>
          <w:color w:val="auto"/>
        </w:rPr>
      </w:pPr>
    </w:p>
    <w:p>
      <w:pPr>
        <w:ind w:right="580" w:firstLine="1685"/>
        <w:spacing w:after="0" w:line="245" w:lineRule="auto"/>
        <w:tabs>
          <w:tab w:leader="none" w:pos="2332"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176" w:lineRule="exact"/>
        <w:rPr>
          <w:rFonts w:ascii="Times New Roman" w:cs="Times New Roman" w:eastAsia="Times New Roman" w:hAnsi="Times New Roman"/>
          <w:sz w:val="19"/>
          <w:szCs w:val="19"/>
          <w:color w:val="auto"/>
        </w:rPr>
      </w:pPr>
    </w:p>
    <w:p>
      <w:pPr>
        <w:ind w:right="40" w:firstLine="1685"/>
        <w:spacing w:after="0" w:line="241" w:lineRule="auto"/>
        <w:tabs>
          <w:tab w:leader="none" w:pos="2338"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ind w:left="-20" w:firstLine="1121"/>
        <w:spacing w:after="0" w:line="246" w:lineRule="auto"/>
        <w:tabs>
          <w:tab w:leader="none" w:pos="1796"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the Company without Cause</w:t>
      </w:r>
      <w:r>
        <w:rPr>
          <w:rFonts w:ascii="Times New Roman" w:cs="Times New Roman" w:eastAsia="Times New Roman" w:hAnsi="Times New Roman"/>
          <w:sz w:val="19"/>
          <w:szCs w:val="19"/>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4" w:lineRule="exact"/>
        <w:rPr>
          <w:rFonts w:ascii="Times New Roman" w:cs="Times New Roman" w:eastAsia="Times New Roman" w:hAnsi="Times New Roman"/>
          <w:sz w:val="19"/>
          <w:szCs w:val="19"/>
          <w:color w:val="auto"/>
        </w:rPr>
      </w:pPr>
    </w:p>
    <w:p>
      <w:pPr>
        <w:ind w:left="-20" w:right="380" w:firstLine="1121"/>
        <w:spacing w:after="0" w:line="266" w:lineRule="auto"/>
        <w:tabs>
          <w:tab w:leader="none" w:pos="17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57" w:lineRule="exact"/>
        <w:rPr>
          <w:rFonts w:ascii="Times New Roman" w:cs="Times New Roman" w:eastAsia="Times New Roman" w:hAnsi="Times New Roman"/>
          <w:sz w:val="18"/>
          <w:szCs w:val="18"/>
          <w:color w:val="auto"/>
        </w:rPr>
      </w:pPr>
    </w:p>
    <w:p>
      <w:pPr>
        <w:ind w:left="2320" w:hanging="655"/>
        <w:spacing w:after="0"/>
        <w:tabs>
          <w:tab w:leader="none" w:pos="2320"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your responsibilities, authority or duties</w:t>
      </w:r>
    </w:p>
    <w:p>
      <w:pPr>
        <w:spacing w:after="0" w:line="204" w:lineRule="exact"/>
        <w:rPr>
          <w:rFonts w:ascii="Times New Roman" w:cs="Times New Roman" w:eastAsia="Times New Roman" w:hAnsi="Times New Roman"/>
          <w:sz w:val="19"/>
          <w:szCs w:val="19"/>
          <w:color w:val="auto"/>
        </w:rPr>
      </w:pPr>
    </w:p>
    <w:p>
      <w:pPr>
        <w:ind w:left="540" w:right="40" w:firstLine="1125"/>
        <w:spacing w:after="0" w:line="259" w:lineRule="auto"/>
        <w:tabs>
          <w:tab w:leader="none" w:pos="2366"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2" w:lineRule="exact"/>
        <w:rPr>
          <w:rFonts w:ascii="Times New Roman" w:cs="Times New Roman" w:eastAsia="Times New Roman" w:hAnsi="Times New Roman"/>
          <w:sz w:val="19"/>
          <w:szCs w:val="19"/>
          <w:color w:val="auto"/>
        </w:rPr>
      </w:pPr>
    </w:p>
    <w:p>
      <w:pPr>
        <w:ind w:left="540" w:right="360" w:firstLine="1125"/>
        <w:spacing w:after="0" w:line="259" w:lineRule="auto"/>
        <w:tabs>
          <w:tab w:leader="none" w:pos="2419"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change of at least thirty (30) miles of the location of the physical Company office to which you report (which to avoid doubt does not include any home office you may have); or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40" w:name="page141"/>
    <w:bookmarkEnd w:id="140"/>
    <w:p>
      <w:pPr>
        <w:ind w:left="2420" w:hanging="735"/>
        <w:spacing w:after="0"/>
        <w:tabs>
          <w:tab w:leader="none" w:pos="242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by the Company of the material terms of this Agreement or any other written agreement between the</w:t>
      </w:r>
    </w:p>
    <w:p>
      <w:pPr>
        <w:spacing w:after="0" w:line="13"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and you.</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40" w:hanging="655"/>
        <w:spacing w:after="0"/>
        <w:tabs>
          <w:tab w:leader="none" w:pos="234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reasonably determine in good faith that a Good Reason Condition has occurred;</w:t>
      </w:r>
    </w:p>
    <w:p>
      <w:pPr>
        <w:spacing w:after="0" w:line="204" w:lineRule="exact"/>
        <w:rPr>
          <w:rFonts w:ascii="Times New Roman" w:cs="Times New Roman" w:eastAsia="Times New Roman" w:hAnsi="Times New Roman"/>
          <w:sz w:val="19"/>
          <w:szCs w:val="19"/>
          <w:color w:val="auto"/>
        </w:rPr>
      </w:pPr>
    </w:p>
    <w:p>
      <w:pPr>
        <w:ind w:left="560" w:right="40" w:firstLine="1125"/>
        <w:spacing w:after="0" w:line="259" w:lineRule="auto"/>
        <w:tabs>
          <w:tab w:leader="none" w:pos="238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notify the Company in writing of the first occurrence of the Good Reason Condition within 60 days of the first occurrence of such condition;</w:t>
      </w:r>
    </w:p>
    <w:p>
      <w:pPr>
        <w:spacing w:after="0" w:line="162" w:lineRule="exact"/>
        <w:rPr>
          <w:rFonts w:ascii="Times New Roman" w:cs="Times New Roman" w:eastAsia="Times New Roman" w:hAnsi="Times New Roman"/>
          <w:sz w:val="19"/>
          <w:szCs w:val="19"/>
          <w:color w:val="auto"/>
        </w:rPr>
      </w:pPr>
    </w:p>
    <w:p>
      <w:pPr>
        <w:ind w:left="560" w:firstLine="1125"/>
        <w:spacing w:after="0" w:line="259" w:lineRule="auto"/>
        <w:tabs>
          <w:tab w:leader="none" w:pos="2439"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cooperate in good faith with the Company’s efforts, for a period of not less than 30 days following such notice (the “Cure Period”), to remedy the Good Reason Condition;</w:t>
      </w:r>
    </w:p>
    <w:p>
      <w:pPr>
        <w:spacing w:after="0" w:line="162" w:lineRule="exact"/>
        <w:rPr>
          <w:rFonts w:ascii="Times New Roman" w:cs="Times New Roman" w:eastAsia="Times New Roman" w:hAnsi="Times New Roman"/>
          <w:sz w:val="19"/>
          <w:szCs w:val="19"/>
          <w:color w:val="auto"/>
        </w:rPr>
      </w:pPr>
    </w:p>
    <w:p>
      <w:pPr>
        <w:ind w:left="2420" w:hanging="735"/>
        <w:spacing w:after="0"/>
        <w:tabs>
          <w:tab w:leader="none" w:pos="242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such Cure Period, the Good Reason Condition continues to exist; and</w:t>
      </w:r>
    </w:p>
    <w:p>
      <w:pPr>
        <w:spacing w:after="0" w:line="204" w:lineRule="exact"/>
        <w:rPr>
          <w:rFonts w:ascii="Times New Roman" w:cs="Times New Roman" w:eastAsia="Times New Roman" w:hAnsi="Times New Roman"/>
          <w:sz w:val="19"/>
          <w:szCs w:val="19"/>
          <w:color w:val="auto"/>
        </w:rPr>
      </w:pPr>
    </w:p>
    <w:p>
      <w:pPr>
        <w:ind w:left="2380" w:hanging="695"/>
        <w:spacing w:after="0"/>
        <w:tabs>
          <w:tab w:leader="none" w:pos="238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terminate employment within 60 days after the end of the Cure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the Company cures the Good Reason Condition during the Cure Period, Good Reason shall be deemed not to have occurred.</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sectPr>
      </w:pPr>
    </w:p>
    <w:bookmarkStart w:id="141" w:name="page142"/>
    <w:bookmarkEnd w:id="141"/>
    <w:p>
      <w:pPr>
        <w:ind w:left="6"/>
        <w:spacing w:after="0" w:line="236" w:lineRule="auto"/>
        <w:rPr>
          <w:sz w:val="20"/>
          <w:szCs w:val="20"/>
          <w:color w:val="auto"/>
        </w:rPr>
      </w:pPr>
      <w:r>
        <w:rPr>
          <w:rFonts w:ascii="Times New Roman" w:cs="Times New Roman" w:eastAsia="Times New Roman" w:hAnsi="Times New Roman"/>
          <w:sz w:val="19"/>
          <w:szCs w:val="19"/>
          <w:color w:val="auto"/>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spacing w:after="0" w:line="184" w:lineRule="exact"/>
        <w:rPr>
          <w:sz w:val="20"/>
          <w:szCs w:val="20"/>
          <w:color w:val="auto"/>
        </w:rPr>
      </w:pPr>
    </w:p>
    <w:p>
      <w:pPr>
        <w:ind w:left="1166" w:hanging="602"/>
        <w:spacing w:after="0"/>
        <w:tabs>
          <w:tab w:leader="none" w:pos="1166"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and Date of Termination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6" w:right="320" w:firstLine="1121"/>
        <w:spacing w:after="0" w:line="266" w:lineRule="auto"/>
        <w:tabs>
          <w:tab w:leader="none" w:pos="1811"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57" w:lineRule="exact"/>
        <w:rPr>
          <w:rFonts w:ascii="Times New Roman" w:cs="Times New Roman" w:eastAsia="Times New Roman" w:hAnsi="Times New Roman"/>
          <w:sz w:val="18"/>
          <w:szCs w:val="18"/>
          <w:color w:val="auto"/>
        </w:rPr>
      </w:pPr>
    </w:p>
    <w:p>
      <w:pPr>
        <w:ind w:left="1806" w:hanging="679"/>
        <w:spacing w:after="0"/>
        <w:tabs>
          <w:tab w:leader="none" w:pos="1806" w:val="left"/>
        </w:tabs>
        <w:numPr>
          <w:ilvl w:val="2"/>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Date of Termination</w:t>
      </w:r>
      <w:r>
        <w:rPr>
          <w:rFonts w:ascii="Times New Roman" w:cs="Times New Roman" w:eastAsia="Times New Roman" w:hAnsi="Times New Roman"/>
          <w:sz w:val="19"/>
          <w:szCs w:val="19"/>
          <w:color w:val="auto"/>
        </w:rPr>
        <w:t>. “Date of Termination” shall mean: (i) if your employment is terminated by death, the date of death;</w:t>
      </w:r>
    </w:p>
    <w:p>
      <w:pPr>
        <w:spacing w:after="0" w:line="12" w:lineRule="exact"/>
        <w:rPr>
          <w:rFonts w:ascii="Times New Roman" w:cs="Times New Roman" w:eastAsia="Times New Roman" w:hAnsi="Times New Roman"/>
          <w:sz w:val="19"/>
          <w:szCs w:val="19"/>
          <w:color w:val="auto"/>
        </w:rPr>
      </w:pPr>
    </w:p>
    <w:p>
      <w:pPr>
        <w:ind w:left="6" w:right="20" w:hanging="6"/>
        <w:spacing w:after="0" w:line="233" w:lineRule="auto"/>
        <w:tabs>
          <w:tab w:leader="none" w:pos="28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3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5" w:right="339" w:bottom="1440" w:gutter="0" w:footer="0" w:header="0"/>
        </w:sectPr>
      </w:pPr>
    </w:p>
    <w:bookmarkStart w:id="142" w:name="page143"/>
    <w:bookmarkEnd w:id="142"/>
    <w:p>
      <w:pPr>
        <w:ind w:left="-140" w:firstLine="558"/>
        <w:spacing w:after="0" w:line="235" w:lineRule="auto"/>
        <w:tabs>
          <w:tab w:leader="none" w:pos="103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9"/>
          <w:szCs w:val="19"/>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29210</wp:posOffset>
            </wp:positionV>
            <wp:extent cx="715010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80"/>
          </w:cols>
          <w:pgMar w:left="460" w:top="115" w:right="459" w:bottom="1440" w:gutter="0" w:footer="0" w:header="0"/>
        </w:sectPr>
      </w:pPr>
    </w:p>
    <w:bookmarkStart w:id="143" w:name="page144"/>
    <w:bookmarkEnd w:id="143"/>
    <w:p>
      <w:pPr>
        <w:ind w:firstLine="1121"/>
        <w:spacing w:after="0" w:line="241" w:lineRule="auto"/>
        <w:tabs>
          <w:tab w:leader="none" w:pos="1805"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you an amount equal to 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80" w:lineRule="exact"/>
        <w:rPr>
          <w:rFonts w:ascii="Times New Roman" w:cs="Times New Roman" w:eastAsia="Times New Roman" w:hAnsi="Times New Roman"/>
          <w:sz w:val="19"/>
          <w:szCs w:val="19"/>
          <w:color w:val="auto"/>
        </w:rPr>
      </w:pPr>
    </w:p>
    <w:p>
      <w:pPr>
        <w:ind w:right="80" w:firstLine="1121"/>
        <w:spacing w:after="0" w:line="245" w:lineRule="auto"/>
        <w:tabs>
          <w:tab w:leader="none" w:pos="1816"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spacing w:after="0" w:line="176" w:lineRule="exact"/>
        <w:rPr>
          <w:rFonts w:ascii="Times New Roman" w:cs="Times New Roman" w:eastAsia="Times New Roman" w:hAnsi="Times New Roman"/>
          <w:sz w:val="19"/>
          <w:szCs w:val="19"/>
          <w:color w:val="auto"/>
        </w:rPr>
      </w:pPr>
    </w:p>
    <w:p>
      <w:pPr>
        <w:ind w:right="20" w:firstLine="1121"/>
        <w:spacing w:after="0" w:line="236" w:lineRule="auto"/>
        <w:tabs>
          <w:tab w:leader="none" w:pos="1805"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4" w:name="page145"/>
    <w:bookmarkEnd w:id="144"/>
    <w:p>
      <w:pPr>
        <w:ind w:right="40"/>
        <w:spacing w:after="0" w:line="237" w:lineRule="auto"/>
        <w:rPr>
          <w:sz w:val="20"/>
          <w:szCs w:val="20"/>
          <w:color w:val="auto"/>
        </w:rPr>
      </w:pPr>
      <w:r>
        <w:rPr>
          <w:rFonts w:ascii="Times New Roman" w:cs="Times New Roman" w:eastAsia="Times New Roman" w:hAnsi="Times New Roman"/>
          <w:sz w:val="19"/>
          <w:szCs w:val="19"/>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1" w:lineRule="exact"/>
        <w:rPr>
          <w:sz w:val="20"/>
          <w:szCs w:val="20"/>
          <w:color w:val="auto"/>
        </w:rPr>
      </w:pPr>
    </w:p>
    <w:p>
      <w:pPr>
        <w:ind w:firstLine="558"/>
        <w:spacing w:after="0" w:line="238" w:lineRule="auto"/>
        <w:tabs>
          <w:tab w:leader="none" w:pos="117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9"/>
          <w:szCs w:val="19"/>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79" w:lineRule="exact"/>
        <w:rPr>
          <w:rFonts w:ascii="Times New Roman" w:cs="Times New Roman" w:eastAsia="Times New Roman" w:hAnsi="Times New Roman"/>
          <w:sz w:val="19"/>
          <w:szCs w:val="19"/>
          <w:color w:val="auto"/>
        </w:rPr>
      </w:pPr>
    </w:p>
    <w:p>
      <w:pPr>
        <w:ind w:right="80" w:firstLine="1121"/>
        <w:spacing w:after="0" w:line="239" w:lineRule="auto"/>
        <w:tabs>
          <w:tab w:leader="none" w:pos="1805"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your employment is terminated by the Company without Cause as provided in Section 3(d) or you terminate employment for Good Reason as provided in Section 3(e) and in each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45" w:name="page146"/>
    <w:bookmarkEnd w:id="145"/>
    <w:p>
      <w:pPr>
        <w:ind w:firstLine="1125"/>
        <w:spacing w:after="0" w:line="238" w:lineRule="auto"/>
        <w:tabs>
          <w:tab w:leader="none" w:pos="1774"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you a lump sum in cash in an amount equal to the sum of (A)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0" w:lineRule="exact"/>
        <w:rPr>
          <w:rFonts w:ascii="Times New Roman" w:cs="Times New Roman" w:eastAsia="Times New Roman" w:hAnsi="Times New Roman"/>
          <w:sz w:val="19"/>
          <w:szCs w:val="19"/>
          <w:color w:val="auto"/>
        </w:rPr>
      </w:pPr>
    </w:p>
    <w:p>
      <w:pPr>
        <w:ind w:right="40" w:firstLine="1125"/>
        <w:spacing w:after="0" w:line="236" w:lineRule="auto"/>
        <w:tabs>
          <w:tab w:leader="none" w:pos="1826"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33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5" w:right="339" w:bottom="1440" w:gutter="0" w:footer="0" w:header="0"/>
        </w:sectPr>
      </w:pPr>
    </w:p>
    <w:bookmarkStart w:id="146" w:name="page147"/>
    <w:bookmarkEnd w:id="146"/>
    <w:p>
      <w:pPr>
        <w:ind w:left="560" w:right="20" w:firstLine="1125"/>
        <w:spacing w:after="0" w:line="236" w:lineRule="auto"/>
        <w:tabs>
          <w:tab w:leader="none" w:pos="243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47" w:name="page148"/>
    <w:bookmarkEnd w:id="147"/>
    <w:p>
      <w:pPr>
        <w:ind w:left="1240" w:hanging="679"/>
        <w:spacing w:after="0"/>
        <w:tabs>
          <w:tab w:leader="none" w:pos="124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Limitation</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5"/>
        <w:spacing w:after="0" w:line="234" w:lineRule="auto"/>
        <w:tabs>
          <w:tab w:leader="none" w:pos="1764"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34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5" w:right="339" w:bottom="1440" w:gutter="0" w:footer="0" w:header="0"/>
        </w:sectPr>
      </w:pPr>
    </w:p>
    <w:bookmarkStart w:id="148" w:name="page149"/>
    <w:bookmarkEnd w:id="148"/>
    <w:p>
      <w:pPr>
        <w:ind w:right="160" w:firstLine="1125"/>
        <w:spacing w:after="0" w:line="238" w:lineRule="auto"/>
        <w:tabs>
          <w:tab w:leader="none" w:pos="1826"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0" w:lineRule="exact"/>
        <w:rPr>
          <w:rFonts w:ascii="Times New Roman" w:cs="Times New Roman" w:eastAsia="Times New Roman" w:hAnsi="Times New Roman"/>
          <w:sz w:val="19"/>
          <w:szCs w:val="19"/>
          <w:color w:val="auto"/>
        </w:rPr>
      </w:pPr>
    </w:p>
    <w:p>
      <w:pPr>
        <w:jc w:val="both"/>
        <w:ind w:firstLine="1125"/>
        <w:spacing w:after="0" w:line="259" w:lineRule="auto"/>
        <w:tabs>
          <w:tab w:leader="none" w:pos="18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3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60"/>
          </w:cols>
          <w:pgMar w:left="880" w:top="115" w:right="359" w:bottom="1440" w:gutter="0" w:footer="0" w:header="0"/>
        </w:sectPr>
      </w:pPr>
    </w:p>
    <w:bookmarkStart w:id="149" w:name="page150"/>
    <w:bookmarkEnd w:id="149"/>
    <w:p>
      <w:pPr>
        <w:ind w:firstLine="1125"/>
        <w:spacing w:after="0" w:line="234" w:lineRule="auto"/>
        <w:tabs>
          <w:tab w:leader="none" w:pos="186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3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5" w:right="339" w:bottom="1440" w:gutter="0" w:footer="0" w:header="0"/>
        </w:sectPr>
      </w:pPr>
    </w:p>
    <w:bookmarkStart w:id="150" w:name="page151"/>
    <w:bookmarkEnd w:id="150"/>
    <w:p>
      <w:pPr>
        <w:ind w:left="1160" w:hanging="602"/>
        <w:spacing w:after="0"/>
        <w:tabs>
          <w:tab w:leader="none" w:pos="116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1"/>
        <w:spacing w:after="0" w:line="236" w:lineRule="auto"/>
        <w:tabs>
          <w:tab w:leader="none" w:pos="1795"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9" w:lineRule="exact"/>
        <w:rPr>
          <w:rFonts w:ascii="Times New Roman" w:cs="Times New Roman" w:eastAsia="Times New Roman" w:hAnsi="Times New Roman"/>
          <w:sz w:val="19"/>
          <w:szCs w:val="19"/>
          <w:color w:val="auto"/>
        </w:rPr>
      </w:pPr>
    </w:p>
    <w:p>
      <w:pPr>
        <w:ind w:firstLine="1121"/>
        <w:spacing w:after="0" w:line="238" w:lineRule="auto"/>
        <w:tabs>
          <w:tab w:leader="none" w:pos="1805"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9" w:lineRule="exact"/>
        <w:rPr>
          <w:rFonts w:ascii="Times New Roman" w:cs="Times New Roman" w:eastAsia="Times New Roman" w:hAnsi="Times New Roman"/>
          <w:sz w:val="19"/>
          <w:szCs w:val="19"/>
          <w:color w:val="auto"/>
        </w:rPr>
      </w:pPr>
    </w:p>
    <w:p>
      <w:pPr>
        <w:ind w:firstLine="1121"/>
        <w:spacing w:after="0" w:line="227" w:lineRule="exact"/>
        <w:tabs>
          <w:tab w:leader="none" w:pos="1802"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1(h).</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p>
      <w:pPr>
        <w:ind w:left="-20" w:firstLine="1121"/>
        <w:spacing w:after="0" w:line="219" w:lineRule="exact"/>
        <w:tabs>
          <w:tab w:leader="none" w:pos="1792"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1" w:lineRule="exact"/>
        <w:rPr>
          <w:rFonts w:ascii="Times New Roman" w:cs="Times New Roman" w:eastAsia="Times New Roman" w:hAnsi="Times New Roman"/>
          <w:sz w:val="19"/>
          <w:szCs w:val="19"/>
          <w:color w:val="auto"/>
        </w:rPr>
      </w:pPr>
    </w:p>
    <w:p>
      <w:pPr>
        <w:jc w:val="both"/>
        <w:ind w:left="-20" w:right="60" w:firstLine="1121"/>
        <w:spacing w:after="0" w:line="245" w:lineRule="auto"/>
        <w:tabs>
          <w:tab w:leader="none" w:pos="1782"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6" w:lineRule="exact"/>
        <w:rPr>
          <w:rFonts w:ascii="Times New Roman" w:cs="Times New Roman" w:eastAsia="Times New Roman" w:hAnsi="Times New Roman"/>
          <w:sz w:val="19"/>
          <w:szCs w:val="19"/>
          <w:color w:val="auto"/>
        </w:rPr>
      </w:pPr>
    </w:p>
    <w:p>
      <w:pPr>
        <w:ind w:left="1140" w:hanging="602"/>
        <w:spacing w:after="0"/>
        <w:tabs>
          <w:tab w:leader="none" w:pos="114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Obligations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jc w:val="both"/>
        <w:ind w:left="-20" w:right="160" w:firstLine="1121"/>
        <w:spacing w:after="0" w:line="241" w:lineRule="auto"/>
        <w:tabs>
          <w:tab w:leader="none" w:pos="1785"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Restrictive Covenants Agreement</w:t>
      </w:r>
      <w:r>
        <w:rPr>
          <w:rFonts w:ascii="Times New Roman" w:cs="Times New Roman" w:eastAsia="Times New Roman" w:hAnsi="Times New Roman"/>
          <w:sz w:val="19"/>
          <w:szCs w:val="19"/>
          <w:color w:val="auto"/>
        </w:rPr>
        <w:t xml:space="preserve">. The Disc Medicine, Inc. Employee Confidentiality, Assignment, Nonsolicitation and Noncompetition Agreement effective as of September 14, 2021 (the “Restrictive Covenants Agreement”), between Disc Medicine, Inc. and you,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continue to be in full force and effect. For purposes of this Agreement, the obligations in this Section 8 and those that arise in the Restrictive Covenants Agreement shall collectively be referred to as the “Continuing Obligations.”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52" w:name="page153"/>
    <w:bookmarkEnd w:id="152"/>
    <w:p>
      <w:pPr>
        <w:ind w:right="80" w:firstLine="1121"/>
        <w:spacing w:after="0" w:line="237" w:lineRule="auto"/>
        <w:tabs>
          <w:tab w:leader="none" w:pos="181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Third-Party Agreements and Rights</w:t>
      </w:r>
      <w:r>
        <w:rPr>
          <w:rFonts w:ascii="Times New Roman" w:cs="Times New Roman" w:eastAsia="Times New Roman" w:hAnsi="Times New Roman"/>
          <w:sz w:val="19"/>
          <w:szCs w:val="19"/>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1" w:lineRule="exact"/>
        <w:rPr>
          <w:rFonts w:ascii="Times New Roman" w:cs="Times New Roman" w:eastAsia="Times New Roman" w:hAnsi="Times New Roman"/>
          <w:sz w:val="19"/>
          <w:szCs w:val="19"/>
          <w:color w:val="auto"/>
        </w:rPr>
      </w:pPr>
    </w:p>
    <w:p>
      <w:pPr>
        <w:ind w:firstLine="1121"/>
        <w:spacing w:after="0" w:line="214" w:lineRule="exact"/>
        <w:tabs>
          <w:tab w:leader="none" w:pos="1805"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Litigation and Regulatory Cooperation</w:t>
      </w:r>
      <w:r>
        <w:rPr>
          <w:rFonts w:ascii="Times New Roman" w:cs="Times New Roman" w:eastAsia="Times New Roman" w:hAnsi="Times New Roman"/>
          <w:sz w:val="19"/>
          <w:szCs w:val="19"/>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3" w:name="page154"/>
    <w:bookmarkEnd w:id="153"/>
    <w:p>
      <w:pPr>
        <w:ind w:left="-40" w:firstLine="1121"/>
        <w:spacing w:after="0" w:line="239" w:lineRule="auto"/>
        <w:tabs>
          <w:tab w:leader="none" w:pos="1776"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Relief</w:t>
      </w:r>
      <w:r>
        <w:rPr>
          <w:rFonts w:ascii="Times New Roman" w:cs="Times New Roman" w:eastAsia="Times New Roman" w:hAnsi="Times New Roman"/>
          <w:sz w:val="19"/>
          <w:szCs w:val="19"/>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60" w:top="116" w:right="359" w:bottom="1440" w:gutter="0" w:footer="0" w:header="0"/>
        </w:sectPr>
      </w:pPr>
    </w:p>
    <w:bookmarkStart w:id="154" w:name="page155"/>
    <w:bookmarkEnd w:id="154"/>
    <w:p>
      <w:pPr>
        <w:ind w:firstLine="1121"/>
        <w:spacing w:after="0" w:line="235" w:lineRule="auto"/>
        <w:tabs>
          <w:tab w:leader="none" w:pos="180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Disclosures and Other Protected Action</w:t>
      </w:r>
      <w:r>
        <w:rPr>
          <w:rFonts w:ascii="Times New Roman" w:cs="Times New Roman" w:eastAsia="Times New Roman" w:hAnsi="Times New Roman"/>
          <w:sz w:val="19"/>
          <w:szCs w:val="19"/>
          <w:color w:val="auto"/>
        </w:rPr>
        <w:t>. Nothing in this Agreement shall be interpreted or applied to prohibit you from making any good faith report to any governmental agency or other governmental entity (a “Government Agency”) concerning any act or omission that you reasonably believe constitutes a possible violation of federal or state law or making other disclosures that are protected under the anti-retaliation or whistleblower provisions of applicable federal or state law or regulation.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5" w:name="page156"/>
    <w:bookmarkEnd w:id="155"/>
    <w:p>
      <w:pPr>
        <w:ind w:left="1140" w:hanging="602"/>
        <w:spacing w:after="0"/>
        <w:tabs>
          <w:tab w:leader="none" w:pos="114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 of Disputes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20" w:right="20" w:firstLine="1121"/>
        <w:spacing w:after="0" w:line="248" w:lineRule="auto"/>
        <w:tabs>
          <w:tab w:leader="none" w:pos="1785"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178" w:lineRule="exact"/>
        <w:rPr>
          <w:rFonts w:ascii="Times New Roman" w:cs="Times New Roman" w:eastAsia="Times New Roman" w:hAnsi="Times New Roman"/>
          <w:sz w:val="18"/>
          <w:szCs w:val="18"/>
          <w:color w:val="auto"/>
        </w:rPr>
      </w:pPr>
    </w:p>
    <w:p>
      <w:pPr>
        <w:ind w:left="-20" w:right="20" w:firstLine="1121"/>
        <w:spacing w:after="0" w:line="259" w:lineRule="auto"/>
        <w:tabs>
          <w:tab w:leader="none" w:pos="179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63" w:lineRule="exact"/>
        <w:rPr>
          <w:rFonts w:ascii="Times New Roman" w:cs="Times New Roman" w:eastAsia="Times New Roman" w:hAnsi="Times New Roman"/>
          <w:sz w:val="18"/>
          <w:szCs w:val="18"/>
          <w:color w:val="auto"/>
        </w:rPr>
      </w:pPr>
    </w:p>
    <w:p>
      <w:pPr>
        <w:ind w:left="-20" w:firstLine="558"/>
        <w:spacing w:after="0" w:line="241" w:lineRule="auto"/>
        <w:tabs>
          <w:tab w:leader="none" w:pos="1248"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and (c) waive any other requirement (whether imposed by statute, rule of court, or otherwise) with respect to personal jurisdiction or service of process.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6" w:right="339" w:bottom="1440" w:gutter="0" w:footer="0" w:header="0"/>
        </w:sectPr>
      </w:pPr>
    </w:p>
    <w:bookmarkStart w:id="156" w:name="page157"/>
    <w:bookmarkEnd w:id="156"/>
    <w:p>
      <w:pPr>
        <w:ind w:firstLine="558"/>
        <w:spacing w:after="0" w:line="260" w:lineRule="auto"/>
        <w:tabs>
          <w:tab w:leader="none" w:pos="1261"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“Indemnification Agreement” between the Company and you, dated December 29, 2022 (the “Indemnification Agreement”) is hereby incorporated by reference.</w:t>
      </w:r>
    </w:p>
    <w:p>
      <w:pPr>
        <w:spacing w:after="0" w:line="161" w:lineRule="exact"/>
        <w:rPr>
          <w:rFonts w:ascii="Times New Roman" w:cs="Times New Roman" w:eastAsia="Times New Roman" w:hAnsi="Times New Roman"/>
          <w:sz w:val="19"/>
          <w:szCs w:val="19"/>
          <w:color w:val="auto"/>
        </w:rPr>
      </w:pPr>
    </w:p>
    <w:p>
      <w:pPr>
        <w:ind w:right="20" w:firstLine="558"/>
        <w:spacing w:after="0" w:line="266" w:lineRule="auto"/>
        <w:tabs>
          <w:tab w:leader="none" w:pos="126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57" w:lineRule="exact"/>
        <w:rPr>
          <w:rFonts w:ascii="Times New Roman" w:cs="Times New Roman" w:eastAsia="Times New Roman" w:hAnsi="Times New Roman"/>
          <w:sz w:val="18"/>
          <w:szCs w:val="18"/>
          <w:color w:val="auto"/>
        </w:rPr>
      </w:pPr>
    </w:p>
    <w:p>
      <w:pPr>
        <w:ind w:right="420" w:firstLine="558"/>
        <w:spacing w:after="0" w:line="245" w:lineRule="auto"/>
        <w:tabs>
          <w:tab w:leader="none" w:pos="126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176" w:lineRule="exact"/>
        <w:rPr>
          <w:rFonts w:ascii="Times New Roman" w:cs="Times New Roman" w:eastAsia="Times New Roman" w:hAnsi="Times New Roman"/>
          <w:sz w:val="19"/>
          <w:szCs w:val="19"/>
          <w:color w:val="auto"/>
        </w:rPr>
      </w:pPr>
    </w:p>
    <w:p>
      <w:pPr>
        <w:ind w:right="60" w:firstLine="558"/>
        <w:spacing w:after="0" w:line="241" w:lineRule="auto"/>
        <w:tabs>
          <w:tab w:leader="none" w:pos="126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Tax Effect</w:t>
      </w:r>
      <w:r>
        <w:rPr>
          <w:rFonts w:ascii="Times New Roman" w:cs="Times New Roman" w:eastAsia="Times New Roman" w:hAnsi="Times New Roman"/>
          <w:sz w:val="19"/>
          <w:szCs w:val="19"/>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57" w:name="page158"/>
    <w:bookmarkEnd w:id="157"/>
    <w:p>
      <w:pPr>
        <w:ind w:left="-20" w:firstLine="558"/>
        <w:spacing w:after="0" w:line="236" w:lineRule="auto"/>
        <w:tabs>
          <w:tab w:leader="none" w:pos="124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0" w:lineRule="exact"/>
        <w:rPr>
          <w:rFonts w:ascii="Times New Roman" w:cs="Times New Roman" w:eastAsia="Times New Roman" w:hAnsi="Times New Roman"/>
          <w:sz w:val="19"/>
          <w:szCs w:val="19"/>
          <w:color w:val="auto"/>
        </w:rPr>
      </w:pPr>
    </w:p>
    <w:p>
      <w:pPr>
        <w:ind w:left="-20" w:right="80" w:firstLine="558"/>
        <w:spacing w:after="0" w:line="259" w:lineRule="auto"/>
        <w:tabs>
          <w:tab w:leader="none" w:pos="124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3" w:lineRule="exact"/>
        <w:rPr>
          <w:rFonts w:ascii="Times New Roman" w:cs="Times New Roman" w:eastAsia="Times New Roman" w:hAnsi="Times New Roman"/>
          <w:sz w:val="18"/>
          <w:szCs w:val="18"/>
          <w:color w:val="auto"/>
        </w:rPr>
      </w:pPr>
    </w:p>
    <w:p>
      <w:pPr>
        <w:ind w:left="-20" w:right="760" w:firstLine="558"/>
        <w:spacing w:after="0" w:line="259" w:lineRule="auto"/>
        <w:tabs>
          <w:tab w:leader="none" w:pos="124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provisions of this Agreement shall survive the termination of this Agreement and/or the termination of your employment to the extent necessary to effectuate the terms contained herein.</w:t>
      </w:r>
    </w:p>
    <w:p>
      <w:pPr>
        <w:spacing w:after="0" w:line="162" w:lineRule="exact"/>
        <w:rPr>
          <w:rFonts w:ascii="Times New Roman" w:cs="Times New Roman" w:eastAsia="Times New Roman" w:hAnsi="Times New Roman"/>
          <w:sz w:val="19"/>
          <w:szCs w:val="19"/>
          <w:color w:val="auto"/>
        </w:rPr>
      </w:pPr>
    </w:p>
    <w:p>
      <w:pPr>
        <w:ind w:left="-20" w:right="20" w:firstLine="558"/>
        <w:spacing w:after="0" w:line="245" w:lineRule="auto"/>
        <w:tabs>
          <w:tab w:leader="none" w:pos="124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6" w:right="339" w:bottom="1440" w:gutter="0" w:footer="0" w:header="0"/>
        </w:sectPr>
      </w:pPr>
    </w:p>
    <w:bookmarkStart w:id="158" w:name="page159"/>
    <w:bookmarkEnd w:id="158"/>
    <w:p>
      <w:pPr>
        <w:jc w:val="both"/>
        <w:ind w:left="-100" w:right="20" w:firstLine="558"/>
        <w:spacing w:after="0" w:line="241" w:lineRule="auto"/>
        <w:tabs>
          <w:tab w:leader="none" w:pos="116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80" w:lineRule="exact"/>
        <w:rPr>
          <w:rFonts w:ascii="Times New Roman" w:cs="Times New Roman" w:eastAsia="Times New Roman" w:hAnsi="Times New Roman"/>
          <w:sz w:val="19"/>
          <w:szCs w:val="19"/>
          <w:color w:val="auto"/>
        </w:rPr>
      </w:pPr>
    </w:p>
    <w:p>
      <w:pPr>
        <w:ind w:left="-100" w:right="180" w:firstLine="558"/>
        <w:spacing w:after="0" w:line="259" w:lineRule="auto"/>
        <w:tabs>
          <w:tab w:leader="none" w:pos="116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Agreement may be amended or modified only by a written instrument signed by you and by a duly authorized representative of the Company.</w:t>
      </w:r>
    </w:p>
    <w:p>
      <w:pPr>
        <w:spacing w:after="0" w:line="162" w:lineRule="exact"/>
        <w:rPr>
          <w:rFonts w:ascii="Times New Roman" w:cs="Times New Roman" w:eastAsia="Times New Roman" w:hAnsi="Times New Roman"/>
          <w:sz w:val="19"/>
          <w:szCs w:val="19"/>
          <w:color w:val="auto"/>
        </w:rPr>
      </w:pPr>
    </w:p>
    <w:p>
      <w:pPr>
        <w:ind w:left="-100" w:firstLine="558"/>
        <w:spacing w:after="0" w:line="236" w:lineRule="auto"/>
        <w:tabs>
          <w:tab w:leader="none" w:pos="116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on Other Plans and Agreements</w:t>
      </w:r>
      <w:r>
        <w:rPr>
          <w:rFonts w:ascii="Times New Roman" w:cs="Times New Roman" w:eastAsia="Times New Roman" w:hAnsi="Times New Roman"/>
          <w:sz w:val="19"/>
          <w:szCs w:val="19"/>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29210</wp:posOffset>
            </wp:positionV>
            <wp:extent cx="7150100"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060"/>
          </w:cols>
          <w:pgMar w:left="420" w:top="116" w:right="419" w:bottom="1440" w:gutter="0" w:footer="0" w:header="0"/>
        </w:sectPr>
      </w:pPr>
    </w:p>
    <w:bookmarkStart w:id="159" w:name="page160"/>
    <w:bookmarkEnd w:id="159"/>
    <w:p>
      <w:pPr>
        <w:jc w:val="both"/>
        <w:ind w:left="-40" w:right="220" w:firstLine="558"/>
        <w:spacing w:after="0" w:line="241" w:lineRule="auto"/>
        <w:tabs>
          <w:tab w:leader="none" w:pos="1228"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0" w:lineRule="exact"/>
        <w:rPr>
          <w:rFonts w:ascii="Times New Roman" w:cs="Times New Roman" w:eastAsia="Times New Roman" w:hAnsi="Times New Roman"/>
          <w:sz w:val="19"/>
          <w:szCs w:val="19"/>
          <w:color w:val="auto"/>
        </w:rPr>
      </w:pPr>
    </w:p>
    <w:p>
      <w:pPr>
        <w:ind w:left="-40" w:firstLine="558"/>
        <w:spacing w:after="0" w:line="259" w:lineRule="auto"/>
        <w:tabs>
          <w:tab w:leader="none" w:pos="1228"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counterparts, each of which when so executed and delivered shall be taken to be an original; but such counterparts shall together constitute one and the same document.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effective on the Effective Date.</w:t>
      </w: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By:  /s/John D.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20320</wp:posOffset>
            </wp:positionV>
            <wp:extent cx="3355340"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207" w:lineRule="exact"/>
        <w:rPr>
          <w:sz w:val="20"/>
          <w:szCs w:val="20"/>
          <w:color w:val="auto"/>
        </w:rPr>
      </w:pPr>
    </w:p>
    <w:p>
      <w:pPr>
        <w:ind w:left="5580"/>
        <w:spacing w:after="0"/>
        <w:tabs>
          <w:tab w:leader="none" w:pos="592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20320</wp:posOffset>
            </wp:positionV>
            <wp:extent cx="3355340"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/s/Joanne Bryce,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10795</wp:posOffset>
            </wp:positionV>
            <wp:extent cx="3571240"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Joanne Bryce, CPA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60" w:top="116" w:right="37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347980</wp:posOffset>
            </wp:positionV>
            <wp:extent cx="715010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10.8</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08" w:lineRule="exact"/>
        <w:rPr>
          <w:sz w:val="20"/>
          <w:szCs w:val="20"/>
          <w:color w:val="auto"/>
        </w:rPr>
      </w:pPr>
    </w:p>
    <w:p>
      <w:pPr>
        <w:ind w:right="60" w:firstLine="564"/>
        <w:spacing w:after="0" w:line="237" w:lineRule="auto"/>
        <w:rPr>
          <w:sz w:val="20"/>
          <w:szCs w:val="20"/>
          <w:color w:val="auto"/>
        </w:rPr>
      </w:pPr>
      <w:r>
        <w:rPr>
          <w:rFonts w:ascii="Times New Roman" w:cs="Times New Roman" w:eastAsia="Times New Roman" w:hAnsi="Times New Roman"/>
          <w:sz w:val="19"/>
          <w:szCs w:val="19"/>
          <w:color w:val="auto"/>
        </w:rPr>
        <w:t>This Employment Agreement (“Agreement”) is made between Disc Medicine, Inc. (formerly Gemini Therapeutics, Inc.), (the “Company”), and William Savage, MD, Ph.D. (the “You”) and is effective as of the closing of the proposed business combination among the Company, Disc Medicine Opco, Inc. (formerly Disc Medicine, Inc.) and Gemstone Merger Sub, Inc. pursuant to that certain Agreement and Plan of Merger, dated as of August 9, 2022 (the “Effective Date”). Except with respect to the Restrictive Covenants Agreement and the Equity Documents (each as defined below), this Agreement supersedes in all respects all prior agreements between you and Disc Medicine, Inc., predecessor in interest to the Company, regarding the subject matter herein, including without limitation the offer letter between you and Disc Medicine, Inc. dated June 28, 2020, as amended on July 1, 2021 (the “Prior Agreement”).</w:t>
      </w:r>
    </w:p>
    <w:p>
      <w:pPr>
        <w:spacing w:after="0" w:line="181" w:lineRule="exact"/>
        <w:rPr>
          <w:sz w:val="20"/>
          <w:szCs w:val="20"/>
          <w:color w:val="auto"/>
        </w:rPr>
      </w:pPr>
    </w:p>
    <w:p>
      <w:pPr>
        <w:ind w:right="240" w:firstLine="564"/>
        <w:spacing w:after="0" w:line="259" w:lineRule="auto"/>
        <w:rPr>
          <w:sz w:val="20"/>
          <w:szCs w:val="20"/>
          <w:color w:val="auto"/>
        </w:rPr>
      </w:pPr>
      <w:r>
        <w:rPr>
          <w:rFonts w:ascii="Times New Roman" w:cs="Times New Roman" w:eastAsia="Times New Roman" w:hAnsi="Times New Roman"/>
          <w:sz w:val="19"/>
          <w:szCs w:val="19"/>
          <w:color w:val="auto"/>
        </w:rPr>
        <w:t>WHEREAS, the Company desires to continue to employ you and you desire to continue to be employed by the Company on the new terms and conditions contained herein.</w:t>
      </w:r>
    </w:p>
    <w:p>
      <w:pPr>
        <w:spacing w:after="0" w:line="162" w:lineRule="exact"/>
        <w:rPr>
          <w:sz w:val="20"/>
          <w:szCs w:val="20"/>
          <w:color w:val="auto"/>
        </w:rPr>
      </w:pPr>
    </w:p>
    <w:p>
      <w:pPr>
        <w:ind w:right="140" w:firstLine="564"/>
        <w:spacing w:after="0" w:line="259"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162" w:name="page163"/>
    <w:bookmarkEnd w:id="162"/>
    <w:p>
      <w:pPr>
        <w:ind w:left="1160" w:hanging="602"/>
        <w:spacing w:after="0"/>
        <w:tabs>
          <w:tab w:leader="none" w:pos="116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1"/>
        <w:spacing w:after="0" w:line="241" w:lineRule="auto"/>
        <w:tabs>
          <w:tab w:leader="none" w:pos="1805"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9"/>
          <w:szCs w:val="19"/>
          <w:color w:val="auto"/>
        </w:rPr>
      </w:pPr>
    </w:p>
    <w:p>
      <w:pPr>
        <w:ind w:right="20" w:firstLine="1121"/>
        <w:spacing w:after="0" w:line="250" w:lineRule="auto"/>
        <w:tabs>
          <w:tab w:leader="none" w:pos="181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Medical Officer of the Company and shall report directly to the Chief Executive Officer (“CEO”). You shall have such powers and duties as may from time to time be prescribed by the CEO or other duly authorized executive which are consistent with your position as General Counsel. You shall devote your full working time and efforts to the business and affairs of the 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3" w:name="page164"/>
    <w:bookmarkEnd w:id="163"/>
    <w:p>
      <w:pPr>
        <w:ind w:left="1140" w:hanging="602"/>
        <w:spacing w:after="0"/>
        <w:tabs>
          <w:tab w:leader="none" w:pos="114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and Related Matters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20" w:firstLine="1121"/>
        <w:spacing w:after="0" w:line="239" w:lineRule="auto"/>
        <w:tabs>
          <w:tab w:leader="none" w:pos="1785"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Your initial base salary shall be paid at the rate of $458,000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0" w:lineRule="exact"/>
        <w:rPr>
          <w:rFonts w:ascii="Times New Roman" w:cs="Times New Roman" w:eastAsia="Times New Roman" w:hAnsi="Times New Roman"/>
          <w:sz w:val="19"/>
          <w:szCs w:val="19"/>
          <w:color w:val="auto"/>
        </w:rPr>
      </w:pPr>
    </w:p>
    <w:p>
      <w:pPr>
        <w:ind w:left="-20" w:right="80" w:firstLine="1121"/>
        <w:spacing w:after="0" w:line="237" w:lineRule="auto"/>
        <w:tabs>
          <w:tab w:leader="none" w:pos="1796"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Compensation</w:t>
      </w:r>
      <w:r>
        <w:rPr>
          <w:rFonts w:ascii="Times New Roman" w:cs="Times New Roman" w:eastAsia="Times New Roman" w:hAnsi="Times New Roman"/>
          <w:sz w:val="19"/>
          <w:szCs w:val="19"/>
          <w:color w:val="auto"/>
        </w:rPr>
        <w:t>. You shall be eligible to receive cash incentive compensation as determined by the Board or the Compensation Committee from time to time. Your target annual incentive 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180" w:lineRule="exact"/>
        <w:rPr>
          <w:rFonts w:ascii="Times New Roman" w:cs="Times New Roman" w:eastAsia="Times New Roman" w:hAnsi="Times New Roman"/>
          <w:sz w:val="19"/>
          <w:szCs w:val="19"/>
          <w:color w:val="auto"/>
        </w:rPr>
      </w:pPr>
    </w:p>
    <w:p>
      <w:pPr>
        <w:ind w:left="-20" w:right="380" w:firstLine="1121"/>
        <w:spacing w:after="0" w:line="245" w:lineRule="auto"/>
        <w:tabs>
          <w:tab w:leader="none" w:pos="1785"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64" w:name="page165"/>
    <w:bookmarkEnd w:id="164"/>
    <w:p>
      <w:pPr>
        <w:ind w:right="280" w:firstLine="1121"/>
        <w:spacing w:after="0" w:line="260" w:lineRule="auto"/>
        <w:tabs>
          <w:tab w:leader="none" w:pos="1816"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Benefits</w:t>
      </w:r>
      <w:r>
        <w:rPr>
          <w:rFonts w:ascii="Times New Roman" w:cs="Times New Roman" w:eastAsia="Times New Roman" w:hAnsi="Times New Roman"/>
          <w:sz w:val="19"/>
          <w:szCs w:val="19"/>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9"/>
          <w:szCs w:val="19"/>
          <w:color w:val="auto"/>
        </w:rPr>
      </w:pPr>
    </w:p>
    <w:p>
      <w:pPr>
        <w:ind w:right="40" w:firstLine="1121"/>
        <w:spacing w:after="0" w:line="287" w:lineRule="auto"/>
        <w:tabs>
          <w:tab w:leader="none" w:pos="180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39" w:lineRule="exact"/>
        <w:rPr>
          <w:rFonts w:ascii="Times New Roman" w:cs="Times New Roman" w:eastAsia="Times New Roman" w:hAnsi="Times New Roman"/>
          <w:sz w:val="18"/>
          <w:szCs w:val="18"/>
          <w:color w:val="auto"/>
        </w:rPr>
      </w:pPr>
    </w:p>
    <w:p>
      <w:pPr>
        <w:ind w:firstLine="1121"/>
        <w:spacing w:after="0" w:line="239" w:lineRule="auto"/>
        <w:tabs>
          <w:tab w:leader="none" w:pos="1784"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w:t>
      </w:r>
      <w:r>
        <w:rPr>
          <w:rFonts w:ascii="Times New Roman" w:cs="Times New Roman" w:eastAsia="Times New Roman" w:hAnsi="Times New Roman"/>
          <w:sz w:val="19"/>
          <w:szCs w:val="19"/>
          <w:color w:val="auto"/>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0"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Your employment hereunder may be terminated without any breach of this Agreement under the following</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circumstances:</w:t>
      </w:r>
    </w:p>
    <w:p>
      <w:pPr>
        <w:spacing w:after="0" w:line="184" w:lineRule="exact"/>
        <w:rPr>
          <w:rFonts w:ascii="Times New Roman" w:cs="Times New Roman" w:eastAsia="Times New Roman" w:hAnsi="Times New Roman"/>
          <w:sz w:val="19"/>
          <w:szCs w:val="19"/>
          <w:color w:val="auto"/>
        </w:rPr>
      </w:pPr>
    </w:p>
    <w:p>
      <w:pPr>
        <w:ind w:left="1800" w:hanging="679"/>
        <w:spacing w:after="0"/>
        <w:tabs>
          <w:tab w:leader="none" w:pos="180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Your employment hereunder shall terminate upon your death.</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165" w:name="page166"/>
    <w:bookmarkEnd w:id="165"/>
    <w:p>
      <w:pPr>
        <w:ind w:firstLine="1121"/>
        <w:spacing w:after="0" w:line="235" w:lineRule="auto"/>
        <w:tabs>
          <w:tab w:leader="none" w:pos="1816"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the Americans with Disabilities Act, 42 U.S.C. §12101</w:t>
      </w:r>
      <w:r>
        <w:rPr>
          <w:rFonts w:ascii="Times New Roman" w:cs="Times New Roman" w:eastAsia="Times New Roman" w:hAnsi="Times New Roman"/>
          <w:sz w:val="19"/>
          <w:szCs w:val="19"/>
          <w:i w:val="1"/>
          <w:iCs w:val="1"/>
          <w:color w:val="auto"/>
        </w:rPr>
        <w:t xml:space="preserve"> et seq.</w:t>
      </w:r>
    </w:p>
    <w:p>
      <w:pPr>
        <w:spacing w:after="0" w:line="184" w:lineRule="exact"/>
        <w:rPr>
          <w:rFonts w:ascii="Times New Roman" w:cs="Times New Roman" w:eastAsia="Times New Roman" w:hAnsi="Times New Roman"/>
          <w:sz w:val="19"/>
          <w:szCs w:val="19"/>
          <w:color w:val="auto"/>
        </w:rPr>
      </w:pPr>
    </w:p>
    <w:p>
      <w:pPr>
        <w:ind w:right="160" w:firstLine="1121"/>
        <w:spacing w:after="0" w:line="259" w:lineRule="auto"/>
        <w:tabs>
          <w:tab w:leader="none" w:pos="1805"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Company for Cause</w:t>
      </w:r>
      <w:r>
        <w:rPr>
          <w:rFonts w:ascii="Times New Roman" w:cs="Times New Roman" w:eastAsia="Times New Roman" w:hAnsi="Times New Roman"/>
          <w:sz w:val="19"/>
          <w:szCs w:val="19"/>
          <w:color w:val="auto"/>
        </w:rPr>
        <w:t>. The Company may terminate your employment hereunder for Cause. For purposes of this Agreement, “Cause” shall mean any of the following:</w:t>
      </w:r>
    </w:p>
    <w:p>
      <w:pPr>
        <w:spacing w:after="0" w:line="162" w:lineRule="exact"/>
        <w:rPr>
          <w:rFonts w:ascii="Times New Roman" w:cs="Times New Roman" w:eastAsia="Times New Roman" w:hAnsi="Times New Roman"/>
          <w:sz w:val="19"/>
          <w:szCs w:val="19"/>
          <w:color w:val="auto"/>
        </w:rPr>
      </w:pPr>
    </w:p>
    <w:p>
      <w:pPr>
        <w:ind w:right="40" w:firstLine="1685"/>
        <w:spacing w:after="0" w:line="259" w:lineRule="auto"/>
        <w:tabs>
          <w:tab w:leader="none" w:pos="233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66" w:name="page167"/>
    <w:bookmarkEnd w:id="166"/>
    <w:p>
      <w:pPr>
        <w:ind w:left="2380" w:hanging="695"/>
        <w:spacing w:after="0"/>
        <w:tabs>
          <w:tab w:leader="none" w:pos="238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commission by you of (A) any felony or (B) a misdemeanor involving moral turpitude, deceit, dishonesty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fraud;</w:t>
      </w:r>
    </w:p>
    <w:p>
      <w:pPr>
        <w:spacing w:after="0" w:line="184" w:lineRule="exact"/>
        <w:rPr>
          <w:sz w:val="20"/>
          <w:szCs w:val="20"/>
          <w:color w:val="auto"/>
        </w:rPr>
      </w:pPr>
    </w:p>
    <w:p>
      <w:pPr>
        <w:ind w:right="260" w:firstLine="1685"/>
        <w:spacing w:after="0" w:line="245" w:lineRule="auto"/>
        <w:tabs>
          <w:tab w:leader="none" w:pos="244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76" w:lineRule="exact"/>
        <w:rPr>
          <w:rFonts w:ascii="Times New Roman" w:cs="Times New Roman" w:eastAsia="Times New Roman" w:hAnsi="Times New Roman"/>
          <w:sz w:val="19"/>
          <w:szCs w:val="19"/>
          <w:color w:val="auto"/>
        </w:rPr>
      </w:pPr>
    </w:p>
    <w:p>
      <w:pPr>
        <w:ind w:firstLine="1685"/>
        <w:spacing w:after="0" w:line="287" w:lineRule="auto"/>
        <w:tabs>
          <w:tab w:leader="none" w:pos="243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39" w:lineRule="exact"/>
        <w:rPr>
          <w:rFonts w:ascii="Times New Roman" w:cs="Times New Roman" w:eastAsia="Times New Roman" w:hAnsi="Times New Roman"/>
          <w:sz w:val="18"/>
          <w:szCs w:val="18"/>
          <w:color w:val="auto"/>
        </w:rPr>
      </w:pPr>
    </w:p>
    <w:p>
      <w:pPr>
        <w:ind w:right="540" w:firstLine="1685"/>
        <w:spacing w:after="0" w:line="245" w:lineRule="auto"/>
        <w:tabs>
          <w:tab w:leader="none" w:pos="2379"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176" w:lineRule="exact"/>
        <w:rPr>
          <w:rFonts w:ascii="Times New Roman" w:cs="Times New Roman" w:eastAsia="Times New Roman" w:hAnsi="Times New Roman"/>
          <w:sz w:val="19"/>
          <w:szCs w:val="19"/>
          <w:color w:val="auto"/>
        </w:rPr>
      </w:pPr>
    </w:p>
    <w:p>
      <w:pPr>
        <w:ind w:right="120" w:firstLine="1685"/>
        <w:spacing w:after="0" w:line="241" w:lineRule="auto"/>
        <w:tabs>
          <w:tab w:leader="none" w:pos="243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67" w:name="page168"/>
    <w:bookmarkEnd w:id="167"/>
    <w:p>
      <w:pPr>
        <w:ind w:left="-20" w:firstLine="1121"/>
        <w:spacing w:after="0" w:line="246" w:lineRule="auto"/>
        <w:tabs>
          <w:tab w:leader="none" w:pos="1796"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the Company without Cause</w:t>
      </w:r>
      <w:r>
        <w:rPr>
          <w:rFonts w:ascii="Times New Roman" w:cs="Times New Roman" w:eastAsia="Times New Roman" w:hAnsi="Times New Roman"/>
          <w:sz w:val="19"/>
          <w:szCs w:val="19"/>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4" w:lineRule="exact"/>
        <w:rPr>
          <w:rFonts w:ascii="Times New Roman" w:cs="Times New Roman" w:eastAsia="Times New Roman" w:hAnsi="Times New Roman"/>
          <w:sz w:val="19"/>
          <w:szCs w:val="19"/>
          <w:color w:val="auto"/>
        </w:rPr>
      </w:pPr>
    </w:p>
    <w:p>
      <w:pPr>
        <w:ind w:left="-20" w:right="380" w:firstLine="1121"/>
        <w:spacing w:after="0" w:line="266" w:lineRule="auto"/>
        <w:tabs>
          <w:tab w:leader="none" w:pos="178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57" w:lineRule="exact"/>
        <w:rPr>
          <w:rFonts w:ascii="Times New Roman" w:cs="Times New Roman" w:eastAsia="Times New Roman" w:hAnsi="Times New Roman"/>
          <w:sz w:val="18"/>
          <w:szCs w:val="18"/>
          <w:color w:val="auto"/>
        </w:rPr>
      </w:pPr>
    </w:p>
    <w:p>
      <w:pPr>
        <w:ind w:left="2320" w:hanging="655"/>
        <w:spacing w:after="0"/>
        <w:tabs>
          <w:tab w:leader="none" w:pos="2320"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your responsibilities, authority or duties</w:t>
      </w:r>
    </w:p>
    <w:p>
      <w:pPr>
        <w:spacing w:after="0" w:line="204" w:lineRule="exact"/>
        <w:rPr>
          <w:rFonts w:ascii="Times New Roman" w:cs="Times New Roman" w:eastAsia="Times New Roman" w:hAnsi="Times New Roman"/>
          <w:sz w:val="19"/>
          <w:szCs w:val="19"/>
          <w:color w:val="auto"/>
        </w:rPr>
      </w:pPr>
    </w:p>
    <w:p>
      <w:pPr>
        <w:ind w:left="540" w:right="40" w:firstLine="1125"/>
        <w:spacing w:after="0" w:line="259" w:lineRule="auto"/>
        <w:tabs>
          <w:tab w:leader="none" w:pos="2366"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your Base Salary except for across-the-board salary reductions of no greater than 10% based on the Company’s financial performance similarly affecting all or substantially all senior management employees of the Company;</w:t>
      </w:r>
    </w:p>
    <w:p>
      <w:pPr>
        <w:spacing w:after="0" w:line="162" w:lineRule="exact"/>
        <w:rPr>
          <w:rFonts w:ascii="Times New Roman" w:cs="Times New Roman" w:eastAsia="Times New Roman" w:hAnsi="Times New Roman"/>
          <w:sz w:val="19"/>
          <w:szCs w:val="19"/>
          <w:color w:val="auto"/>
        </w:rPr>
      </w:pPr>
    </w:p>
    <w:p>
      <w:pPr>
        <w:ind w:left="540" w:right="360" w:firstLine="1125"/>
        <w:spacing w:after="0" w:line="259" w:lineRule="auto"/>
        <w:tabs>
          <w:tab w:leader="none" w:pos="2419"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change of at least thirty (30) miles of the location of the physical Company office to which you report (which to avoid doubt does not include any home office you may have); or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6" w:right="339" w:bottom="1440" w:gutter="0" w:footer="0" w:header="0"/>
        </w:sectPr>
      </w:pPr>
    </w:p>
    <w:bookmarkStart w:id="168" w:name="page169"/>
    <w:bookmarkEnd w:id="168"/>
    <w:p>
      <w:pPr>
        <w:ind w:left="2420" w:hanging="735"/>
        <w:spacing w:after="0"/>
        <w:tabs>
          <w:tab w:leader="none" w:pos="242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by the Company of the material terms of this Agreement or any other written agreement between the</w:t>
      </w:r>
    </w:p>
    <w:p>
      <w:pPr>
        <w:spacing w:after="0" w:line="13"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and you.</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40" w:hanging="655"/>
        <w:spacing w:after="0"/>
        <w:tabs>
          <w:tab w:leader="none" w:pos="234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reasonably determine in good faith that a Good Reason Condition has occurred;</w:t>
      </w:r>
    </w:p>
    <w:p>
      <w:pPr>
        <w:spacing w:after="0" w:line="204" w:lineRule="exact"/>
        <w:rPr>
          <w:rFonts w:ascii="Times New Roman" w:cs="Times New Roman" w:eastAsia="Times New Roman" w:hAnsi="Times New Roman"/>
          <w:sz w:val="19"/>
          <w:szCs w:val="19"/>
          <w:color w:val="auto"/>
        </w:rPr>
      </w:pPr>
    </w:p>
    <w:p>
      <w:pPr>
        <w:ind w:left="560" w:right="40" w:firstLine="1125"/>
        <w:spacing w:after="0" w:line="259" w:lineRule="auto"/>
        <w:tabs>
          <w:tab w:leader="none" w:pos="2386"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notify the Company in writing of the first occurrence of the Good Reason Condition within 60 days of the first occurrence of such condition;</w:t>
      </w:r>
    </w:p>
    <w:p>
      <w:pPr>
        <w:spacing w:after="0" w:line="162" w:lineRule="exact"/>
        <w:rPr>
          <w:rFonts w:ascii="Times New Roman" w:cs="Times New Roman" w:eastAsia="Times New Roman" w:hAnsi="Times New Roman"/>
          <w:sz w:val="19"/>
          <w:szCs w:val="19"/>
          <w:color w:val="auto"/>
        </w:rPr>
      </w:pPr>
    </w:p>
    <w:p>
      <w:pPr>
        <w:ind w:left="560" w:firstLine="1125"/>
        <w:spacing w:after="0" w:line="259" w:lineRule="auto"/>
        <w:tabs>
          <w:tab w:leader="none" w:pos="2439"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cooperate in good faith with the Company’s efforts, for a period of not less than 30 days following such notice (the “Cure Period”), to remedy the Good Reason Condition;</w:t>
      </w:r>
    </w:p>
    <w:p>
      <w:pPr>
        <w:spacing w:after="0" w:line="162" w:lineRule="exact"/>
        <w:rPr>
          <w:rFonts w:ascii="Times New Roman" w:cs="Times New Roman" w:eastAsia="Times New Roman" w:hAnsi="Times New Roman"/>
          <w:sz w:val="19"/>
          <w:szCs w:val="19"/>
          <w:color w:val="auto"/>
        </w:rPr>
      </w:pPr>
    </w:p>
    <w:p>
      <w:pPr>
        <w:ind w:left="2420" w:hanging="735"/>
        <w:spacing w:after="0"/>
        <w:tabs>
          <w:tab w:leader="none" w:pos="242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such Cure Period, the Good Reason Condition continues to exist; and</w:t>
      </w:r>
    </w:p>
    <w:p>
      <w:pPr>
        <w:spacing w:after="0" w:line="204" w:lineRule="exact"/>
        <w:rPr>
          <w:rFonts w:ascii="Times New Roman" w:cs="Times New Roman" w:eastAsia="Times New Roman" w:hAnsi="Times New Roman"/>
          <w:sz w:val="19"/>
          <w:szCs w:val="19"/>
          <w:color w:val="auto"/>
        </w:rPr>
      </w:pPr>
    </w:p>
    <w:p>
      <w:pPr>
        <w:ind w:left="2380" w:hanging="695"/>
        <w:spacing w:after="0"/>
        <w:tabs>
          <w:tab w:leader="none" w:pos="238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terminate employment within 60 days after the end of the Cure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the Company cures the Good Reason Condition during the Cure Period, Good Reason shall be deemed not to have occurred.</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060"/>
          </w:cols>
          <w:pgMar w:left="320" w:top="116" w:right="519" w:bottom="1440" w:gutter="0" w:footer="0" w:header="0"/>
        </w:sectPr>
      </w:pPr>
    </w:p>
    <w:bookmarkStart w:id="169" w:name="page170"/>
    <w:bookmarkEnd w:id="169"/>
    <w:p>
      <w:pPr>
        <w:ind w:left="6"/>
        <w:spacing w:after="0" w:line="236" w:lineRule="auto"/>
        <w:rPr>
          <w:sz w:val="20"/>
          <w:szCs w:val="20"/>
          <w:color w:val="auto"/>
        </w:rPr>
      </w:pPr>
      <w:r>
        <w:rPr>
          <w:rFonts w:ascii="Times New Roman" w:cs="Times New Roman" w:eastAsia="Times New Roman" w:hAnsi="Times New Roman"/>
          <w:sz w:val="19"/>
          <w:szCs w:val="19"/>
          <w:color w:val="auto"/>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spacing w:after="0" w:line="184" w:lineRule="exact"/>
        <w:rPr>
          <w:sz w:val="20"/>
          <w:szCs w:val="20"/>
          <w:color w:val="auto"/>
        </w:rPr>
      </w:pPr>
    </w:p>
    <w:p>
      <w:pPr>
        <w:ind w:left="1166" w:hanging="602"/>
        <w:spacing w:after="0"/>
        <w:tabs>
          <w:tab w:leader="none" w:pos="1166"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and Date of Termination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6" w:right="320" w:firstLine="1121"/>
        <w:spacing w:after="0" w:line="266" w:lineRule="auto"/>
        <w:tabs>
          <w:tab w:leader="none" w:pos="1811"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57" w:lineRule="exact"/>
        <w:rPr>
          <w:rFonts w:ascii="Times New Roman" w:cs="Times New Roman" w:eastAsia="Times New Roman" w:hAnsi="Times New Roman"/>
          <w:sz w:val="18"/>
          <w:szCs w:val="18"/>
          <w:color w:val="auto"/>
        </w:rPr>
      </w:pPr>
    </w:p>
    <w:p>
      <w:pPr>
        <w:ind w:left="1806" w:hanging="679"/>
        <w:spacing w:after="0"/>
        <w:tabs>
          <w:tab w:leader="none" w:pos="1806"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Date of Termination</w:t>
      </w:r>
      <w:r>
        <w:rPr>
          <w:rFonts w:ascii="Times New Roman" w:cs="Times New Roman" w:eastAsia="Times New Roman" w:hAnsi="Times New Roman"/>
          <w:sz w:val="19"/>
          <w:szCs w:val="19"/>
          <w:color w:val="auto"/>
        </w:rPr>
        <w:t>. “Date of Termination” shall mean: (i) if your employment is terminated by death, the date of death;</w:t>
      </w:r>
    </w:p>
    <w:p>
      <w:pPr>
        <w:spacing w:after="0" w:line="12" w:lineRule="exact"/>
        <w:rPr>
          <w:rFonts w:ascii="Times New Roman" w:cs="Times New Roman" w:eastAsia="Times New Roman" w:hAnsi="Times New Roman"/>
          <w:sz w:val="19"/>
          <w:szCs w:val="19"/>
          <w:color w:val="auto"/>
        </w:rPr>
      </w:pPr>
    </w:p>
    <w:p>
      <w:pPr>
        <w:ind w:left="6" w:right="20" w:hanging="6"/>
        <w:spacing w:after="0" w:line="233" w:lineRule="auto"/>
        <w:tabs>
          <w:tab w:leader="none" w:pos="282"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3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6" w:right="339" w:bottom="1440" w:gutter="0" w:footer="0" w:header="0"/>
        </w:sectPr>
      </w:pPr>
    </w:p>
    <w:bookmarkStart w:id="170" w:name="page171"/>
    <w:bookmarkEnd w:id="170"/>
    <w:p>
      <w:pPr>
        <w:ind w:right="120" w:firstLine="558"/>
        <w:spacing w:after="0" w:line="235" w:lineRule="auto"/>
        <w:tabs>
          <w:tab w:leader="none" w:pos="1174"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9"/>
          <w:szCs w:val="19"/>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86" w:lineRule="exact"/>
        <w:rPr>
          <w:rFonts w:ascii="Times New Roman" w:cs="Times New Roman" w:eastAsia="Times New Roman" w:hAnsi="Times New Roman"/>
          <w:sz w:val="19"/>
          <w:szCs w:val="19"/>
          <w:color w:val="auto"/>
        </w:rPr>
      </w:pPr>
    </w:p>
    <w:p>
      <w:pPr>
        <w:ind w:firstLine="1121"/>
        <w:spacing w:after="0" w:line="241" w:lineRule="auto"/>
        <w:tabs>
          <w:tab w:leader="none" w:pos="1805"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you an amount equal to 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1" w:name="page172"/>
    <w:bookmarkEnd w:id="171"/>
    <w:p>
      <w:pPr>
        <w:ind w:right="60" w:firstLine="1121"/>
        <w:spacing w:after="0" w:line="246" w:lineRule="auto"/>
        <w:tabs>
          <w:tab w:leader="none" w:pos="181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spacing w:after="0" w:line="174" w:lineRule="exact"/>
        <w:rPr>
          <w:rFonts w:ascii="Times New Roman" w:cs="Times New Roman" w:eastAsia="Times New Roman" w:hAnsi="Times New Roman"/>
          <w:sz w:val="19"/>
          <w:szCs w:val="19"/>
          <w:color w:val="auto"/>
        </w:rPr>
      </w:pPr>
    </w:p>
    <w:p>
      <w:pPr>
        <w:ind w:firstLine="1121"/>
        <w:spacing w:after="0" w:line="236" w:lineRule="auto"/>
        <w:tabs>
          <w:tab w:leader="none" w:pos="1805"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0"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9"/>
          <w:szCs w:val="19"/>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72" w:name="page173"/>
    <w:bookmarkEnd w:id="172"/>
    <w:p>
      <w:pPr>
        <w:ind w:left="-60" w:firstLine="558"/>
        <w:spacing w:after="0" w:line="238" w:lineRule="auto"/>
        <w:tabs>
          <w:tab w:leader="none" w:pos="111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9"/>
          <w:szCs w:val="19"/>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80" w:lineRule="exact"/>
        <w:rPr>
          <w:rFonts w:ascii="Times New Roman" w:cs="Times New Roman" w:eastAsia="Times New Roman" w:hAnsi="Times New Roman"/>
          <w:sz w:val="19"/>
          <w:szCs w:val="19"/>
          <w:color w:val="auto"/>
        </w:rPr>
      </w:pPr>
    </w:p>
    <w:p>
      <w:pPr>
        <w:ind w:left="-60" w:right="80" w:firstLine="1121"/>
        <w:spacing w:after="0" w:line="239" w:lineRule="auto"/>
        <w:tabs>
          <w:tab w:leader="none" w:pos="1745"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your employment is terminated by the Company without Cause as provided in Section 3(d) or you terminate employment for Good Reason as provided in Section 3(e) and in each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29210</wp:posOffset>
            </wp:positionV>
            <wp:extent cx="7150100"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20"/>
          </w:cols>
          <w:pgMar w:left="380" w:top="116" w:right="399" w:bottom="1440" w:gutter="0" w:footer="0" w:header="0"/>
        </w:sectPr>
      </w:pPr>
    </w:p>
    <w:bookmarkStart w:id="173" w:name="page174"/>
    <w:bookmarkEnd w:id="173"/>
    <w:p>
      <w:pPr>
        <w:ind w:firstLine="1125"/>
        <w:spacing w:after="0" w:line="238" w:lineRule="auto"/>
        <w:tabs>
          <w:tab w:leader="none" w:pos="177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you a lump sum in cash in an amount equal to the sum of (A)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0" w:lineRule="exact"/>
        <w:rPr>
          <w:rFonts w:ascii="Times New Roman" w:cs="Times New Roman" w:eastAsia="Times New Roman" w:hAnsi="Times New Roman"/>
          <w:sz w:val="19"/>
          <w:szCs w:val="19"/>
          <w:color w:val="auto"/>
        </w:rPr>
      </w:pPr>
    </w:p>
    <w:p>
      <w:pPr>
        <w:ind w:right="40" w:firstLine="1125"/>
        <w:spacing w:after="0" w:line="236" w:lineRule="auto"/>
        <w:tabs>
          <w:tab w:leader="none" w:pos="182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33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6" w:right="339" w:bottom="1440" w:gutter="0" w:footer="0" w:header="0"/>
        </w:sectPr>
      </w:pPr>
    </w:p>
    <w:bookmarkStart w:id="174" w:name="page175"/>
    <w:bookmarkEnd w:id="174"/>
    <w:p>
      <w:pPr>
        <w:ind w:left="560" w:right="20" w:firstLine="1125"/>
        <w:spacing w:after="0" w:line="236" w:lineRule="auto"/>
        <w:tabs>
          <w:tab w:leader="none" w:pos="2439"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75" w:name="page176"/>
    <w:bookmarkEnd w:id="175"/>
    <w:p>
      <w:pPr>
        <w:ind w:left="1240" w:hanging="679"/>
        <w:spacing w:after="0"/>
        <w:tabs>
          <w:tab w:leader="none" w:pos="124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Limitation</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5"/>
        <w:spacing w:after="0" w:line="234" w:lineRule="auto"/>
        <w:tabs>
          <w:tab w:leader="none" w:pos="1764"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34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6" w:right="339" w:bottom="1440" w:gutter="0" w:footer="0" w:header="0"/>
        </w:sectPr>
      </w:pPr>
    </w:p>
    <w:bookmarkStart w:id="176" w:name="page177"/>
    <w:bookmarkEnd w:id="176"/>
    <w:p>
      <w:pPr>
        <w:ind w:right="160" w:firstLine="1125"/>
        <w:spacing w:after="0" w:line="238" w:lineRule="auto"/>
        <w:tabs>
          <w:tab w:leader="none" w:pos="1826"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0" w:lineRule="exact"/>
        <w:rPr>
          <w:rFonts w:ascii="Times New Roman" w:cs="Times New Roman" w:eastAsia="Times New Roman" w:hAnsi="Times New Roman"/>
          <w:sz w:val="19"/>
          <w:szCs w:val="19"/>
          <w:color w:val="auto"/>
        </w:rPr>
      </w:pPr>
    </w:p>
    <w:p>
      <w:pPr>
        <w:jc w:val="both"/>
        <w:ind w:firstLine="1125"/>
        <w:spacing w:after="0" w:line="259" w:lineRule="auto"/>
        <w:tabs>
          <w:tab w:leader="none" w:pos="18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3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60"/>
          </w:cols>
          <w:pgMar w:left="880" w:top="116" w:right="359" w:bottom="1440" w:gutter="0" w:footer="0" w:header="0"/>
        </w:sectPr>
      </w:pPr>
    </w:p>
    <w:bookmarkStart w:id="177" w:name="page178"/>
    <w:bookmarkEnd w:id="177"/>
    <w:p>
      <w:pPr>
        <w:ind w:firstLine="1125"/>
        <w:spacing w:after="0" w:line="234" w:lineRule="auto"/>
        <w:tabs>
          <w:tab w:leader="none" w:pos="1868"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3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6" w:right="339" w:bottom="1440" w:gutter="0" w:footer="0" w:header="0"/>
        </w:sectPr>
      </w:pPr>
    </w:p>
    <w:bookmarkStart w:id="178" w:name="page179"/>
    <w:bookmarkEnd w:id="178"/>
    <w:p>
      <w:pPr>
        <w:ind w:left="1160" w:hanging="602"/>
        <w:spacing w:after="0"/>
        <w:tabs>
          <w:tab w:leader="none" w:pos="116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1121"/>
        <w:spacing w:after="0" w:line="236" w:lineRule="auto"/>
        <w:tabs>
          <w:tab w:leader="none" w:pos="1795"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9" w:lineRule="exact"/>
        <w:rPr>
          <w:rFonts w:ascii="Times New Roman" w:cs="Times New Roman" w:eastAsia="Times New Roman" w:hAnsi="Times New Roman"/>
          <w:sz w:val="19"/>
          <w:szCs w:val="19"/>
          <w:color w:val="auto"/>
        </w:rPr>
      </w:pPr>
    </w:p>
    <w:p>
      <w:pPr>
        <w:ind w:firstLine="1121"/>
        <w:spacing w:after="0" w:line="238" w:lineRule="auto"/>
        <w:tabs>
          <w:tab w:leader="none" w:pos="1805"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9" w:lineRule="exact"/>
        <w:rPr>
          <w:rFonts w:ascii="Times New Roman" w:cs="Times New Roman" w:eastAsia="Times New Roman" w:hAnsi="Times New Roman"/>
          <w:sz w:val="19"/>
          <w:szCs w:val="19"/>
          <w:color w:val="auto"/>
        </w:rPr>
      </w:pPr>
    </w:p>
    <w:p>
      <w:pPr>
        <w:ind w:firstLine="1121"/>
        <w:spacing w:after="0" w:line="227" w:lineRule="exact"/>
        <w:tabs>
          <w:tab w:leader="none" w:pos="1802"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1(h).</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9" w:name="page180"/>
    <w:bookmarkEnd w:id="179"/>
    <w:p>
      <w:pPr>
        <w:ind w:left="-20" w:firstLine="1121"/>
        <w:spacing w:after="0" w:line="219" w:lineRule="exact"/>
        <w:tabs>
          <w:tab w:leader="none" w:pos="1792"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1" w:lineRule="exact"/>
        <w:rPr>
          <w:rFonts w:ascii="Times New Roman" w:cs="Times New Roman" w:eastAsia="Times New Roman" w:hAnsi="Times New Roman"/>
          <w:sz w:val="19"/>
          <w:szCs w:val="19"/>
          <w:color w:val="auto"/>
        </w:rPr>
      </w:pPr>
    </w:p>
    <w:p>
      <w:pPr>
        <w:jc w:val="both"/>
        <w:ind w:left="-20" w:right="60" w:firstLine="1121"/>
        <w:spacing w:after="0" w:line="245" w:lineRule="auto"/>
        <w:tabs>
          <w:tab w:leader="none" w:pos="1782"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6" w:lineRule="exact"/>
        <w:rPr>
          <w:rFonts w:ascii="Times New Roman" w:cs="Times New Roman" w:eastAsia="Times New Roman" w:hAnsi="Times New Roman"/>
          <w:sz w:val="19"/>
          <w:szCs w:val="19"/>
          <w:color w:val="auto"/>
        </w:rPr>
      </w:pPr>
    </w:p>
    <w:p>
      <w:pPr>
        <w:ind w:left="1140" w:hanging="602"/>
        <w:spacing w:after="0"/>
        <w:tabs>
          <w:tab w:leader="none" w:pos="114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Obligations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20" w:right="180" w:firstLine="1121"/>
        <w:spacing w:after="0" w:line="241" w:lineRule="auto"/>
        <w:tabs>
          <w:tab w:leader="none" w:pos="1785"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Restrictive Covenants Agreement</w:t>
      </w:r>
      <w:r>
        <w:rPr>
          <w:rFonts w:ascii="Times New Roman" w:cs="Times New Roman" w:eastAsia="Times New Roman" w:hAnsi="Times New Roman"/>
          <w:sz w:val="19"/>
          <w:szCs w:val="19"/>
          <w:color w:val="auto"/>
        </w:rPr>
        <w:t xml:space="preserve">. The Disc Medicine, Inc. Employee Confidentiality, Assignment, Nonsolicitation and Noncompetition Agreement effective as of June 28, 2020 (the “Restrictive Covenants Agreement”), between Disc Medicine, Inc. and you,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continue to be in full force and effect. For purposes of this Agreement, the obligations in this Section 8 and those that arise in the Restrictive Covenants Agreement shall collectively be referred to as the “Continuing Obligations.”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80" w:name="page181"/>
    <w:bookmarkEnd w:id="180"/>
    <w:p>
      <w:pPr>
        <w:ind w:right="80" w:firstLine="1121"/>
        <w:spacing w:after="0" w:line="237" w:lineRule="auto"/>
        <w:tabs>
          <w:tab w:leader="none" w:pos="1816"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Third-Party Agreements and Rights</w:t>
      </w:r>
      <w:r>
        <w:rPr>
          <w:rFonts w:ascii="Times New Roman" w:cs="Times New Roman" w:eastAsia="Times New Roman" w:hAnsi="Times New Roman"/>
          <w:sz w:val="19"/>
          <w:szCs w:val="19"/>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1" w:lineRule="exact"/>
        <w:rPr>
          <w:rFonts w:ascii="Times New Roman" w:cs="Times New Roman" w:eastAsia="Times New Roman" w:hAnsi="Times New Roman"/>
          <w:sz w:val="19"/>
          <w:szCs w:val="19"/>
          <w:color w:val="auto"/>
        </w:rPr>
      </w:pPr>
    </w:p>
    <w:p>
      <w:pPr>
        <w:ind w:firstLine="1121"/>
        <w:spacing w:after="0" w:line="214" w:lineRule="exact"/>
        <w:tabs>
          <w:tab w:leader="none" w:pos="1805"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Litigation and Regulatory Cooperation</w:t>
      </w:r>
      <w:r>
        <w:rPr>
          <w:rFonts w:ascii="Times New Roman" w:cs="Times New Roman" w:eastAsia="Times New Roman" w:hAnsi="Times New Roman"/>
          <w:sz w:val="19"/>
          <w:szCs w:val="19"/>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1" w:name="page182"/>
    <w:bookmarkEnd w:id="181"/>
    <w:p>
      <w:pPr>
        <w:ind w:right="20" w:firstLine="1121"/>
        <w:spacing w:after="0" w:line="239" w:lineRule="auto"/>
        <w:tabs>
          <w:tab w:leader="none" w:pos="1816"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Relief</w:t>
      </w:r>
      <w:r>
        <w:rPr>
          <w:rFonts w:ascii="Times New Roman" w:cs="Times New Roman" w:eastAsia="Times New Roman" w:hAnsi="Times New Roman"/>
          <w:sz w:val="19"/>
          <w:szCs w:val="19"/>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19"/>
          <w:szCs w:val="19"/>
          <w:color w:val="auto"/>
        </w:rPr>
      </w:pPr>
    </w:p>
    <w:p>
      <w:pPr>
        <w:ind w:firstLine="1121"/>
        <w:spacing w:after="0" w:line="235" w:lineRule="auto"/>
        <w:tabs>
          <w:tab w:leader="none" w:pos="1805"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Disclosures and Other Protected Action</w:t>
      </w:r>
      <w:r>
        <w:rPr>
          <w:rFonts w:ascii="Times New Roman" w:cs="Times New Roman" w:eastAsia="Times New Roman" w:hAnsi="Times New Roman"/>
          <w:sz w:val="19"/>
          <w:szCs w:val="19"/>
          <w:color w:val="auto"/>
        </w:rPr>
        <w:t>. Nothing in this Agreement shall be interpreted or applied to prohibit you from making any good faith report to any governmental agency or other governmental entity (a “Government Agency”) concerning any act or omission that you reasonably believe constitutes a possible violation of federal or state law or making other disclosures that are protected under the anti-retaliation or whistleblower provisions of applicable federal or state law or regulation.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 of Disputes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20" w:firstLine="1121"/>
        <w:spacing w:after="0" w:line="248" w:lineRule="auto"/>
        <w:tabs>
          <w:tab w:leader="none" w:pos="180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2" w:name="page183"/>
    <w:bookmarkEnd w:id="182"/>
    <w:p>
      <w:pPr>
        <w:ind w:left="-20" w:right="20" w:firstLine="1121"/>
        <w:spacing w:after="0" w:line="259" w:lineRule="auto"/>
        <w:tabs>
          <w:tab w:leader="none" w:pos="179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64" w:lineRule="exact"/>
        <w:rPr>
          <w:rFonts w:ascii="Times New Roman" w:cs="Times New Roman" w:eastAsia="Times New Roman" w:hAnsi="Times New Roman"/>
          <w:sz w:val="18"/>
          <w:szCs w:val="18"/>
          <w:color w:val="auto"/>
        </w:rPr>
      </w:pPr>
    </w:p>
    <w:p>
      <w:pPr>
        <w:ind w:left="-20" w:firstLine="558"/>
        <w:spacing w:after="0" w:line="241" w:lineRule="auto"/>
        <w:tabs>
          <w:tab w:leader="none" w:pos="1248"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and (c) waive any other requirement (whether imposed by statute, rule of court, or otherwise) with respect to personal jurisdiction or service of process.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183" w:name="page184"/>
    <w:bookmarkEnd w:id="183"/>
    <w:p>
      <w:pPr>
        <w:ind w:firstLine="558"/>
        <w:spacing w:after="0" w:line="260" w:lineRule="auto"/>
        <w:tabs>
          <w:tab w:leader="none" w:pos="1261"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“Indemnification Agreement” between the Company and you, dated December 29, 2022 (the “Indemnification Agreement”) is hereby incorporated by reference.</w:t>
      </w:r>
    </w:p>
    <w:p>
      <w:pPr>
        <w:spacing w:after="0" w:line="161" w:lineRule="exact"/>
        <w:rPr>
          <w:rFonts w:ascii="Times New Roman" w:cs="Times New Roman" w:eastAsia="Times New Roman" w:hAnsi="Times New Roman"/>
          <w:sz w:val="19"/>
          <w:szCs w:val="19"/>
          <w:color w:val="auto"/>
        </w:rPr>
      </w:pPr>
    </w:p>
    <w:p>
      <w:pPr>
        <w:ind w:right="20" w:firstLine="558"/>
        <w:spacing w:after="0" w:line="266" w:lineRule="auto"/>
        <w:tabs>
          <w:tab w:leader="none" w:pos="12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57" w:lineRule="exact"/>
        <w:rPr>
          <w:rFonts w:ascii="Times New Roman" w:cs="Times New Roman" w:eastAsia="Times New Roman" w:hAnsi="Times New Roman"/>
          <w:sz w:val="18"/>
          <w:szCs w:val="18"/>
          <w:color w:val="auto"/>
        </w:rPr>
      </w:pPr>
    </w:p>
    <w:p>
      <w:pPr>
        <w:ind w:right="420" w:firstLine="558"/>
        <w:spacing w:after="0" w:line="245" w:lineRule="auto"/>
        <w:tabs>
          <w:tab w:leader="none" w:pos="1268"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176" w:lineRule="exact"/>
        <w:rPr>
          <w:rFonts w:ascii="Times New Roman" w:cs="Times New Roman" w:eastAsia="Times New Roman" w:hAnsi="Times New Roman"/>
          <w:sz w:val="19"/>
          <w:szCs w:val="19"/>
          <w:color w:val="auto"/>
        </w:rPr>
      </w:pPr>
    </w:p>
    <w:p>
      <w:pPr>
        <w:ind w:right="60" w:firstLine="558"/>
        <w:spacing w:after="0" w:line="241" w:lineRule="auto"/>
        <w:tabs>
          <w:tab w:leader="none" w:pos="1268"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Tax Effect</w:t>
      </w:r>
      <w:r>
        <w:rPr>
          <w:rFonts w:ascii="Times New Roman" w:cs="Times New Roman" w:eastAsia="Times New Roman" w:hAnsi="Times New Roman"/>
          <w:sz w:val="19"/>
          <w:szCs w:val="19"/>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84" w:name="page185"/>
    <w:bookmarkEnd w:id="184"/>
    <w:p>
      <w:pPr>
        <w:ind w:left="-20" w:firstLine="558"/>
        <w:spacing w:after="0" w:line="236" w:lineRule="auto"/>
        <w:tabs>
          <w:tab w:leader="none" w:pos="124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180" w:lineRule="exact"/>
        <w:rPr>
          <w:rFonts w:ascii="Times New Roman" w:cs="Times New Roman" w:eastAsia="Times New Roman" w:hAnsi="Times New Roman"/>
          <w:sz w:val="19"/>
          <w:szCs w:val="19"/>
          <w:color w:val="auto"/>
        </w:rPr>
      </w:pPr>
    </w:p>
    <w:p>
      <w:pPr>
        <w:ind w:left="-20" w:right="80" w:firstLine="558"/>
        <w:spacing w:after="0" w:line="259" w:lineRule="auto"/>
        <w:tabs>
          <w:tab w:leader="none" w:pos="124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3" w:lineRule="exact"/>
        <w:rPr>
          <w:rFonts w:ascii="Times New Roman" w:cs="Times New Roman" w:eastAsia="Times New Roman" w:hAnsi="Times New Roman"/>
          <w:sz w:val="18"/>
          <w:szCs w:val="18"/>
          <w:color w:val="auto"/>
        </w:rPr>
      </w:pPr>
    </w:p>
    <w:p>
      <w:pPr>
        <w:ind w:left="-20" w:right="760" w:firstLine="558"/>
        <w:spacing w:after="0" w:line="259" w:lineRule="auto"/>
        <w:tabs>
          <w:tab w:leader="none" w:pos="124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provisions of this Agreement shall survive the termination of this Agreement and/or the termination of your employment to the extent necessary to effectuate the terms contained herein.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6" w:right="339" w:bottom="1440" w:gutter="0" w:footer="0" w:header="0"/>
        </w:sectPr>
      </w:pPr>
    </w:p>
    <w:bookmarkStart w:id="185" w:name="page186"/>
    <w:bookmarkEnd w:id="185"/>
    <w:p>
      <w:pPr>
        <w:ind w:left="-20" w:firstLine="558"/>
        <w:spacing w:after="0" w:line="246" w:lineRule="auto"/>
        <w:tabs>
          <w:tab w:leader="none" w:pos="124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4" w:lineRule="exact"/>
        <w:rPr>
          <w:rFonts w:ascii="Times New Roman" w:cs="Times New Roman" w:eastAsia="Times New Roman" w:hAnsi="Times New Roman"/>
          <w:sz w:val="19"/>
          <w:szCs w:val="19"/>
          <w:color w:val="auto"/>
        </w:rPr>
      </w:pPr>
    </w:p>
    <w:p>
      <w:pPr>
        <w:jc w:val="both"/>
        <w:ind w:left="-20" w:right="80" w:firstLine="558"/>
        <w:spacing w:after="0" w:line="241" w:lineRule="auto"/>
        <w:tabs>
          <w:tab w:leader="none" w:pos="124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9" w:lineRule="exact"/>
        <w:rPr>
          <w:rFonts w:ascii="Times New Roman" w:cs="Times New Roman" w:eastAsia="Times New Roman" w:hAnsi="Times New Roman"/>
          <w:sz w:val="19"/>
          <w:szCs w:val="19"/>
          <w:color w:val="auto"/>
        </w:rPr>
      </w:pPr>
    </w:p>
    <w:p>
      <w:pPr>
        <w:ind w:left="-20" w:right="240" w:firstLine="558"/>
        <w:spacing w:after="0" w:line="259" w:lineRule="auto"/>
        <w:tabs>
          <w:tab w:leader="none" w:pos="124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Agreement may be amended or modified only by a written instrument signed by you and by a duly authorized representative of the Company.</w:t>
      </w:r>
    </w:p>
    <w:p>
      <w:pPr>
        <w:spacing w:after="0" w:line="162" w:lineRule="exact"/>
        <w:rPr>
          <w:rFonts w:ascii="Times New Roman" w:cs="Times New Roman" w:eastAsia="Times New Roman" w:hAnsi="Times New Roman"/>
          <w:sz w:val="19"/>
          <w:szCs w:val="19"/>
          <w:color w:val="auto"/>
        </w:rPr>
      </w:pPr>
    </w:p>
    <w:p>
      <w:pPr>
        <w:ind w:left="-20" w:right="60" w:firstLine="558"/>
        <w:spacing w:after="0" w:line="236" w:lineRule="auto"/>
        <w:tabs>
          <w:tab w:leader="none" w:pos="124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on Other Plans and Agreements</w:t>
      </w:r>
      <w:r>
        <w:rPr>
          <w:rFonts w:ascii="Times New Roman" w:cs="Times New Roman" w:eastAsia="Times New Roman" w:hAnsi="Times New Roman"/>
          <w:sz w:val="19"/>
          <w:szCs w:val="19"/>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40" w:top="115" w:right="359" w:bottom="1440" w:gutter="0" w:footer="0" w:header="0"/>
        </w:sectPr>
      </w:pPr>
    </w:p>
    <w:bookmarkStart w:id="186" w:name="page187"/>
    <w:bookmarkEnd w:id="186"/>
    <w:p>
      <w:pPr>
        <w:jc w:val="both"/>
        <w:ind w:left="-40" w:right="220" w:firstLine="558"/>
        <w:spacing w:after="0" w:line="241" w:lineRule="auto"/>
        <w:tabs>
          <w:tab w:leader="none" w:pos="1228"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0" w:lineRule="exact"/>
        <w:rPr>
          <w:rFonts w:ascii="Times New Roman" w:cs="Times New Roman" w:eastAsia="Times New Roman" w:hAnsi="Times New Roman"/>
          <w:sz w:val="19"/>
          <w:szCs w:val="19"/>
          <w:color w:val="auto"/>
        </w:rPr>
      </w:pPr>
    </w:p>
    <w:p>
      <w:pPr>
        <w:ind w:left="-40" w:firstLine="558"/>
        <w:spacing w:after="0" w:line="259" w:lineRule="auto"/>
        <w:tabs>
          <w:tab w:leader="none" w:pos="1228"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counterparts, each of which when so executed and delivered shall be taken to be an original; but such counterparts shall together constitute one and the same document.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effective on the Effective Date.</w:t>
      </w: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By:  /s/John D.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20320</wp:posOffset>
            </wp:positionV>
            <wp:extent cx="3355340"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207" w:lineRule="exact"/>
        <w:rPr>
          <w:sz w:val="20"/>
          <w:szCs w:val="20"/>
          <w:color w:val="auto"/>
        </w:rPr>
      </w:pPr>
    </w:p>
    <w:p>
      <w:pPr>
        <w:ind w:left="5580"/>
        <w:spacing w:after="0"/>
        <w:tabs>
          <w:tab w:leader="none" w:pos="592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20320</wp:posOffset>
            </wp:positionV>
            <wp:extent cx="3355340"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55340" cy="14605"/>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/s/William Savage,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10795</wp:posOffset>
            </wp:positionV>
            <wp:extent cx="3571240"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1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William Savage, MD, Ph.D.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60" w:top="116" w:right="37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347980</wp:posOffset>
            </wp:positionV>
            <wp:extent cx="7150100"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88" w:name="page189"/>
    <w:bookmarkEnd w:id="188"/>
    <w:p>
      <w:pPr>
        <w:ind w:left="10186"/>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10.9</w:t>
      </w: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ind w:left="3826"/>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GENERAL PURPOSE OF THE PLAN; DEFINITIONS</w:t>
      </w:r>
    </w:p>
    <w:p>
      <w:pPr>
        <w:spacing w:after="0" w:line="204" w:lineRule="exact"/>
        <w:rPr>
          <w:sz w:val="20"/>
          <w:szCs w:val="20"/>
          <w:color w:val="auto"/>
        </w:rPr>
      </w:pPr>
    </w:p>
    <w:p>
      <w:pPr>
        <w:jc w:val="both"/>
        <w:ind w:left="6" w:right="40" w:firstLine="564"/>
        <w:spacing w:after="0" w:line="241" w:lineRule="auto"/>
        <w:rPr>
          <w:sz w:val="20"/>
          <w:szCs w:val="20"/>
          <w:color w:val="auto"/>
        </w:rPr>
      </w:pPr>
      <w:r>
        <w:rPr>
          <w:rFonts w:ascii="Times New Roman" w:cs="Times New Roman" w:eastAsia="Times New Roman" w:hAnsi="Times New Roman"/>
          <w:sz w:val="19"/>
          <w:szCs w:val="19"/>
          <w:color w:val="auto"/>
        </w:rPr>
        <w:t>The name of the plan is the Disc Medicine, Inc. 2017 Stock Option and Grant Plan (the “Plan”). The purpose of the Plan is to encourage and enable the officers, employees, directors, Consultants and other key persons of Disc Medicine,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79"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9"/>
          <w:szCs w:val="19"/>
          <w:color w:val="auto"/>
        </w:rPr>
        <w:t>The following terms shall be defined as set forth below:</w:t>
      </w:r>
    </w:p>
    <w:p>
      <w:pPr>
        <w:spacing w:after="0" w:line="200" w:lineRule="exact"/>
        <w:rPr>
          <w:sz w:val="20"/>
          <w:szCs w:val="20"/>
          <w:color w:val="auto"/>
        </w:rPr>
      </w:pPr>
    </w:p>
    <w:p>
      <w:pPr>
        <w:ind w:left="6" w:right="100" w:firstLine="564"/>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76" w:lineRule="exact"/>
        <w:rPr>
          <w:sz w:val="20"/>
          <w:szCs w:val="20"/>
          <w:color w:val="auto"/>
        </w:rPr>
      </w:pPr>
    </w:p>
    <w:p>
      <w:pPr>
        <w:ind w:left="6" w:right="320" w:firstLine="564"/>
        <w:spacing w:after="0" w:line="29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32" w:lineRule="exact"/>
        <w:rPr>
          <w:sz w:val="20"/>
          <w:szCs w:val="20"/>
          <w:color w:val="auto"/>
        </w:rPr>
      </w:pPr>
    </w:p>
    <w:p>
      <w:pPr>
        <w:ind w:left="6" w:right="100" w:firstLine="564"/>
        <w:spacing w:after="0" w:line="248" w:lineRule="auto"/>
        <w:rPr>
          <w:sz w:val="20"/>
          <w:szCs w:val="20"/>
          <w:color w:val="auto"/>
        </w:rPr>
      </w:pPr>
      <w:r>
        <w:rPr>
          <w:rFonts w:ascii="Times New Roman" w:cs="Times New Roman" w:eastAsia="Times New Roman" w:hAnsi="Times New Roman"/>
          <w:sz w:val="19"/>
          <w:szCs w:val="19"/>
          <w:i w:val="1"/>
          <w:iCs w:val="1"/>
          <w:color w:val="auto"/>
        </w:rPr>
        <w:t xml:space="preserve">“Award Agreement” </w:t>
      </w:r>
      <w:r>
        <w:rPr>
          <w:rFonts w:ascii="Times New Roman" w:cs="Times New Roman" w:eastAsia="Times New Roman" w:hAnsi="Times New Roman"/>
          <w:sz w:val="19"/>
          <w:szCs w:val="19"/>
          <w:color w:val="auto"/>
        </w:rPr>
        <w:t>means a written or electronic agreement setting forth the terms and provisions applicable to an Award granted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Plan. Each Award Agreement may contain terms and conditions in addition to those set forth in the Plan;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in the event of any conflict in the terms of the Plan and the Award Agreement, the terms of the Plan shall govern</w:t>
      </w:r>
      <w:r>
        <w:rPr>
          <w:rFonts w:ascii="Times New Roman" w:cs="Times New Roman" w:eastAsia="Times New Roman" w:hAnsi="Times New Roman"/>
          <w:sz w:val="19"/>
          <w:szCs w:val="19"/>
          <w:b w:val="1"/>
          <w:bCs w:val="1"/>
          <w:color w:val="auto"/>
        </w:rPr>
        <w:t>.</w:t>
      </w:r>
    </w:p>
    <w:p>
      <w:pPr>
        <w:spacing w:after="0" w:line="168"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04" w:lineRule="exact"/>
        <w:rPr>
          <w:sz w:val="20"/>
          <w:szCs w:val="20"/>
          <w:color w:val="auto"/>
        </w:rPr>
      </w:pPr>
    </w:p>
    <w:p>
      <w:pPr>
        <w:ind w:left="6" w:firstLine="5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w:t>
      </w:r>
    </w:p>
    <w:p>
      <w:pPr>
        <w:spacing w:after="0" w:line="1" w:lineRule="exact"/>
        <w:rPr>
          <w:sz w:val="20"/>
          <w:szCs w:val="20"/>
          <w:color w:val="auto"/>
        </w:rPr>
      </w:pPr>
    </w:p>
    <w:p>
      <w:pPr>
        <w:ind w:left="6" w:right="140" w:hanging="6"/>
        <w:spacing w:after="0" w:line="234" w:lineRule="auto"/>
        <w:tabs>
          <w:tab w:leader="none" w:pos="303"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7150100"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253" w:right="339" w:bottom="1440" w:gutter="0" w:footer="0" w:header="0"/>
        </w:sectPr>
      </w:pPr>
    </w:p>
    <w:bookmarkStart w:id="189" w:name="page190"/>
    <w:bookmarkEnd w:id="189"/>
    <w:p>
      <w:pPr>
        <w:ind w:right="100" w:firstLine="564"/>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“Chief Executive Officer” </w:t>
      </w:r>
      <w:r>
        <w:rPr>
          <w:rFonts w:ascii="Times New Roman" w:cs="Times New Roman" w:eastAsia="Times New Roman" w:hAnsi="Times New Roman"/>
          <w:sz w:val="19"/>
          <w:szCs w:val="19"/>
          <w:color w:val="auto"/>
        </w:rPr>
        <w:t>means the Chief Executive Officer of the Company or, if there is no Chief Executive Officer, then the President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Code</w:t>
      </w:r>
      <w:r>
        <w:rPr>
          <w:rFonts w:ascii="Times New Roman" w:cs="Times New Roman" w:eastAsia="Times New Roman" w:hAnsi="Times New Roman"/>
          <w:sz w:val="19"/>
          <w:szCs w:val="19"/>
          <w:color w:val="auto"/>
        </w:rPr>
        <w:t>” means the Internal Revenue Code of 1986, as amended, and any successor Code, and related rules, regulations and interpretations.</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Committee</w:t>
      </w:r>
      <w:r>
        <w:rPr>
          <w:rFonts w:ascii="Times New Roman" w:cs="Times New Roman" w:eastAsia="Times New Roman" w:hAnsi="Times New Roman"/>
          <w:sz w:val="19"/>
          <w:szCs w:val="19"/>
          <w:color w:val="auto"/>
        </w:rPr>
        <w:t>” means the Committee of the Board referred to in Section 2.</w:t>
      </w:r>
    </w:p>
    <w:p>
      <w:pPr>
        <w:spacing w:after="0" w:line="204" w:lineRule="exact"/>
        <w:rPr>
          <w:sz w:val="20"/>
          <w:szCs w:val="20"/>
          <w:color w:val="auto"/>
        </w:rPr>
      </w:pPr>
    </w:p>
    <w:p>
      <w:pPr>
        <w:ind w:firstLine="564"/>
        <w:spacing w:after="0" w:line="248" w:lineRule="auto"/>
        <w:rPr>
          <w:sz w:val="20"/>
          <w:szCs w:val="20"/>
          <w:color w:val="auto"/>
        </w:rPr>
      </w:pPr>
      <w:r>
        <w:rPr>
          <w:rFonts w:ascii="Times New Roman" w:cs="Times New Roman" w:eastAsia="Times New Roman" w:hAnsi="Times New Roman"/>
          <w:sz w:val="19"/>
          <w:szCs w:val="19"/>
          <w:i w:val="1"/>
          <w:iCs w:val="1"/>
          <w:color w:val="auto"/>
        </w:rPr>
        <w:t xml:space="preserve">“Consultant” </w:t>
      </w:r>
      <w:r>
        <w:rPr>
          <w:rFonts w:ascii="Times New Roman" w:cs="Times New Roman" w:eastAsia="Times New Roman" w:hAnsi="Times New Roman"/>
          <w:sz w:val="19"/>
          <w:szCs w:val="19"/>
          <w:color w:val="auto"/>
        </w:rPr>
        <w:t>means any natural person that provides bona fide services to the Company (including a Subsidiary), and such services are not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connection with the offer or sale of securities in a capital-raising transaction and do not directly or indirectly promote or maintain a market for the Company’s securities.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Disability</w:t>
      </w:r>
      <w:r>
        <w:rPr>
          <w:rFonts w:ascii="Times New Roman" w:cs="Times New Roman" w:eastAsia="Times New Roman" w:hAnsi="Times New Roman"/>
          <w:sz w:val="19"/>
          <w:szCs w:val="19"/>
          <w:color w:val="auto"/>
        </w:rPr>
        <w:t>” means “disability” as defined in Section 422(c) of the Code.</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Effective Date</w:t>
      </w:r>
      <w:r>
        <w:rPr>
          <w:rFonts w:ascii="Times New Roman" w:cs="Times New Roman" w:eastAsia="Times New Roman" w:hAnsi="Times New Roman"/>
          <w:sz w:val="19"/>
          <w:szCs w:val="19"/>
          <w:color w:val="auto"/>
        </w:rPr>
        <w:t>” means the date on which the Plan is adopted as set forth on the final page of the Plan.</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 means the Securities Exchange Act of 1934, as amended, and the rules and regulations thereunder.</w:t>
      </w:r>
    </w:p>
    <w:p>
      <w:pPr>
        <w:spacing w:after="0" w:line="204" w:lineRule="exact"/>
        <w:rPr>
          <w:sz w:val="20"/>
          <w:szCs w:val="20"/>
          <w:color w:val="auto"/>
        </w:rPr>
      </w:pPr>
    </w:p>
    <w:p>
      <w:pPr>
        <w:ind w:right="120" w:firstLine="564"/>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Fair Market Value</w:t>
      </w:r>
      <w:r>
        <w:rPr>
          <w:rFonts w:ascii="Times New Roman" w:cs="Times New Roman" w:eastAsia="Times New Roman" w:hAnsi="Times New Roman"/>
          <w:sz w:val="19"/>
          <w:szCs w:val="19"/>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1" w:lineRule="exact"/>
        <w:rPr>
          <w:sz w:val="20"/>
          <w:szCs w:val="20"/>
          <w:color w:val="auto"/>
        </w:rPr>
      </w:pPr>
    </w:p>
    <w:p>
      <w:pPr>
        <w:ind w:right="100" w:firstLine="564"/>
        <w:spacing w:after="0"/>
        <w:rPr>
          <w:sz w:val="20"/>
          <w:szCs w:val="20"/>
          <w:color w:val="auto"/>
        </w:rPr>
      </w:pPr>
      <w:r>
        <w:rPr>
          <w:rFonts w:ascii="Times New Roman" w:cs="Times New Roman" w:eastAsia="Times New Roman" w:hAnsi="Times New Roman"/>
          <w:sz w:val="19"/>
          <w:szCs w:val="19"/>
          <w:i w:val="1"/>
          <w:iCs w:val="1"/>
          <w:color w:val="auto"/>
        </w:rPr>
        <w:t xml:space="preserve">“Good Reason” </w:t>
      </w:r>
      <w:r>
        <w:rPr>
          <w:rFonts w:ascii="Times New Roman" w:cs="Times New Roman" w:eastAsia="Times New Roman" w:hAnsi="Times New Roman"/>
          <w:sz w:val="19"/>
          <w:szCs w:val="19"/>
          <w:color w:val="auto"/>
        </w:rPr>
        <w:t>shall have the meaning as set forth in the Award Agreement(s). In the case that any Award Agreement does not contain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76" w:lineRule="exact"/>
        <w:rPr>
          <w:sz w:val="20"/>
          <w:szCs w:val="20"/>
          <w:color w:val="auto"/>
        </w:rPr>
      </w:pPr>
    </w:p>
    <w:p>
      <w:pPr>
        <w:ind w:right="400" w:firstLine="564"/>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Grant Date”</w:t>
      </w:r>
      <w:r>
        <w:rPr>
          <w:rFonts w:ascii="Times New Roman" w:cs="Times New Roman" w:eastAsia="Times New Roman" w:hAnsi="Times New Roman"/>
          <w:sz w:val="19"/>
          <w:szCs w:val="19"/>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55" w:lineRule="exact"/>
        <w:rPr>
          <w:sz w:val="20"/>
          <w:szCs w:val="20"/>
          <w:color w:val="auto"/>
        </w:rPr>
      </w:pPr>
    </w:p>
    <w:p>
      <w:pPr>
        <w:ind w:right="460" w:firstLine="564"/>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“Holder” </w:t>
      </w:r>
      <w:r>
        <w:rPr>
          <w:rFonts w:ascii="Times New Roman" w:cs="Times New Roman" w:eastAsia="Times New Roman" w:hAnsi="Times New Roman"/>
          <w:sz w:val="19"/>
          <w:szCs w:val="19"/>
          <w:color w:val="auto"/>
        </w:rPr>
        <w:t>means, with respect to an Award or any Shares, the Person holding such Award or Shares, including the initial recipient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Award or any Permitted Transferee.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90" w:name="page191"/>
    <w:bookmarkEnd w:id="190"/>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Incentive Stock Option</w:t>
      </w:r>
      <w:r>
        <w:rPr>
          <w:rFonts w:ascii="Times New Roman" w:cs="Times New Roman" w:eastAsia="Times New Roman" w:hAnsi="Times New Roman"/>
          <w:sz w:val="19"/>
          <w:szCs w:val="19"/>
          <w:color w:val="auto"/>
        </w:rPr>
        <w:t>” means any Stock Option designated and qualified as an “incentive stock option” as defined in Section 422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80" w:lineRule="exact"/>
        <w:rPr>
          <w:sz w:val="20"/>
          <w:szCs w:val="20"/>
          <w:color w:val="auto"/>
        </w:rPr>
      </w:pPr>
    </w:p>
    <w:p>
      <w:pPr>
        <w:ind w:right="220" w:firstLine="564"/>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Initial Public Offering</w:t>
      </w:r>
      <w:r>
        <w:rPr>
          <w:rFonts w:ascii="Times New Roman" w:cs="Times New Roman" w:eastAsia="Times New Roman" w:hAnsi="Times New Roman"/>
          <w:sz w:val="19"/>
          <w:szCs w:val="19"/>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Non-Qualified Stock Option</w:t>
      </w:r>
      <w:r>
        <w:rPr>
          <w:rFonts w:ascii="Times New Roman" w:cs="Times New Roman" w:eastAsia="Times New Roman" w:hAnsi="Times New Roman"/>
          <w:sz w:val="19"/>
          <w:szCs w:val="19"/>
          <w:color w:val="auto"/>
        </w:rPr>
        <w:t>” means any Stock Option that is not an Incentive Stock Option.</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Option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Stock Option</w:t>
      </w:r>
      <w:r>
        <w:rPr>
          <w:rFonts w:ascii="Times New Roman" w:cs="Times New Roman" w:eastAsia="Times New Roman" w:hAnsi="Times New Roman"/>
          <w:sz w:val="19"/>
          <w:szCs w:val="19"/>
          <w:color w:val="auto"/>
        </w:rPr>
        <w:t>” means any option to purchase shares of Stock granted pursuant to Section 5.</w:t>
      </w:r>
    </w:p>
    <w:p>
      <w:pPr>
        <w:spacing w:after="0" w:line="204" w:lineRule="exact"/>
        <w:rPr>
          <w:sz w:val="20"/>
          <w:szCs w:val="20"/>
          <w:color w:val="auto"/>
        </w:rPr>
      </w:pPr>
    </w:p>
    <w:p>
      <w:pPr>
        <w:ind w:firstLine="564"/>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Transferees</w:t>
      </w:r>
      <w:r>
        <w:rPr>
          <w:rFonts w:ascii="Times New Roman" w:cs="Times New Roman" w:eastAsia="Times New Roman" w:hAnsi="Times New Roman"/>
          <w:sz w:val="19"/>
          <w:szCs w:val="19"/>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cs="Times New Roman" w:eastAsia="Times New Roman" w:hAnsi="Times New Roman"/>
          <w:sz w:val="19"/>
          <w:szCs w:val="19"/>
          <w:i w:val="1"/>
          <w:iCs w:val="1"/>
          <w:color w:val="auto"/>
        </w:rPr>
        <w:t>; provided, however,</w:t>
      </w:r>
      <w:r>
        <w:rPr>
          <w:rFonts w:ascii="Times New Roman" w:cs="Times New Roman" w:eastAsia="Times New Roman" w:hAnsi="Times New Roman"/>
          <w:sz w:val="19"/>
          <w:szCs w:val="19"/>
          <w:color w:val="auto"/>
        </w:rPr>
        <w:t xml:space="preserve"> that any such trust does not require or permit distribution of any Shares during the term of the Award Agreement unless subject to its terms. Upon the death of the Holder, the term Permitted</w:t>
      </w:r>
    </w:p>
    <w:p>
      <w:pPr>
        <w:spacing w:after="0" w:line="6" w:lineRule="exact"/>
        <w:rPr>
          <w:sz w:val="20"/>
          <w:szCs w:val="20"/>
          <w:color w:val="auto"/>
        </w:rPr>
      </w:pPr>
    </w:p>
    <w:p>
      <w:pPr>
        <w:ind w:right="820" w:firstLine="564"/>
        <w:spacing w:after="0" w:line="238" w:lineRule="auto"/>
        <w:rPr>
          <w:sz w:val="20"/>
          <w:szCs w:val="20"/>
          <w:color w:val="auto"/>
        </w:rPr>
      </w:pPr>
      <w:r>
        <w:rPr>
          <w:rFonts w:ascii="Times New Roman" w:cs="Times New Roman" w:eastAsia="Times New Roman" w:hAnsi="Times New Roman"/>
          <w:sz w:val="19"/>
          <w:szCs w:val="19"/>
          <w:color w:val="auto"/>
        </w:rPr>
        <w:t>Transferees shall also include such deceased Holder’s estate, executors, administrators, personal representatives, heirs, legatees and distributees, as the case may be.</w:t>
      </w:r>
    </w:p>
    <w:p>
      <w:pPr>
        <w:spacing w:after="0" w:line="177" w:lineRule="exact"/>
        <w:rPr>
          <w:sz w:val="20"/>
          <w:szCs w:val="20"/>
          <w:color w:val="auto"/>
        </w:rPr>
      </w:pPr>
    </w:p>
    <w:p>
      <w:pPr>
        <w:ind w:right="440" w:firstLine="564"/>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shall mean any individual, corporation, partnership (limited or general), limited liability company, limited liability partnership, association, trust, joint venture, unincorporated organization or any similar entity.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Awards granted pursuant to Section 6 and</w:t>
      </w:r>
      <w:r>
        <w:rPr>
          <w:rFonts w:ascii="Times New Roman" w:cs="Times New Roman" w:eastAsia="Times New Roman" w:hAnsi="Times New Roman"/>
          <w:sz w:val="18"/>
          <w:szCs w:val="18"/>
          <w:i w:val="1"/>
          <w:iCs w:val="1"/>
          <w:color w:val="auto"/>
        </w:rPr>
        <w:t xml:space="preserve"> “Restricted Stock” </w:t>
      </w:r>
      <w:r>
        <w:rPr>
          <w:rFonts w:ascii="Times New Roman" w:cs="Times New Roman" w:eastAsia="Times New Roman" w:hAnsi="Times New Roman"/>
          <w:sz w:val="18"/>
          <w:szCs w:val="18"/>
          <w:color w:val="auto"/>
        </w:rPr>
        <w:t>means Shares issued pursuant to such Awards.</w:t>
      </w:r>
    </w:p>
    <w:p>
      <w:pPr>
        <w:spacing w:after="0" w:line="216" w:lineRule="exact"/>
        <w:rPr>
          <w:sz w:val="20"/>
          <w:szCs w:val="20"/>
          <w:color w:val="auto"/>
        </w:rPr>
      </w:pPr>
    </w:p>
    <w:p>
      <w:pPr>
        <w:ind w:right="300" w:firstLine="564"/>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“Restricted Stock Unit” </w:t>
      </w:r>
      <w:r>
        <w:rPr>
          <w:rFonts w:ascii="Times New Roman" w:cs="Times New Roman" w:eastAsia="Times New Roman" w:hAnsi="Times New Roman"/>
          <w:sz w:val="19"/>
          <w:szCs w:val="19"/>
          <w:color w:val="auto"/>
        </w:rPr>
        <w:t>means an Award of phantom stock units to a grantee, which may be settled in cash or Shares as determined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Committee, pursuant to Section 8.</w:t>
      </w:r>
    </w:p>
    <w:p>
      <w:pPr>
        <w:spacing w:after="0" w:line="155" w:lineRule="exact"/>
        <w:rPr>
          <w:sz w:val="20"/>
          <w:szCs w:val="20"/>
          <w:color w:val="auto"/>
        </w:rPr>
      </w:pPr>
    </w:p>
    <w:p>
      <w:pPr>
        <w:ind w:right="100" w:firstLine="564"/>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Sale Event”</w:t>
      </w:r>
      <w:r>
        <w:rPr>
          <w:rFonts w:ascii="Times New Roman" w:cs="Times New Roman" w:eastAsia="Times New Roman" w:hAnsi="Times New Roman"/>
          <w:sz w:val="19"/>
          <w:szCs w:val="19"/>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91" w:name="page192"/>
    <w:bookmarkEnd w:id="191"/>
    <w:p>
      <w:pPr>
        <w:ind w:left="560"/>
        <w:spacing w:after="0"/>
        <w:rPr>
          <w:sz w:val="20"/>
          <w:szCs w:val="20"/>
          <w:color w:val="auto"/>
        </w:rPr>
      </w:pPr>
      <w:r>
        <w:rPr>
          <w:rFonts w:ascii="Times New Roman" w:cs="Times New Roman" w:eastAsia="Times New Roman" w:hAnsi="Times New Roman"/>
          <w:sz w:val="19"/>
          <w:szCs w:val="19"/>
          <w:i w:val="1"/>
          <w:iCs w:val="1"/>
          <w:color w:val="auto"/>
        </w:rPr>
        <w:t xml:space="preserve">“Section 409A” </w:t>
      </w:r>
      <w:r>
        <w:rPr>
          <w:rFonts w:ascii="Times New Roman" w:cs="Times New Roman" w:eastAsia="Times New Roman" w:hAnsi="Times New Roman"/>
          <w:sz w:val="19"/>
          <w:szCs w:val="19"/>
          <w:color w:val="auto"/>
        </w:rPr>
        <w:t>means Section 409A of the Code and the regulations and other guidance promulgated thereunder.</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 means the Securities Act of 1933, as amended, and the rules and regulations thereunder.</w:t>
      </w:r>
    </w:p>
    <w:p>
      <w:pPr>
        <w:spacing w:after="0" w:line="204" w:lineRule="exact"/>
        <w:rPr>
          <w:sz w:val="20"/>
          <w:szCs w:val="20"/>
          <w:color w:val="auto"/>
        </w:rPr>
      </w:pPr>
    </w:p>
    <w:p>
      <w:pPr>
        <w:ind w:right="60" w:firstLine="564"/>
        <w:spacing w:after="0" w:line="248" w:lineRule="auto"/>
        <w:rPr>
          <w:sz w:val="20"/>
          <w:szCs w:val="20"/>
          <w:color w:val="auto"/>
        </w:rPr>
      </w:pPr>
      <w:r>
        <w:rPr>
          <w:rFonts w:ascii="Times New Roman" w:cs="Times New Roman" w:eastAsia="Times New Roman" w:hAnsi="Times New Roman"/>
          <w:sz w:val="19"/>
          <w:szCs w:val="19"/>
          <w:i w:val="1"/>
          <w:iCs w:val="1"/>
          <w:color w:val="auto"/>
        </w:rPr>
        <w:t xml:space="preserve">“Service Relationship” </w:t>
      </w:r>
      <w:r>
        <w:rPr>
          <w:rFonts w:ascii="Times New Roman" w:cs="Times New Roman" w:eastAsia="Times New Roman" w:hAnsi="Times New Roman"/>
          <w:sz w:val="19"/>
          <w:szCs w:val="19"/>
          <w:color w:val="auto"/>
        </w:rPr>
        <w:t>means any relationship as a full-time employee, part-time employee, director or other key person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Consultants) of the Company or any Subsidiary or any successor entity (e.g., a Service Relationship shall be deemed to continue without interruption in the event an individual’s status changes from full-time employee to part- time employee or Consultant).</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i w:val="1"/>
          <w:iCs w:val="1"/>
          <w:color w:val="auto"/>
        </w:rPr>
        <w:t xml:space="preserve">“Shares” </w:t>
      </w:r>
      <w:r>
        <w:rPr>
          <w:rFonts w:ascii="Times New Roman" w:cs="Times New Roman" w:eastAsia="Times New Roman" w:hAnsi="Times New Roman"/>
          <w:sz w:val="19"/>
          <w:szCs w:val="19"/>
          <w:color w:val="auto"/>
        </w:rPr>
        <w:t>means shares of Stock.</w:t>
      </w:r>
    </w:p>
    <w:p>
      <w:pPr>
        <w:spacing w:after="0" w:line="204" w:lineRule="exact"/>
        <w:rPr>
          <w:sz w:val="20"/>
          <w:szCs w:val="20"/>
          <w:color w:val="auto"/>
        </w:rPr>
      </w:pPr>
    </w:p>
    <w:p>
      <w:pPr>
        <w:ind w:right="200" w:firstLine="564"/>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Stock</w:t>
      </w:r>
      <w:r>
        <w:rPr>
          <w:rFonts w:ascii="Times New Roman" w:cs="Times New Roman" w:eastAsia="Times New Roman" w:hAnsi="Times New Roman"/>
          <w:sz w:val="19"/>
          <w:szCs w:val="19"/>
          <w:color w:val="auto"/>
        </w:rPr>
        <w:t xml:space="preserve">” means the Common Stock, par value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0</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0001 per share, of the Company. “</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means any corporation or other entity (other than the Company) in which the Company has more than a 50 percent interest, either directly or indirectly.</w:t>
      </w:r>
    </w:p>
    <w:p>
      <w:pPr>
        <w:spacing w:after="0" w:line="155" w:lineRule="exact"/>
        <w:rPr>
          <w:sz w:val="20"/>
          <w:szCs w:val="20"/>
          <w:color w:val="auto"/>
        </w:rPr>
      </w:pPr>
    </w:p>
    <w:p>
      <w:pPr>
        <w:ind w:right="220" w:firstLine="564"/>
        <w:spacing w:after="0" w:line="291"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10 percent of the combined voting power of all classes of stock of the Company or any parent of the Company or any Subsidiary.</w:t>
      </w:r>
    </w:p>
    <w:p>
      <w:pPr>
        <w:spacing w:after="0" w:line="132" w:lineRule="exact"/>
        <w:rPr>
          <w:sz w:val="20"/>
          <w:szCs w:val="20"/>
          <w:color w:val="auto"/>
        </w:rPr>
      </w:pPr>
    </w:p>
    <w:p>
      <w:pPr>
        <w:ind w:firstLine="564"/>
        <w:spacing w:after="0" w:line="237" w:lineRule="auto"/>
        <w:rPr>
          <w:sz w:val="20"/>
          <w:szCs w:val="20"/>
          <w:color w:val="auto"/>
        </w:rPr>
      </w:pPr>
      <w:r>
        <w:rPr>
          <w:rFonts w:ascii="Times New Roman" w:cs="Times New Roman" w:eastAsia="Times New Roman" w:hAnsi="Times New Roman"/>
          <w:sz w:val="19"/>
          <w:szCs w:val="19"/>
          <w:i w:val="1"/>
          <w:iCs w:val="1"/>
          <w:color w:val="auto"/>
        </w:rPr>
        <w:t xml:space="preserve">“Termination Event” </w:t>
      </w:r>
      <w:r>
        <w:rPr>
          <w:rFonts w:ascii="Times New Roman" w:cs="Times New Roman" w:eastAsia="Times New Roman" w:hAnsi="Times New Roman"/>
          <w:sz w:val="19"/>
          <w:szCs w:val="19"/>
          <w:color w:val="auto"/>
        </w:rPr>
        <w:t>means the termination of the Award recipient’s Service Relationship with the Company and its Subsidiaries for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81" w:lineRule="exact"/>
        <w:rPr>
          <w:sz w:val="20"/>
          <w:szCs w:val="20"/>
          <w:color w:val="auto"/>
        </w:rPr>
      </w:pPr>
    </w:p>
    <w:p>
      <w:pPr>
        <w:ind w:right="120" w:firstLine="564"/>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Stock Award”</w:t>
      </w:r>
      <w:r>
        <w:rPr>
          <w:rFonts w:ascii="Times New Roman" w:cs="Times New Roman" w:eastAsia="Times New Roman" w:hAnsi="Times New Roman"/>
          <w:sz w:val="19"/>
          <w:szCs w:val="19"/>
          <w:color w:val="auto"/>
        </w:rPr>
        <w:t xml:space="preserve"> means any Award granted pursuant to Section 7 and </w:t>
      </w:r>
      <w:r>
        <w:rPr>
          <w:rFonts w:ascii="Times New Roman" w:cs="Times New Roman" w:eastAsia="Times New Roman" w:hAnsi="Times New Roman"/>
          <w:sz w:val="19"/>
          <w:szCs w:val="19"/>
          <w:i w:val="1"/>
          <w:iCs w:val="1"/>
          <w:color w:val="auto"/>
        </w:rPr>
        <w:t>“Unrestricted Stock”</w:t>
      </w:r>
      <w:r>
        <w:rPr>
          <w:rFonts w:ascii="Times New Roman" w:cs="Times New Roman" w:eastAsia="Times New Roman" w:hAnsi="Times New Roman"/>
          <w:sz w:val="19"/>
          <w:szCs w:val="19"/>
          <w:color w:val="auto"/>
        </w:rPr>
        <w:t xml:space="preserve"> means Shares issued pursuant to such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ADMINISTRATION OF PLAN; COMMITTEE AUTHORITY TO SELECT GRANTEES AND DETERMINE AWARDS</w:t>
      </w:r>
    </w:p>
    <w:p>
      <w:pPr>
        <w:spacing w:after="0" w:line="204" w:lineRule="exact"/>
        <w:rPr>
          <w:sz w:val="20"/>
          <w:szCs w:val="20"/>
          <w:color w:val="auto"/>
        </w:rPr>
      </w:pPr>
    </w:p>
    <w:p>
      <w:pPr>
        <w:ind w:right="100" w:firstLine="558"/>
        <w:spacing w:after="0" w:line="245" w:lineRule="auto"/>
        <w:tabs>
          <w:tab w:leader="none" w:pos="1242"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Administration of Plan</w:t>
      </w:r>
      <w:r>
        <w:rPr>
          <w:rFonts w:ascii="Times New Roman" w:cs="Times New Roman" w:eastAsia="Times New Roman" w:hAnsi="Times New Roman"/>
          <w:sz w:val="19"/>
          <w:szCs w:val="19"/>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176" w:lineRule="exact"/>
        <w:rPr>
          <w:rFonts w:ascii="Times New Roman" w:cs="Times New Roman" w:eastAsia="Times New Roman" w:hAnsi="Times New Roman"/>
          <w:sz w:val="19"/>
          <w:szCs w:val="19"/>
          <w:color w:val="auto"/>
        </w:rPr>
      </w:pPr>
    </w:p>
    <w:p>
      <w:pPr>
        <w:ind w:right="400" w:firstLine="558"/>
        <w:spacing w:after="0" w:line="259" w:lineRule="auto"/>
        <w:tabs>
          <w:tab w:leader="none" w:pos="1252"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Powers of Committee</w:t>
      </w:r>
      <w:r>
        <w:rPr>
          <w:rFonts w:ascii="Times New Roman" w:cs="Times New Roman" w:eastAsia="Times New Roman" w:hAnsi="Times New Roman"/>
          <w:sz w:val="19"/>
          <w:szCs w:val="19"/>
          <w:color w:val="auto"/>
        </w:rPr>
        <w:t>. The Committee shall have the power and authority to grant Awards consistent with the terms of the Plan, including the power and authority: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92" w:name="page193"/>
    <w:bookmarkEnd w:id="192"/>
    <w:p>
      <w:pPr>
        <w:ind w:left="1200" w:hanging="642"/>
        <w:spacing w:after="0"/>
        <w:tabs>
          <w:tab w:leader="none" w:pos="120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select the individuals to whom Awards may from time to time be granted;</w:t>
      </w:r>
    </w:p>
    <w:p>
      <w:pPr>
        <w:spacing w:after="0" w:line="205" w:lineRule="exact"/>
        <w:rPr>
          <w:rFonts w:ascii="Times New Roman" w:cs="Times New Roman" w:eastAsia="Times New Roman" w:hAnsi="Times New Roman"/>
          <w:sz w:val="19"/>
          <w:szCs w:val="19"/>
          <w:color w:val="auto"/>
        </w:rPr>
      </w:pPr>
    </w:p>
    <w:p>
      <w:pPr>
        <w:ind w:firstLine="558"/>
        <w:spacing w:after="0" w:line="287" w:lineRule="auto"/>
        <w:tabs>
          <w:tab w:leader="none" w:pos="128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39" w:lineRule="exact"/>
        <w:rPr>
          <w:rFonts w:ascii="Times New Roman" w:cs="Times New Roman" w:eastAsia="Times New Roman" w:hAnsi="Times New Roman"/>
          <w:sz w:val="18"/>
          <w:szCs w:val="18"/>
          <w:color w:val="auto"/>
        </w:rPr>
      </w:pPr>
    </w:p>
    <w:p>
      <w:pPr>
        <w:ind w:right="180" w:firstLine="558"/>
        <w:spacing w:after="0" w:line="259" w:lineRule="auto"/>
        <w:tabs>
          <w:tab w:leader="none" w:pos="1315"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determine the number of Shares to be covered by any Award and, subject to the provisions of the Plan, the price, exercise price, conversion ratio or other price relating thereto;</w:t>
      </w:r>
    </w:p>
    <w:p>
      <w:pPr>
        <w:spacing w:after="0" w:line="162" w:lineRule="exact"/>
        <w:rPr>
          <w:rFonts w:ascii="Times New Roman" w:cs="Times New Roman" w:eastAsia="Times New Roman" w:hAnsi="Times New Roman"/>
          <w:sz w:val="19"/>
          <w:szCs w:val="19"/>
          <w:color w:val="auto"/>
        </w:rPr>
      </w:pPr>
    </w:p>
    <w:p>
      <w:pPr>
        <w:jc w:val="both"/>
        <w:ind w:right="20" w:firstLine="558"/>
        <w:spacing w:after="0" w:line="245" w:lineRule="auto"/>
        <w:tabs>
          <w:tab w:leader="none" w:pos="162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76" w:lineRule="exact"/>
        <w:rPr>
          <w:rFonts w:ascii="Times New Roman" w:cs="Times New Roman" w:eastAsia="Times New Roman" w:hAnsi="Times New Roman"/>
          <w:sz w:val="19"/>
          <w:szCs w:val="19"/>
          <w:color w:val="auto"/>
        </w:rPr>
      </w:pPr>
    </w:p>
    <w:p>
      <w:pPr>
        <w:ind w:left="1240" w:hanging="682"/>
        <w:spacing w:after="0"/>
        <w:tabs>
          <w:tab w:leader="none" w:pos="124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accelerate at any time the exercisability or vesting of all or any portion of any Award;</w:t>
      </w:r>
    </w:p>
    <w:p>
      <w:pPr>
        <w:spacing w:after="0" w:line="204" w:lineRule="exact"/>
        <w:rPr>
          <w:rFonts w:ascii="Times New Roman" w:cs="Times New Roman" w:eastAsia="Times New Roman" w:hAnsi="Times New Roman"/>
          <w:sz w:val="19"/>
          <w:szCs w:val="19"/>
          <w:color w:val="auto"/>
        </w:rPr>
      </w:pPr>
    </w:p>
    <w:p>
      <w:pPr>
        <w:ind w:right="740" w:firstLine="558"/>
        <w:spacing w:after="0" w:line="259" w:lineRule="auto"/>
        <w:tabs>
          <w:tab w:leader="none" w:pos="1304"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impose any limitations on Awards, including limitations on transfers, repurchase provisions and the like, and to exercise repurchase rights or obligations;</w:t>
      </w:r>
    </w:p>
    <w:p>
      <w:pPr>
        <w:spacing w:after="0" w:line="162" w:lineRule="exact"/>
        <w:rPr>
          <w:rFonts w:ascii="Times New Roman" w:cs="Times New Roman" w:eastAsia="Times New Roman" w:hAnsi="Times New Roman"/>
          <w:sz w:val="19"/>
          <w:szCs w:val="19"/>
          <w:color w:val="auto"/>
        </w:rPr>
      </w:pPr>
    </w:p>
    <w:p>
      <w:pPr>
        <w:ind w:right="200" w:firstLine="558"/>
        <w:spacing w:after="0" w:line="259" w:lineRule="auto"/>
        <w:tabs>
          <w:tab w:leader="none" w:pos="1357"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5(a)(ii) and any restrictions imposed by Section 409A, to extend at any time the period in which Stock Options may be exercised; and</w:t>
      </w:r>
    </w:p>
    <w:p>
      <w:pPr>
        <w:spacing w:after="0" w:line="162" w:lineRule="exact"/>
        <w:rPr>
          <w:rFonts w:ascii="Times New Roman" w:cs="Times New Roman" w:eastAsia="Times New Roman" w:hAnsi="Times New Roman"/>
          <w:sz w:val="19"/>
          <w:szCs w:val="19"/>
          <w:color w:val="auto"/>
        </w:rPr>
      </w:pPr>
    </w:p>
    <w:p>
      <w:pPr>
        <w:ind w:right="220" w:firstLine="558"/>
        <w:spacing w:after="0" w:line="241" w:lineRule="auto"/>
        <w:tabs>
          <w:tab w:leader="none" w:pos="1409"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All decisions and interpretations of the Committee shall be binding on all persons, including the Company and all Holders.</w:t>
      </w:r>
    </w:p>
    <w:p>
      <w:pPr>
        <w:spacing w:after="0" w:line="204" w:lineRule="exact"/>
        <w:rPr>
          <w:sz w:val="20"/>
          <w:szCs w:val="20"/>
          <w:color w:val="auto"/>
        </w:rPr>
      </w:pPr>
    </w:p>
    <w:p>
      <w:pPr>
        <w:ind w:right="720" w:firstLine="558"/>
        <w:spacing w:after="0" w:line="259" w:lineRule="auto"/>
        <w:tabs>
          <w:tab w:leader="none" w:pos="124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Award Agreement</w:t>
      </w:r>
      <w:r>
        <w:rPr>
          <w:rFonts w:ascii="Times New Roman" w:cs="Times New Roman" w:eastAsia="Times New Roman" w:hAnsi="Times New Roman"/>
          <w:sz w:val="19"/>
          <w:szCs w:val="19"/>
          <w:color w:val="auto"/>
        </w:rPr>
        <w:t>. Awards under the Plan shall be evidenced by Award Agreements that set forth the terms, conditions and limitations for each Award.</w:t>
      </w:r>
    </w:p>
    <w:p>
      <w:pPr>
        <w:spacing w:after="0" w:line="162" w:lineRule="exact"/>
        <w:rPr>
          <w:rFonts w:ascii="Times New Roman" w:cs="Times New Roman" w:eastAsia="Times New Roman" w:hAnsi="Times New Roman"/>
          <w:sz w:val="19"/>
          <w:szCs w:val="19"/>
          <w:color w:val="auto"/>
        </w:rPr>
      </w:pPr>
    </w:p>
    <w:p>
      <w:pPr>
        <w:ind w:right="100" w:firstLine="558"/>
        <w:spacing w:after="0" w:line="238" w:lineRule="auto"/>
        <w:tabs>
          <w:tab w:leader="none" w:pos="12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93" w:name="page194"/>
    <w:bookmarkEnd w:id="193"/>
    <w:p>
      <w:pPr>
        <w:ind w:right="100" w:firstLine="558"/>
        <w:spacing w:after="0" w:line="236" w:lineRule="auto"/>
        <w:tabs>
          <w:tab w:leader="none" w:pos="1242"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Foreign Award Recipients</w:t>
      </w:r>
      <w:r>
        <w:rPr>
          <w:rFonts w:ascii="Times New Roman" w:cs="Times New Roman" w:eastAsia="Times New Roman" w:hAnsi="Times New Roman"/>
          <w:sz w:val="19"/>
          <w:szCs w:val="19"/>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STOCK ISSUABLE UNDER THE PLAN; MERGERS AND OTHER TRANSACTIONS; SUBSTITUTION</w:t>
      </w:r>
    </w:p>
    <w:p>
      <w:pPr>
        <w:spacing w:after="0" w:line="204" w:lineRule="exact"/>
        <w:rPr>
          <w:sz w:val="20"/>
          <w:szCs w:val="20"/>
          <w:color w:val="auto"/>
        </w:rPr>
      </w:pPr>
    </w:p>
    <w:p>
      <w:pPr>
        <w:ind w:right="100" w:firstLine="558"/>
        <w:spacing w:after="0" w:line="243" w:lineRule="auto"/>
        <w:tabs>
          <w:tab w:leader="none" w:pos="1242"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Issuable</w:t>
      </w:r>
      <w:r>
        <w:rPr>
          <w:rFonts w:ascii="Times New Roman" w:cs="Times New Roman" w:eastAsia="Times New Roman" w:hAnsi="Times New Roman"/>
          <w:sz w:val="19"/>
          <w:szCs w:val="19"/>
          <w:color w:val="auto"/>
        </w:rPr>
        <w:t>. The maximum number of Shares reserved and available for issuance under the Plan shall be 710,045 Shares, subject to adjustment as provided in</w:t>
      </w:r>
    </w:p>
    <w:p>
      <w:pPr>
        <w:ind w:right="100" w:firstLine="564"/>
        <w:spacing w:after="0" w:line="23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7,100,450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710,045 Shares shall be granted to any one individual in any calendar year period.</w:t>
      </w:r>
    </w:p>
    <w:p>
      <w:pPr>
        <w:spacing w:after="0" w:line="179" w:lineRule="exact"/>
        <w:rPr>
          <w:rFonts w:ascii="Times New Roman" w:cs="Times New Roman" w:eastAsia="Times New Roman" w:hAnsi="Times New Roman"/>
          <w:sz w:val="19"/>
          <w:szCs w:val="19"/>
          <w:color w:val="auto"/>
        </w:rPr>
      </w:pPr>
    </w:p>
    <w:p>
      <w:pPr>
        <w:ind w:firstLine="558"/>
        <w:spacing w:after="0" w:line="234" w:lineRule="auto"/>
        <w:tabs>
          <w:tab w:leader="none" w:pos="1252"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Changes in Stock</w:t>
      </w:r>
      <w:r>
        <w:rPr>
          <w:rFonts w:ascii="Times New Roman" w:cs="Times New Roman" w:eastAsia="Times New Roman" w:hAnsi="Times New Roman"/>
          <w:sz w:val="19"/>
          <w:szCs w:val="19"/>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94" w:name="page195"/>
    <w:bookmarkEnd w:id="194"/>
    <w:p>
      <w:pPr>
        <w:ind w:left="682" w:hanging="682"/>
        <w:spacing w:after="0"/>
        <w:tabs>
          <w:tab w:leader="none" w:pos="682"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Sale Events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1202" w:hanging="639"/>
        <w:spacing w:after="0"/>
        <w:tabs>
          <w:tab w:leader="none" w:pos="1202"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ind w:left="2" w:right="80" w:firstLine="561"/>
        <w:spacing w:after="0" w:line="239" w:lineRule="auto"/>
        <w:tabs>
          <w:tab w:leader="none" w:pos="1296"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80" w:lineRule="exact"/>
        <w:rPr>
          <w:rFonts w:ascii="Times New Roman" w:cs="Times New Roman" w:eastAsia="Times New Roman" w:hAnsi="Times New Roman"/>
          <w:sz w:val="19"/>
          <w:szCs w:val="19"/>
          <w:color w:val="auto"/>
        </w:rPr>
      </w:pPr>
    </w:p>
    <w:p>
      <w:pPr>
        <w:ind w:left="2" w:firstLine="561"/>
        <w:spacing w:after="0" w:line="241" w:lineRule="auto"/>
        <w:tabs>
          <w:tab w:leader="none" w:pos="1286"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exercise of Options not exercisable prior to the Sale Event shall be subject to the consummation of the Sale Event.</w:t>
      </w:r>
    </w:p>
    <w:p>
      <w:pPr>
        <w:spacing w:after="0" w:line="179" w:lineRule="exact"/>
        <w:rPr>
          <w:rFonts w:ascii="Times New Roman" w:cs="Times New Roman" w:eastAsia="Times New Roman" w:hAnsi="Times New Roman"/>
          <w:sz w:val="19"/>
          <w:szCs w:val="19"/>
          <w:color w:val="auto"/>
        </w:rPr>
      </w:pPr>
    </w:p>
    <w:p>
      <w:pPr>
        <w:ind w:left="2" w:firstLine="561"/>
        <w:spacing w:after="0" w:line="238" w:lineRule="auto"/>
        <w:tabs>
          <w:tab w:leader="none" w:pos="1286"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80" w:lineRule="exact"/>
        <w:rPr>
          <w:sz w:val="20"/>
          <w:szCs w:val="20"/>
          <w:color w:val="auto"/>
        </w:rPr>
      </w:pPr>
    </w:p>
    <w:p>
      <w:pPr>
        <w:ind w:left="1262" w:hanging="699"/>
        <w:spacing w:after="0"/>
        <w:tabs>
          <w:tab w:leader="none" w:pos="126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 and Restricted Stock Unit Awards</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ind w:left="2" w:right="20" w:firstLine="561"/>
        <w:spacing w:after="0" w:line="255" w:lineRule="auto"/>
        <w:tabs>
          <w:tab w:leader="none" w:pos="129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324" w:lineRule="exact"/>
        <w:rPr>
          <w:sz w:val="20"/>
          <w:szCs w:val="20"/>
          <w:color w:val="auto"/>
        </w:rPr>
      </w:pPr>
    </w:p>
    <w:p>
      <w:pPr>
        <w:jc w:val="center"/>
        <w:ind w:right="478"/>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7150100" cy="14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22"/>
          </w:cols>
          <w:pgMar w:left="878" w:top="116" w:right="399" w:bottom="1440" w:gutter="0" w:footer="0" w:header="0"/>
        </w:sectPr>
      </w:pPr>
    </w:p>
    <w:bookmarkStart w:id="195" w:name="page196"/>
    <w:bookmarkEnd w:id="195"/>
    <w:p>
      <w:pPr>
        <w:ind w:left="560" w:right="160" w:firstLine="561"/>
        <w:spacing w:after="0" w:line="246" w:lineRule="auto"/>
        <w:tabs>
          <w:tab w:leader="none" w:pos="184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pacing w:after="0" w:line="174" w:lineRule="exact"/>
        <w:rPr>
          <w:rFonts w:ascii="Times New Roman" w:cs="Times New Roman" w:eastAsia="Times New Roman" w:hAnsi="Times New Roman"/>
          <w:sz w:val="19"/>
          <w:szCs w:val="19"/>
          <w:color w:val="auto"/>
        </w:rPr>
      </w:pPr>
    </w:p>
    <w:p>
      <w:pPr>
        <w:ind w:left="560" w:right="340" w:firstLine="561"/>
        <w:spacing w:after="0" w:line="241" w:lineRule="auto"/>
        <w:tabs>
          <w:tab w:leader="none" w:pos="184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ELIGIBILITY</w:t>
      </w:r>
    </w:p>
    <w:p>
      <w:pPr>
        <w:spacing w:after="0" w:line="204" w:lineRule="exact"/>
        <w:rPr>
          <w:sz w:val="20"/>
          <w:szCs w:val="20"/>
          <w:color w:val="auto"/>
        </w:rPr>
      </w:pPr>
    </w:p>
    <w:p>
      <w:pPr>
        <w:ind w:right="100" w:firstLine="564"/>
        <w:spacing w:after="0" w:line="245" w:lineRule="auto"/>
        <w:rPr>
          <w:sz w:val="20"/>
          <w:szCs w:val="20"/>
          <w:color w:val="auto"/>
        </w:rPr>
      </w:pPr>
      <w:r>
        <w:rPr>
          <w:rFonts w:ascii="Times New Roman" w:cs="Times New Roman" w:eastAsia="Times New Roman" w:hAnsi="Times New Roman"/>
          <w:sz w:val="19"/>
          <w:szCs w:val="19"/>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Awards shall be granted only to those individuals described in Rule 701(c)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STOCK OPTIONS</w:t>
      </w:r>
    </w:p>
    <w:p>
      <w:pPr>
        <w:spacing w:after="0" w:line="204" w:lineRule="exact"/>
        <w:rPr>
          <w:sz w:val="20"/>
          <w:szCs w:val="20"/>
          <w:color w:val="auto"/>
        </w:rPr>
      </w:pPr>
    </w:p>
    <w:p>
      <w:pPr>
        <w:ind w:right="100" w:firstLine="564"/>
        <w:spacing w:after="0" w:line="259" w:lineRule="auto"/>
        <w:rPr>
          <w:sz w:val="20"/>
          <w:szCs w:val="20"/>
          <w:color w:val="auto"/>
        </w:rPr>
      </w:pPr>
      <w:r>
        <w:rPr>
          <w:rFonts w:ascii="Times New Roman" w:cs="Times New Roman" w:eastAsia="Times New Roman" w:hAnsi="Times New Roman"/>
          <w:sz w:val="19"/>
          <w:szCs w:val="19"/>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62" w:lineRule="exact"/>
        <w:rPr>
          <w:sz w:val="20"/>
          <w:szCs w:val="20"/>
          <w:color w:val="auto"/>
        </w:rPr>
      </w:pPr>
    </w:p>
    <w:p>
      <w:pPr>
        <w:ind w:right="20" w:firstLine="564"/>
        <w:spacing w:after="0" w:line="259" w:lineRule="auto"/>
        <w:rPr>
          <w:sz w:val="20"/>
          <w:szCs w:val="20"/>
          <w:color w:val="auto"/>
        </w:rPr>
      </w:pPr>
      <w:r>
        <w:rPr>
          <w:rFonts w:ascii="Times New Roman" w:cs="Times New Roman" w:eastAsia="Times New Roman" w:hAnsi="Times New Roman"/>
          <w:sz w:val="19"/>
          <w:szCs w:val="19"/>
          <w:color w:val="auto"/>
        </w:rPr>
        <w:t>Stock Options granted under the Plan may be either Incentive Stock Options or Non- Qualified Stock Options. Incentive Stock Options may be granted only to employees of the Company or any Subsidiary that is a “subsidiary corporation” within the meaning of</w:t>
      </w:r>
    </w:p>
    <w:p>
      <w:pPr>
        <w:spacing w:after="0" w:line="162" w:lineRule="exact"/>
        <w:rPr>
          <w:sz w:val="20"/>
          <w:szCs w:val="20"/>
          <w:color w:val="auto"/>
        </w:rPr>
      </w:pPr>
    </w:p>
    <w:p>
      <w:pPr>
        <w:ind w:firstLine="564"/>
        <w:spacing w:after="0" w:line="259" w:lineRule="auto"/>
        <w:rPr>
          <w:sz w:val="20"/>
          <w:szCs w:val="20"/>
          <w:color w:val="auto"/>
        </w:rPr>
      </w:pPr>
      <w:r>
        <w:rPr>
          <w:rFonts w:ascii="Times New Roman" w:cs="Times New Roman" w:eastAsia="Times New Roman" w:hAnsi="Times New Roman"/>
          <w:sz w:val="19"/>
          <w:szCs w:val="19"/>
          <w:color w:val="auto"/>
        </w:rPr>
        <w:t>Section 424(f) of the Code. To the extent that any Option does not qualify as an Incentive Stock Option, it shall be deemed a Non-Qualified Stock Option.</w:t>
      </w:r>
    </w:p>
    <w:p>
      <w:pPr>
        <w:spacing w:after="0" w:line="162" w:lineRule="exact"/>
        <w:rPr>
          <w:sz w:val="20"/>
          <w:szCs w:val="20"/>
          <w:color w:val="auto"/>
        </w:rPr>
      </w:pPr>
    </w:p>
    <w:p>
      <w:pPr>
        <w:ind w:right="480" w:firstLine="558"/>
        <w:spacing w:after="0" w:line="245" w:lineRule="auto"/>
        <w:tabs>
          <w:tab w:leader="none" w:pos="1242"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 of Stock Options</w:t>
      </w:r>
      <w:r>
        <w:rPr>
          <w:rFonts w:ascii="Times New Roman" w:cs="Times New Roman" w:eastAsia="Times New Roman" w:hAnsi="Times New Roman"/>
          <w:sz w:val="19"/>
          <w:szCs w:val="19"/>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176" w:lineRule="exact"/>
        <w:rPr>
          <w:sz w:val="20"/>
          <w:szCs w:val="20"/>
          <w:color w:val="auto"/>
        </w:rPr>
      </w:pPr>
    </w:p>
    <w:p>
      <w:pPr>
        <w:ind w:right="80" w:firstLine="558"/>
        <w:spacing w:after="0" w:line="241" w:lineRule="auto"/>
        <w:tabs>
          <w:tab w:leader="none" w:pos="121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96" w:name="page197"/>
    <w:bookmarkEnd w:id="196"/>
    <w:p>
      <w:pPr>
        <w:ind w:firstLine="558"/>
        <w:spacing w:after="0" w:line="246" w:lineRule="auto"/>
        <w:tabs>
          <w:tab w:leader="none" w:pos="1263"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 Term</w:t>
      </w:r>
      <w:r>
        <w:rPr>
          <w:rFonts w:ascii="Times New Roman" w:cs="Times New Roman" w:eastAsia="Times New Roman" w:hAnsi="Times New Roman"/>
          <w:sz w:val="19"/>
          <w:szCs w:val="19"/>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174" w:lineRule="exact"/>
        <w:rPr>
          <w:rFonts w:ascii="Times New Roman" w:cs="Times New Roman" w:eastAsia="Times New Roman" w:hAnsi="Times New Roman"/>
          <w:sz w:val="19"/>
          <w:szCs w:val="19"/>
          <w:color w:val="auto"/>
        </w:rPr>
      </w:pPr>
    </w:p>
    <w:p>
      <w:pPr>
        <w:ind w:right="60" w:firstLine="558"/>
        <w:spacing w:after="0" w:line="236" w:lineRule="auto"/>
        <w:tabs>
          <w:tab w:leader="none" w:pos="1315"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Exercisability; Rights of a Stockholder</w:t>
      </w:r>
      <w:r>
        <w:rPr>
          <w:rFonts w:ascii="Times New Roman" w:cs="Times New Roman" w:eastAsia="Times New Roman" w:hAnsi="Times New Roman"/>
          <w:sz w:val="19"/>
          <w:szCs w:val="19"/>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83" w:lineRule="exact"/>
        <w:rPr>
          <w:rFonts w:ascii="Times New Roman" w:cs="Times New Roman" w:eastAsia="Times New Roman" w:hAnsi="Times New Roman"/>
          <w:sz w:val="19"/>
          <w:szCs w:val="19"/>
          <w:color w:val="auto"/>
        </w:rPr>
      </w:pPr>
    </w:p>
    <w:p>
      <w:pPr>
        <w:ind w:firstLine="558"/>
        <w:spacing w:after="0" w:line="245" w:lineRule="auto"/>
        <w:tabs>
          <w:tab w:leader="none" w:pos="130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Method of Exercise</w:t>
      </w:r>
      <w:r>
        <w:rPr>
          <w:rFonts w:ascii="Times New Roman" w:cs="Times New Roman" w:eastAsia="Times New Roman" w:hAnsi="Times New Roman"/>
          <w:sz w:val="19"/>
          <w:szCs w:val="19"/>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176" w:lineRule="exact"/>
        <w:rPr>
          <w:rFonts w:ascii="Times New Roman" w:cs="Times New Roman" w:eastAsia="Times New Roman" w:hAnsi="Times New Roman"/>
          <w:sz w:val="19"/>
          <w:szCs w:val="19"/>
          <w:color w:val="auto"/>
        </w:rPr>
      </w:pPr>
    </w:p>
    <w:p>
      <w:pPr>
        <w:ind w:left="1860" w:hanging="739"/>
        <w:spacing w:after="0"/>
        <w:tabs>
          <w:tab w:leader="none" w:pos="1860"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cash, by certified or bank check, by wire transfer of immediately available funds, or other instrument acceptable to the</w:t>
      </w:r>
    </w:p>
    <w:p>
      <w:pPr>
        <w:spacing w:after="0" w:line="12"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Committee;</w:t>
      </w:r>
    </w:p>
    <w:p>
      <w:pPr>
        <w:spacing w:after="0" w:line="184" w:lineRule="exact"/>
        <w:rPr>
          <w:rFonts w:ascii="Times New Roman" w:cs="Times New Roman" w:eastAsia="Times New Roman" w:hAnsi="Times New Roman"/>
          <w:sz w:val="19"/>
          <w:szCs w:val="19"/>
          <w:color w:val="auto"/>
        </w:rPr>
      </w:pPr>
    </w:p>
    <w:p>
      <w:pPr>
        <w:jc w:val="both"/>
        <w:ind w:left="560" w:right="180" w:firstLine="561"/>
        <w:spacing w:after="0" w:line="241" w:lineRule="auto"/>
        <w:tabs>
          <w:tab w:leader="none" w:pos="1844"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at least so much of the exercise price as represents the par value of the Stock shall be paid in cash if required by state law;</w:t>
      </w:r>
    </w:p>
    <w:p>
      <w:pPr>
        <w:spacing w:after="0" w:line="179" w:lineRule="exact"/>
        <w:rPr>
          <w:rFonts w:ascii="Times New Roman" w:cs="Times New Roman" w:eastAsia="Times New Roman" w:hAnsi="Times New Roman"/>
          <w:sz w:val="19"/>
          <w:szCs w:val="19"/>
          <w:color w:val="auto"/>
        </w:rPr>
      </w:pPr>
    </w:p>
    <w:p>
      <w:pPr>
        <w:ind w:left="560" w:firstLine="561"/>
        <w:spacing w:after="0" w:line="238" w:lineRule="auto"/>
        <w:tabs>
          <w:tab w:leader="none" w:pos="1844"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97" w:name="page198"/>
    <w:bookmarkEnd w:id="197"/>
    <w:p>
      <w:pPr>
        <w:ind w:left="560" w:right="20" w:firstLine="561"/>
        <w:spacing w:after="0" w:line="239" w:lineRule="auto"/>
        <w:tabs>
          <w:tab w:leader="none" w:pos="185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181" w:lineRule="exact"/>
        <w:rPr>
          <w:rFonts w:ascii="Times New Roman" w:cs="Times New Roman" w:eastAsia="Times New Roman" w:hAnsi="Times New Roman"/>
          <w:sz w:val="19"/>
          <w:szCs w:val="19"/>
          <w:color w:val="auto"/>
        </w:rPr>
      </w:pPr>
    </w:p>
    <w:p>
      <w:pPr>
        <w:ind w:left="560" w:right="120" w:firstLine="561"/>
        <w:spacing w:after="0" w:line="245" w:lineRule="auto"/>
        <w:tabs>
          <w:tab w:leader="none" w:pos="1833"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76" w:lineRule="exact"/>
        <w:rPr>
          <w:sz w:val="20"/>
          <w:szCs w:val="20"/>
          <w:color w:val="auto"/>
        </w:rPr>
      </w:pPr>
    </w:p>
    <w:p>
      <w:pPr>
        <w:ind w:firstLine="564"/>
        <w:spacing w:after="0" w:line="248"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176" w:lineRule="exact"/>
        <w:rPr>
          <w:sz w:val="20"/>
          <w:szCs w:val="20"/>
          <w:color w:val="auto"/>
        </w:rPr>
      </w:pPr>
    </w:p>
    <w:p>
      <w:pPr>
        <w:ind w:right="140" w:firstLine="558"/>
        <w:spacing w:after="0" w:line="239" w:lineRule="auto"/>
        <w:tabs>
          <w:tab w:leader="none" w:pos="1252"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Limit on Incentive Stock Options</w:t>
      </w:r>
      <w:r>
        <w:rPr>
          <w:rFonts w:ascii="Times New Roman" w:cs="Times New Roman" w:eastAsia="Times New Roman" w:hAnsi="Times New Roman"/>
          <w:sz w:val="19"/>
          <w:szCs w:val="19"/>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u w:val="single" w:color="auto"/>
          <w:color w:val="auto"/>
        </w:rPr>
        <w:t>RESTRICTED STOCK AWARDS</w:t>
      </w:r>
    </w:p>
    <w:p>
      <w:pPr>
        <w:spacing w:after="0" w:line="205" w:lineRule="exact"/>
        <w:rPr>
          <w:sz w:val="20"/>
          <w:szCs w:val="20"/>
          <w:color w:val="auto"/>
        </w:rPr>
      </w:pPr>
    </w:p>
    <w:p>
      <w:pPr>
        <w:ind w:right="20" w:firstLine="558"/>
        <w:spacing w:after="0" w:line="237" w:lineRule="auto"/>
        <w:tabs>
          <w:tab w:leader="none" w:pos="1242"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Restricted Stock Awards</w:t>
      </w:r>
      <w:r>
        <w:rPr>
          <w:rFonts w:ascii="Times New Roman" w:cs="Times New Roman" w:eastAsia="Times New Roman" w:hAnsi="Times New Roman"/>
          <w:sz w:val="19"/>
          <w:szCs w:val="19"/>
          <w:color w:val="auto"/>
        </w:rPr>
        <w:t>.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180" w:lineRule="exact"/>
        <w:rPr>
          <w:rFonts w:ascii="Times New Roman" w:cs="Times New Roman" w:eastAsia="Times New Roman" w:hAnsi="Times New Roman"/>
          <w:sz w:val="19"/>
          <w:szCs w:val="19"/>
          <w:color w:val="auto"/>
        </w:rPr>
      </w:pPr>
    </w:p>
    <w:p>
      <w:pPr>
        <w:ind w:right="20" w:firstLine="558"/>
        <w:spacing w:after="0" w:line="252" w:lineRule="auto"/>
        <w:tabs>
          <w:tab w:leader="none" w:pos="125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69" w:lineRule="exact"/>
        <w:rPr>
          <w:rFonts w:ascii="Times New Roman" w:cs="Times New Roman" w:eastAsia="Times New Roman" w:hAnsi="Times New Roman"/>
          <w:sz w:val="18"/>
          <w:szCs w:val="18"/>
          <w:color w:val="auto"/>
        </w:rPr>
      </w:pPr>
    </w:p>
    <w:p>
      <w:pPr>
        <w:ind w:firstLine="558"/>
        <w:spacing w:after="0" w:line="239" w:lineRule="auto"/>
        <w:tabs>
          <w:tab w:leader="none" w:pos="1242"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180" w:lineRule="exact"/>
        <w:rPr>
          <w:rFonts w:ascii="Times New Roman" w:cs="Times New Roman" w:eastAsia="Times New Roman" w:hAnsi="Times New Roman"/>
          <w:sz w:val="19"/>
          <w:szCs w:val="19"/>
          <w:color w:val="auto"/>
        </w:rPr>
      </w:pPr>
    </w:p>
    <w:p>
      <w:pPr>
        <w:jc w:val="both"/>
        <w:ind w:right="200" w:firstLine="558"/>
        <w:spacing w:after="0" w:line="266" w:lineRule="auto"/>
        <w:tabs>
          <w:tab w:leader="none" w:pos="125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UNRESTRICTED STOCK AWARDS</w:t>
      </w:r>
    </w:p>
    <w:p>
      <w:pPr>
        <w:spacing w:after="0" w:line="204" w:lineRule="exact"/>
        <w:rPr>
          <w:sz w:val="20"/>
          <w:szCs w:val="20"/>
          <w:color w:val="auto"/>
        </w:rPr>
      </w:pPr>
    </w:p>
    <w:p>
      <w:pPr>
        <w:ind w:right="20" w:firstLine="564"/>
        <w:spacing w:after="0" w:line="245" w:lineRule="auto"/>
        <w:rPr>
          <w:sz w:val="20"/>
          <w:szCs w:val="20"/>
          <w:color w:val="auto"/>
        </w:rPr>
      </w:pPr>
      <w:r>
        <w:rPr>
          <w:rFonts w:ascii="Times New Roman" w:cs="Times New Roman" w:eastAsia="Times New Roman" w:hAnsi="Times New Roman"/>
          <w:sz w:val="19"/>
          <w:szCs w:val="19"/>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RESTRICTED STOCK UNITS</w:t>
      </w:r>
    </w:p>
    <w:p>
      <w:pPr>
        <w:spacing w:after="0" w:line="205" w:lineRule="exact"/>
        <w:rPr>
          <w:sz w:val="20"/>
          <w:szCs w:val="20"/>
          <w:color w:val="auto"/>
        </w:rPr>
      </w:pPr>
    </w:p>
    <w:p>
      <w:pPr>
        <w:ind w:right="80" w:firstLine="558"/>
        <w:spacing w:after="0" w:line="236" w:lineRule="auto"/>
        <w:tabs>
          <w:tab w:leader="none" w:pos="1242"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Restricted Stock Units</w:t>
      </w:r>
      <w:r>
        <w:rPr>
          <w:rFonts w:ascii="Times New Roman" w:cs="Times New Roman" w:eastAsia="Times New Roman" w:hAnsi="Times New Roman"/>
          <w:sz w:val="19"/>
          <w:szCs w:val="19"/>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179" w:lineRule="exact"/>
        <w:rPr>
          <w:rFonts w:ascii="Times New Roman" w:cs="Times New Roman" w:eastAsia="Times New Roman" w:hAnsi="Times New Roman"/>
          <w:sz w:val="19"/>
          <w:szCs w:val="19"/>
          <w:color w:val="auto"/>
        </w:rPr>
      </w:pPr>
    </w:p>
    <w:p>
      <w:pPr>
        <w:ind w:firstLine="558"/>
        <w:spacing w:after="0" w:line="239" w:lineRule="auto"/>
        <w:tabs>
          <w:tab w:leader="none" w:pos="1252"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as a Stockholder</w:t>
      </w:r>
      <w:r>
        <w:rPr>
          <w:rFonts w:ascii="Times New Roman" w:cs="Times New Roman" w:eastAsia="Times New Roman" w:hAnsi="Times New Roman"/>
          <w:sz w:val="19"/>
          <w:szCs w:val="19"/>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180" w:lineRule="exact"/>
        <w:rPr>
          <w:rFonts w:ascii="Times New Roman" w:cs="Times New Roman" w:eastAsia="Times New Roman" w:hAnsi="Times New Roman"/>
          <w:sz w:val="19"/>
          <w:szCs w:val="19"/>
          <w:color w:val="auto"/>
        </w:rPr>
      </w:pPr>
    </w:p>
    <w:p>
      <w:pPr>
        <w:ind w:left="1240" w:hanging="682"/>
        <w:spacing w:after="0"/>
        <w:tabs>
          <w:tab w:leader="none" w:pos="12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Except as may otherwise be provided by the Committee either in</w:t>
      </w:r>
    </w:p>
    <w:p>
      <w:pPr>
        <w:spacing w:after="0" w:line="13"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19"/>
          <w:szCs w:val="19"/>
          <w:color w:val="auto"/>
        </w:rPr>
        <w:t>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9. </w:t>
      </w:r>
      <w:r>
        <w:rPr>
          <w:rFonts w:ascii="Times New Roman" w:cs="Times New Roman" w:eastAsia="Times New Roman" w:hAnsi="Times New Roman"/>
          <w:sz w:val="19"/>
          <w:szCs w:val="19"/>
          <w:u w:val="single" w:color="auto"/>
          <w:color w:val="auto"/>
        </w:rPr>
        <w:t>TRANSFER RESTRICTIONS; COMPANY RIGHT OF FIRST REFUSAL; COMPANY REPURCHASE RIGHTS</w:t>
      </w:r>
    </w:p>
    <w:p>
      <w:pPr>
        <w:spacing w:after="0" w:line="204" w:lineRule="exact"/>
        <w:rPr>
          <w:sz w:val="20"/>
          <w:szCs w:val="20"/>
          <w:color w:val="auto"/>
        </w:rPr>
      </w:pPr>
    </w:p>
    <w:p>
      <w:pPr>
        <w:ind w:left="1240" w:hanging="682"/>
        <w:spacing w:after="0"/>
        <w:tabs>
          <w:tab w:leader="none" w:pos="124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120" w:firstLine="1121"/>
        <w:spacing w:after="0" w:line="249" w:lineRule="auto"/>
        <w:tabs>
          <w:tab w:leader="none" w:pos="177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Stock Options</w:t>
      </w:r>
      <w:r>
        <w:rPr>
          <w:rFonts w:ascii="Times New Roman" w:cs="Times New Roman" w:eastAsia="Times New Roman" w:hAnsi="Times New Roman"/>
          <w:sz w:val="18"/>
          <w:szCs w:val="18"/>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00" w:name="page201"/>
    <w:bookmarkEnd w:id="200"/>
    <w:p>
      <w:pPr>
        <w:ind w:left="-40" w:right="40" w:firstLine="558"/>
        <w:spacing w:after="0" w:line="234" w:lineRule="auto"/>
        <w:tabs>
          <w:tab w:leader="none" w:pos="1223"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88" w:lineRule="exact"/>
        <w:rPr>
          <w:rFonts w:ascii="Times New Roman" w:cs="Times New Roman" w:eastAsia="Times New Roman" w:hAnsi="Times New Roman"/>
          <w:sz w:val="19"/>
          <w:szCs w:val="19"/>
          <w:color w:val="auto"/>
        </w:rPr>
      </w:pPr>
    </w:p>
    <w:p>
      <w:pPr>
        <w:ind w:left="520" w:firstLine="561"/>
        <w:spacing w:after="0" w:line="238" w:lineRule="auto"/>
        <w:tabs>
          <w:tab w:leader="none" w:pos="1814" w:val="left"/>
        </w:tabs>
        <w:numPr>
          <w:ilvl w:val="1"/>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Transfers to Permitted Transferees</w:t>
      </w:r>
      <w:r>
        <w:rPr>
          <w:rFonts w:ascii="Times New Roman" w:cs="Times New Roman" w:eastAsia="Times New Roman" w:hAnsi="Times New Roman"/>
          <w:sz w:val="19"/>
          <w:szCs w:val="19"/>
          <w:color w:val="auto"/>
        </w:rPr>
        <w:t xml:space="preserve">. The Holder may transfer any or all of the Shares to one or more Permitted Transferees;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following such transfer, such Shares shall continue to be subject to the terms of this Plan (including this Section 9)</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179" w:lineRule="exact"/>
        <w:rPr>
          <w:rFonts w:ascii="Times New Roman" w:cs="Times New Roman" w:eastAsia="Times New Roman" w:hAnsi="Times New Roman"/>
          <w:sz w:val="19"/>
          <w:szCs w:val="19"/>
          <w:color w:val="auto"/>
        </w:rPr>
      </w:pPr>
    </w:p>
    <w:p>
      <w:pPr>
        <w:jc w:val="both"/>
        <w:ind w:left="520" w:right="100" w:firstLine="561"/>
        <w:spacing w:after="0" w:line="241" w:lineRule="auto"/>
        <w:tabs>
          <w:tab w:leader="none" w:pos="1851" w:val="left"/>
        </w:tabs>
        <w:numPr>
          <w:ilvl w:val="1"/>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Transfers Upon Death</w:t>
      </w:r>
      <w:r>
        <w:rPr>
          <w:rFonts w:ascii="Times New Roman" w:cs="Times New Roman" w:eastAsia="Times New Roman" w:hAnsi="Times New Roman"/>
          <w:sz w:val="19"/>
          <w:szCs w:val="19"/>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29210</wp:posOffset>
            </wp:positionV>
            <wp:extent cx="7150100" cy="14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60" w:top="116" w:right="379" w:bottom="1440" w:gutter="0" w:footer="0" w:header="0"/>
        </w:sectPr>
      </w:pPr>
    </w:p>
    <w:bookmarkStart w:id="201" w:name="page202"/>
    <w:bookmarkEnd w:id="201"/>
    <w:p>
      <w:pPr>
        <w:ind w:right="40" w:firstLine="558"/>
        <w:spacing w:after="0" w:line="234" w:lineRule="auto"/>
        <w:tabs>
          <w:tab w:leader="none" w:pos="1252"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of First Refusal</w:t>
      </w:r>
      <w:r>
        <w:rPr>
          <w:rFonts w:ascii="Times New Roman" w:cs="Times New Roman" w:eastAsia="Times New Roman" w:hAnsi="Times New Roman"/>
          <w:sz w:val="19"/>
          <w:szCs w:val="19"/>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 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83" w:lineRule="exact"/>
        <w:rPr>
          <w:rFonts w:ascii="Times New Roman" w:cs="Times New Roman" w:eastAsia="Times New Roman" w:hAnsi="Times New Roman"/>
          <w:sz w:val="19"/>
          <w:szCs w:val="19"/>
          <w:color w:val="auto"/>
        </w:rPr>
      </w:pPr>
    </w:p>
    <w:p>
      <w:pPr>
        <w:ind w:left="1240" w:hanging="682"/>
        <w:spacing w:after="0"/>
        <w:tabs>
          <w:tab w:leader="none" w:pos="12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Company’s Right of Repurchase</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firstLine="1121"/>
        <w:spacing w:after="0" w:line="238" w:lineRule="auto"/>
        <w:tabs>
          <w:tab w:leader="none" w:pos="1868"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of Repurchase for Unvested Shares Issued Upon the Exercise of an Option</w:t>
      </w:r>
      <w:r>
        <w:rPr>
          <w:rFonts w:ascii="Times New Roman" w:cs="Times New Roman" w:eastAsia="Times New Roman" w:hAnsi="Times New Roman"/>
          <w:sz w:val="19"/>
          <w:szCs w:val="19"/>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79" w:lineRule="exact"/>
        <w:rPr>
          <w:rFonts w:ascii="Times New Roman" w:cs="Times New Roman" w:eastAsia="Times New Roman" w:hAnsi="Times New Roman"/>
          <w:sz w:val="19"/>
          <w:szCs w:val="19"/>
          <w:color w:val="auto"/>
        </w:rPr>
      </w:pPr>
    </w:p>
    <w:p>
      <w:pPr>
        <w:ind w:firstLine="1121"/>
        <w:spacing w:after="0" w:line="238" w:lineRule="auto"/>
        <w:tabs>
          <w:tab w:leader="none" w:pos="1873"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of Repurchase With Respect to Restricted Stock</w:t>
      </w:r>
      <w:r>
        <w:rPr>
          <w:rFonts w:ascii="Times New Roman" w:cs="Times New Roman" w:eastAsia="Times New Roman" w:hAnsi="Times New Roman"/>
          <w:sz w:val="19"/>
          <w:szCs w:val="19"/>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2" w:name="page203"/>
    <w:bookmarkEnd w:id="202"/>
    <w:p>
      <w:pPr>
        <w:ind w:left="-60" w:right="80" w:firstLine="1121"/>
        <w:spacing w:after="0" w:line="237" w:lineRule="auto"/>
        <w:tabs>
          <w:tab w:leader="none" w:pos="1818" w:val="left"/>
        </w:tabs>
        <w:numPr>
          <w:ilvl w:val="1"/>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may pay the repurchase price by offsetting and canceling any indebtedness then owed by the Holder to the Company.</w:t>
      </w:r>
    </w:p>
    <w:p>
      <w:pPr>
        <w:spacing w:after="0" w:line="181" w:lineRule="exact"/>
        <w:rPr>
          <w:rFonts w:ascii="Times New Roman" w:cs="Times New Roman" w:eastAsia="Times New Roman" w:hAnsi="Times New Roman"/>
          <w:sz w:val="19"/>
          <w:szCs w:val="19"/>
          <w:color w:val="auto"/>
        </w:rPr>
      </w:pPr>
    </w:p>
    <w:p>
      <w:pPr>
        <w:ind w:left="-60" w:firstLine="558"/>
        <w:spacing w:after="0" w:line="235" w:lineRule="auto"/>
        <w:tabs>
          <w:tab w:leader="none" w:pos="1192"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Drag Along Right. In the event the holders of a majority of the Company’s equity securities then outstanding (the “Majority Shareholders”) determine to enter into a Sale Event in a bona fide negotiated transaction (a “Sale”), with any non-Affiliate of the Company or any majority shareholder (in each case, the “Buyer”),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183" w:lineRule="exact"/>
        <w:rPr>
          <w:rFonts w:ascii="Times New Roman" w:cs="Times New Roman" w:eastAsia="Times New Roman" w:hAnsi="Times New Roman"/>
          <w:sz w:val="19"/>
          <w:szCs w:val="19"/>
          <w:color w:val="auto"/>
        </w:rPr>
      </w:pPr>
    </w:p>
    <w:p>
      <w:pPr>
        <w:ind w:left="1180" w:hanging="682"/>
        <w:spacing w:after="0"/>
        <w:tabs>
          <w:tab w:leader="none" w:pos="118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Escrow Arrangement</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ind w:left="20" w:right="40" w:firstLine="1118"/>
        <w:spacing w:after="0" w:line="237" w:lineRule="auto"/>
        <w:tabs>
          <w:tab w:leader="none" w:pos="1793"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Escrow</w:t>
      </w:r>
      <w:r>
        <w:rPr>
          <w:rFonts w:ascii="Times New Roman" w:cs="Times New Roman" w:eastAsia="Times New Roman" w:hAnsi="Times New Roman"/>
          <w:sz w:val="19"/>
          <w:szCs w:val="19"/>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29210</wp:posOffset>
            </wp:positionV>
            <wp:extent cx="7150100" cy="14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40"/>
          </w:cols>
          <w:pgMar w:left="380" w:top="116" w:right="379" w:bottom="1440" w:gutter="0" w:footer="0" w:header="0"/>
        </w:sectPr>
      </w:pPr>
    </w:p>
    <w:bookmarkStart w:id="203" w:name="page204"/>
    <w:bookmarkEnd w:id="203"/>
    <w:p>
      <w:pPr>
        <w:ind w:left="-20" w:right="40" w:firstLine="558"/>
        <w:spacing w:after="0" w:line="235" w:lineRule="auto"/>
        <w:tabs>
          <w:tab w:leader="none" w:pos="1243"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84" w:lineRule="exact"/>
        <w:rPr>
          <w:sz w:val="20"/>
          <w:szCs w:val="20"/>
          <w:color w:val="auto"/>
        </w:rPr>
      </w:pPr>
    </w:p>
    <w:p>
      <w:pPr>
        <w:ind w:left="-20" w:right="40" w:firstLine="558"/>
        <w:spacing w:after="0" w:line="234" w:lineRule="auto"/>
        <w:tabs>
          <w:tab w:leader="none" w:pos="1201"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Lockup Provision</w:t>
      </w:r>
      <w:r>
        <w:rPr>
          <w:rFonts w:ascii="Times New Roman" w:cs="Times New Roman" w:eastAsia="Times New Roman" w:hAnsi="Times New Roman"/>
          <w:sz w:val="19"/>
          <w:szCs w:val="19"/>
          <w:color w:val="auto"/>
        </w:rPr>
        <w:t>. If requested by the Company, a Holder will not, without the prior written consent of the managing underwriter, during the period commencing on the date of the final prospectus relating to the Company’s initial public offering (the “IPO”) and ending on the date specified by the Company and the managing underwriter (such period not to exceed one hundred eighty (l80)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(a) lend, offer, pledge, sell, contract to sell, sell any option or contract to purchase, purchase any option or contract to sell, grant any option, right or warrant to purchase, or otherwise transfer or dispose of, directly or indirectly, any shares of capital stock held immediately prior to the effectiveness of the registration statement for the IPO;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The foregoing provisions of this Section 9(f) shall not apply to the sale of any shares to an underwriter pursuant to an underwriting agreement, and shall only be applicable to the Holder if all officers, directors and holders of more than one percent (1%) of the outstanding Common Stock (after giving effect to the conversion into Common Stock of all outstanding Preferred Stock) enter into similar agreements. The underwriters in connection with the IPO are intended third party beneficiaries of this Section 9(f) and shall have the right, power and authority to enforce the provisions hereof as though they were a party hereto. Each Holder further agrees to execute such agreements as may be reasonably requested by the underwriters in the IPO that are consistent with this Section 9(f) or that are necessary to give further effect thereto.</w:t>
      </w:r>
    </w:p>
    <w:p>
      <w:pPr>
        <w:spacing w:after="0" w:line="184" w:lineRule="exact"/>
        <w:rPr>
          <w:rFonts w:ascii="Times New Roman" w:cs="Times New Roman" w:eastAsia="Times New Roman" w:hAnsi="Times New Roman"/>
          <w:sz w:val="19"/>
          <w:szCs w:val="19"/>
          <w:color w:val="auto"/>
        </w:rPr>
      </w:pPr>
    </w:p>
    <w:p>
      <w:pPr>
        <w:ind w:left="-20" w:firstLine="558"/>
        <w:spacing w:after="0" w:line="241" w:lineRule="auto"/>
        <w:tabs>
          <w:tab w:leader="none" w:pos="1232"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for Changes in Capital Structure</w:t>
      </w:r>
      <w:r>
        <w:rPr>
          <w:rFonts w:ascii="Times New Roman" w:cs="Times New Roman" w:eastAsia="Times New Roman" w:hAnsi="Times New Roman"/>
          <w:sz w:val="19"/>
          <w:szCs w:val="19"/>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6" w:right="339" w:bottom="1440" w:gutter="0" w:footer="0" w:header="0"/>
        </w:sectPr>
      </w:pPr>
    </w:p>
    <w:bookmarkStart w:id="204" w:name="page205"/>
    <w:bookmarkEnd w:id="204"/>
    <w:p>
      <w:pPr>
        <w:ind w:left="6" w:right="260" w:firstLine="558"/>
        <w:spacing w:after="0" w:line="243" w:lineRule="auto"/>
        <w:tabs>
          <w:tab w:leader="none" w:pos="1258"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The terms and provisions of Section 9(b) and Section 9(c) (except for the Company’s right to repurchase Shares still subject to a risk of forfeiture upon a</w:t>
      </w:r>
    </w:p>
    <w:p>
      <w:pPr>
        <w:spacing w:after="0" w:line="1" w:lineRule="exact"/>
        <w:rPr>
          <w:rFonts w:ascii="Times New Roman" w:cs="Times New Roman" w:eastAsia="Times New Roman" w:hAnsi="Times New Roman"/>
          <w:sz w:val="19"/>
          <w:szCs w:val="19"/>
          <w:color w:val="auto"/>
        </w:rPr>
      </w:pPr>
    </w:p>
    <w:p>
      <w:pPr>
        <w:jc w:val="both"/>
        <w:ind w:left="6" w:right="260" w:firstLine="564"/>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xml:space="preserve">SECTION 10. </w:t>
      </w:r>
      <w:r>
        <w:rPr>
          <w:rFonts w:ascii="Times New Roman" w:cs="Times New Roman" w:eastAsia="Times New Roman" w:hAnsi="Times New Roman"/>
          <w:sz w:val="19"/>
          <w:szCs w:val="19"/>
          <w:u w:val="single" w:color="auto"/>
          <w:color w:val="auto"/>
        </w:rPr>
        <w:t>TAX WITHHOLDING</w:t>
      </w:r>
    </w:p>
    <w:p>
      <w:pPr>
        <w:spacing w:after="0" w:line="204" w:lineRule="exact"/>
        <w:rPr>
          <w:sz w:val="20"/>
          <w:szCs w:val="20"/>
          <w:color w:val="auto"/>
        </w:rPr>
      </w:pPr>
    </w:p>
    <w:p>
      <w:pPr>
        <w:ind w:left="6" w:right="20" w:firstLine="558"/>
        <w:spacing w:after="0" w:line="238" w:lineRule="auto"/>
        <w:tabs>
          <w:tab w:leader="none" w:pos="1248"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by Grantee</w:t>
      </w:r>
      <w:r>
        <w:rPr>
          <w:rFonts w:ascii="Times New Roman" w:cs="Times New Roman" w:eastAsia="Times New Roman" w:hAnsi="Times New Roman"/>
          <w:sz w:val="19"/>
          <w:szCs w:val="19"/>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79" w:lineRule="exact"/>
        <w:rPr>
          <w:rFonts w:ascii="Times New Roman" w:cs="Times New Roman" w:eastAsia="Times New Roman" w:hAnsi="Times New Roman"/>
          <w:sz w:val="19"/>
          <w:szCs w:val="19"/>
          <w:color w:val="auto"/>
        </w:rPr>
      </w:pPr>
    </w:p>
    <w:p>
      <w:pPr>
        <w:ind w:left="6" w:right="160" w:firstLine="558"/>
        <w:spacing w:after="0" w:line="245" w:lineRule="auto"/>
        <w:tabs>
          <w:tab w:leader="none" w:pos="1258"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in Stock</w:t>
      </w:r>
      <w:r>
        <w:rPr>
          <w:rFonts w:ascii="Times New Roman" w:cs="Times New Roman" w:eastAsia="Times New Roman" w:hAnsi="Times New Roman"/>
          <w:sz w:val="19"/>
          <w:szCs w:val="19"/>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SECTION 409A AWARDS.</w:t>
      </w:r>
    </w:p>
    <w:p>
      <w:pPr>
        <w:spacing w:after="0" w:line="204" w:lineRule="exact"/>
        <w:rPr>
          <w:sz w:val="20"/>
          <w:szCs w:val="20"/>
          <w:color w:val="auto"/>
        </w:rPr>
      </w:pPr>
    </w:p>
    <w:p>
      <w:pPr>
        <w:ind w:left="6" w:right="40" w:firstLine="564"/>
        <w:spacing w:after="0" w:line="250"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w:t>
      </w:r>
    </w:p>
    <w:p>
      <w:pPr>
        <w:spacing w:after="0" w:line="3" w:lineRule="exact"/>
        <w:rPr>
          <w:sz w:val="20"/>
          <w:szCs w:val="20"/>
          <w:color w:val="auto"/>
        </w:rPr>
      </w:pPr>
    </w:p>
    <w:p>
      <w:pPr>
        <w:jc w:val="both"/>
        <w:ind w:left="6" w:right="220" w:hanging="6"/>
        <w:spacing w:after="0" w:line="235" w:lineRule="auto"/>
        <w:tabs>
          <w:tab w:leader="none" w:pos="23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81" w:lineRule="exact"/>
        <w:rPr>
          <w:sz w:val="20"/>
          <w:szCs w:val="20"/>
          <w:color w:val="auto"/>
        </w:rPr>
      </w:pPr>
    </w:p>
    <w:p>
      <w:pPr>
        <w:ind w:left="86"/>
        <w:spacing w:after="0"/>
        <w:rPr>
          <w:sz w:val="20"/>
          <w:szCs w:val="20"/>
          <w:color w:val="auto"/>
        </w:rPr>
      </w:pPr>
      <w:r>
        <w:rPr>
          <w:rFonts w:ascii="Times New Roman" w:cs="Times New Roman" w:eastAsia="Times New Roman" w:hAnsi="Times New Roman"/>
          <w:sz w:val="19"/>
          <w:szCs w:val="19"/>
          <w:color w:val="auto"/>
        </w:rPr>
        <w:t xml:space="preserve">SECTION 12. </w:t>
      </w:r>
      <w:r>
        <w:rPr>
          <w:rFonts w:ascii="Times New Roman" w:cs="Times New Roman" w:eastAsia="Times New Roman" w:hAnsi="Times New Roman"/>
          <w:sz w:val="19"/>
          <w:szCs w:val="19"/>
          <w:u w:val="single" w:color="auto"/>
          <w:color w:val="auto"/>
        </w:rPr>
        <w:t>AMENDMENTS AND TERMINATION</w:t>
      </w:r>
    </w:p>
    <w:p>
      <w:pPr>
        <w:spacing w:after="0" w:line="204" w:lineRule="exact"/>
        <w:rPr>
          <w:sz w:val="20"/>
          <w:szCs w:val="20"/>
          <w:color w:val="auto"/>
        </w:rPr>
      </w:pPr>
    </w:p>
    <w:p>
      <w:pPr>
        <w:ind w:left="6" w:firstLine="564"/>
        <w:spacing w:after="0" w:line="236" w:lineRule="auto"/>
        <w:rPr>
          <w:sz w:val="20"/>
          <w:szCs w:val="20"/>
          <w:color w:val="auto"/>
        </w:rPr>
      </w:pPr>
      <w:r>
        <w:rPr>
          <w:rFonts w:ascii="Times New Roman" w:cs="Times New Roman" w:eastAsia="Times New Roman" w:hAnsi="Times New Roman"/>
          <w:sz w:val="19"/>
          <w:szCs w:val="19"/>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5" w:right="339" w:bottom="1440" w:gutter="0" w:footer="0" w:header="0"/>
        </w:sectPr>
      </w:pPr>
    </w:p>
    <w:bookmarkStart w:id="205" w:name="page206"/>
    <w:bookmarkEnd w:id="205"/>
    <w:p>
      <w:pPr>
        <w:ind w:left="80"/>
        <w:spacing w:after="0"/>
        <w:rPr>
          <w:sz w:val="20"/>
          <w:szCs w:val="20"/>
          <w:color w:val="auto"/>
        </w:rPr>
      </w:pPr>
      <w:r>
        <w:rPr>
          <w:rFonts w:ascii="Times New Roman" w:cs="Times New Roman" w:eastAsia="Times New Roman" w:hAnsi="Times New Roman"/>
          <w:sz w:val="19"/>
          <w:szCs w:val="19"/>
          <w:color w:val="auto"/>
        </w:rPr>
        <w:t xml:space="preserve">SECTION 13. </w:t>
      </w:r>
      <w:r>
        <w:rPr>
          <w:rFonts w:ascii="Times New Roman" w:cs="Times New Roman" w:eastAsia="Times New Roman" w:hAnsi="Times New Roman"/>
          <w:sz w:val="19"/>
          <w:szCs w:val="19"/>
          <w:u w:val="single" w:color="auto"/>
          <w:color w:val="auto"/>
        </w:rPr>
        <w:t>STATUS OF PLAN</w:t>
      </w:r>
    </w:p>
    <w:p>
      <w:pPr>
        <w:spacing w:after="0" w:line="205" w:lineRule="exact"/>
        <w:rPr>
          <w:sz w:val="20"/>
          <w:szCs w:val="20"/>
          <w:color w:val="auto"/>
        </w:rPr>
      </w:pPr>
    </w:p>
    <w:p>
      <w:pPr>
        <w:ind w:right="20" w:firstLine="564"/>
        <w:spacing w:after="0" w:line="245" w:lineRule="auto"/>
        <w:rPr>
          <w:sz w:val="20"/>
          <w:szCs w:val="20"/>
          <w:color w:val="auto"/>
        </w:rPr>
      </w:pPr>
      <w:r>
        <w:rPr>
          <w:rFonts w:ascii="Times New Roman" w:cs="Times New Roman" w:eastAsia="Times New Roman" w:hAnsi="Times New Roman"/>
          <w:sz w:val="19"/>
          <w:szCs w:val="19"/>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 xml:space="preserve">SECTION 14. </w:t>
      </w:r>
      <w:r>
        <w:rPr>
          <w:rFonts w:ascii="Times New Roman" w:cs="Times New Roman" w:eastAsia="Times New Roman" w:hAnsi="Times New Roman"/>
          <w:sz w:val="19"/>
          <w:szCs w:val="19"/>
          <w:u w:val="single" w:color="auto"/>
          <w:color w:val="auto"/>
        </w:rPr>
        <w:t>GENERAL PROVISIONS</w:t>
      </w:r>
    </w:p>
    <w:p>
      <w:pPr>
        <w:spacing w:after="0" w:line="204" w:lineRule="exact"/>
        <w:rPr>
          <w:sz w:val="20"/>
          <w:szCs w:val="20"/>
          <w:color w:val="auto"/>
        </w:rPr>
      </w:pPr>
    </w:p>
    <w:p>
      <w:pPr>
        <w:ind w:right="140" w:firstLine="558"/>
        <w:spacing w:after="0" w:line="239" w:lineRule="auto"/>
        <w:tabs>
          <w:tab w:leader="none" w:pos="124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Distribution; Compliance with Legal Requirements</w:t>
      </w:r>
      <w:r>
        <w:rPr>
          <w:rFonts w:ascii="Times New Roman" w:cs="Times New Roman" w:eastAsia="Times New Roman" w:hAnsi="Times New Roman"/>
          <w:sz w:val="19"/>
          <w:szCs w:val="19"/>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80" w:lineRule="exact"/>
        <w:rPr>
          <w:rFonts w:ascii="Times New Roman" w:cs="Times New Roman" w:eastAsia="Times New Roman" w:hAnsi="Times New Roman"/>
          <w:sz w:val="19"/>
          <w:szCs w:val="19"/>
          <w:color w:val="auto"/>
        </w:rPr>
      </w:pPr>
    </w:p>
    <w:p>
      <w:pPr>
        <w:ind w:firstLine="558"/>
        <w:spacing w:after="0" w:line="237" w:lineRule="auto"/>
        <w:tabs>
          <w:tab w:leader="none" w:pos="125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Stock Certificates</w:t>
      </w:r>
      <w:r>
        <w:rPr>
          <w:rFonts w:ascii="Times New Roman" w:cs="Times New Roman" w:eastAsia="Times New Roman" w:hAnsi="Times New Roman"/>
          <w:sz w:val="19"/>
          <w:szCs w:val="19"/>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76" w:lineRule="exact"/>
        <w:rPr>
          <w:rFonts w:ascii="Times New Roman" w:cs="Times New Roman" w:eastAsia="Times New Roman" w:hAnsi="Times New Roman"/>
          <w:sz w:val="19"/>
          <w:szCs w:val="19"/>
          <w:color w:val="auto"/>
        </w:rPr>
      </w:pPr>
    </w:p>
    <w:p>
      <w:pPr>
        <w:ind w:right="380" w:firstLine="558"/>
        <w:spacing w:after="0" w:line="263" w:lineRule="auto"/>
        <w:tabs>
          <w:tab w:leader="none" w:pos="124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Employment Rights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adoption of the Plan and the grant of Awards do not confer upon any Person any right to continued employment or Service Relationship with the Company or any Subsidiary.</w:t>
      </w:r>
    </w:p>
    <w:p>
      <w:pPr>
        <w:spacing w:after="0" w:line="159" w:lineRule="exact"/>
        <w:rPr>
          <w:rFonts w:ascii="Times New Roman" w:cs="Times New Roman" w:eastAsia="Times New Roman" w:hAnsi="Times New Roman"/>
          <w:sz w:val="19"/>
          <w:szCs w:val="19"/>
          <w:color w:val="auto"/>
        </w:rPr>
      </w:pPr>
    </w:p>
    <w:p>
      <w:pPr>
        <w:ind w:right="140" w:firstLine="558"/>
        <w:spacing w:after="0" w:line="245" w:lineRule="auto"/>
        <w:tabs>
          <w:tab w:leader="none" w:pos="125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Trading Policy Restrictions</w:t>
      </w:r>
      <w:r>
        <w:rPr>
          <w:rFonts w:ascii="Times New Roman" w:cs="Times New Roman" w:eastAsia="Times New Roman" w:hAnsi="Times New Roman"/>
          <w:sz w:val="19"/>
          <w:szCs w:val="19"/>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6" w:name="page207"/>
    <w:bookmarkEnd w:id="206"/>
    <w:p>
      <w:pPr>
        <w:ind w:right="40" w:firstLine="558"/>
        <w:spacing w:after="0" w:line="239" w:lineRule="auto"/>
        <w:tabs>
          <w:tab w:leader="none" w:pos="1242"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Beneficiary</w:t>
      </w:r>
      <w:r>
        <w:rPr>
          <w:rFonts w:ascii="Times New Roman" w:cs="Times New Roman" w:eastAsia="Times New Roman" w:hAnsi="Times New Roman"/>
          <w:sz w:val="19"/>
          <w:szCs w:val="19"/>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81" w:lineRule="exact"/>
        <w:rPr>
          <w:rFonts w:ascii="Times New Roman" w:cs="Times New Roman" w:eastAsia="Times New Roman" w:hAnsi="Times New Roman"/>
          <w:sz w:val="19"/>
          <w:szCs w:val="19"/>
          <w:color w:val="auto"/>
        </w:rPr>
      </w:pPr>
    </w:p>
    <w:p>
      <w:pPr>
        <w:ind w:right="220" w:firstLine="558"/>
        <w:spacing w:after="0" w:line="259" w:lineRule="auto"/>
        <w:tabs>
          <w:tab w:leader="none" w:pos="1221"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Legend</w:t>
      </w:r>
      <w:r>
        <w:rPr>
          <w:rFonts w:ascii="Times New Roman" w:cs="Times New Roman" w:eastAsia="Times New Roman" w:hAnsi="Times New Roman"/>
          <w:sz w:val="19"/>
          <w:szCs w:val="19"/>
          <w:color w:val="auto"/>
        </w:rPr>
        <w:t>. Any certificate(s) representing the Shares shall carry substantially the following legend (and with respect to uncertificated Stock, the book entries evidencing such shares shall contain the following notation):</w:t>
      </w:r>
    </w:p>
    <w:p>
      <w:pPr>
        <w:spacing w:after="0" w:line="162" w:lineRule="exact"/>
        <w:rPr>
          <w:sz w:val="20"/>
          <w:szCs w:val="20"/>
          <w:color w:val="auto"/>
        </w:rPr>
      </w:pPr>
    </w:p>
    <w:p>
      <w:pPr>
        <w:ind w:left="1120" w:right="100"/>
        <w:spacing w:after="0" w:line="241" w:lineRule="auto"/>
        <w:rPr>
          <w:sz w:val="20"/>
          <w:szCs w:val="20"/>
          <w:color w:val="auto"/>
        </w:rPr>
      </w:pPr>
      <w:r>
        <w:rPr>
          <w:rFonts w:ascii="Times New Roman" w:cs="Times New Roman" w:eastAsia="Times New Roman" w:hAnsi="Times New Roman"/>
          <w:sz w:val="19"/>
          <w:szCs w:val="19"/>
          <w:color w:val="auto"/>
        </w:rPr>
        <w:t>The transferability of this certificate and the shares of stock represented hereby are subject to the restrictions, terms and conditions (including repurchase and restrictions against transfers) contained in the Disc Medicine, Inc. 2017 Stock Option and Grant Plan and any agreements entered into thereunder by and between the company and the holder of this certificate (a copy of which is available at the offices of the company for examination).</w:t>
      </w:r>
    </w:p>
    <w:p>
      <w:pPr>
        <w:spacing w:after="0" w:line="179" w:lineRule="exact"/>
        <w:rPr>
          <w:sz w:val="20"/>
          <w:szCs w:val="20"/>
          <w:color w:val="auto"/>
        </w:rPr>
      </w:pPr>
    </w:p>
    <w:p>
      <w:pPr>
        <w:ind w:right="60" w:firstLine="558"/>
        <w:spacing w:after="0" w:line="239" w:lineRule="auto"/>
        <w:tabs>
          <w:tab w:leader="none" w:pos="1252"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to Holders of Options</w:t>
      </w:r>
      <w:r>
        <w:rPr>
          <w:rFonts w:ascii="Times New Roman" w:cs="Times New Roman" w:eastAsia="Times New Roman" w:hAnsi="Times New Roman"/>
          <w:sz w:val="19"/>
          <w:szCs w:val="19"/>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15. </w:t>
      </w:r>
      <w:r>
        <w:rPr>
          <w:rFonts w:ascii="Times New Roman" w:cs="Times New Roman" w:eastAsia="Times New Roman" w:hAnsi="Times New Roman"/>
          <w:sz w:val="19"/>
          <w:szCs w:val="19"/>
          <w:u w:val="single" w:color="auto"/>
          <w:color w:val="auto"/>
        </w:rPr>
        <w:t>EFFECTIVE DATE OF PLAN</w:t>
      </w:r>
    </w:p>
    <w:p>
      <w:pPr>
        <w:spacing w:after="0" w:line="204" w:lineRule="exact"/>
        <w:rPr>
          <w:sz w:val="20"/>
          <w:szCs w:val="20"/>
          <w:color w:val="auto"/>
        </w:rPr>
      </w:pPr>
    </w:p>
    <w:p>
      <w:pPr>
        <w:ind w:firstLine="564"/>
        <w:spacing w:after="0" w:line="237" w:lineRule="auto"/>
        <w:rPr>
          <w:sz w:val="20"/>
          <w:szCs w:val="20"/>
          <w:color w:val="auto"/>
        </w:rPr>
      </w:pPr>
      <w:r>
        <w:rPr>
          <w:rFonts w:ascii="Times New Roman" w:cs="Times New Roman" w:eastAsia="Times New Roman" w:hAnsi="Times New Roman"/>
          <w:sz w:val="19"/>
          <w:szCs w:val="19"/>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16. </w:t>
      </w:r>
      <w:r>
        <w:rPr>
          <w:rFonts w:ascii="Times New Roman" w:cs="Times New Roman" w:eastAsia="Times New Roman" w:hAnsi="Times New Roman"/>
          <w:sz w:val="19"/>
          <w:szCs w:val="19"/>
          <w:u w:val="single" w:color="auto"/>
          <w:color w:val="auto"/>
        </w:rPr>
        <w:t>GOVERNING LAW</w:t>
      </w:r>
    </w:p>
    <w:p>
      <w:pPr>
        <w:spacing w:after="0" w:line="204" w:lineRule="exact"/>
        <w:rPr>
          <w:sz w:val="20"/>
          <w:szCs w:val="20"/>
          <w:color w:val="auto"/>
        </w:rPr>
      </w:pPr>
    </w:p>
    <w:p>
      <w:pPr>
        <w:ind w:right="100" w:firstLine="564"/>
        <w:spacing w:after="0" w:line="241" w:lineRule="auto"/>
        <w:rPr>
          <w:sz w:val="20"/>
          <w:szCs w:val="20"/>
          <w:color w:val="auto"/>
        </w:rPr>
      </w:pPr>
      <w:r>
        <w:rPr>
          <w:rFonts w:ascii="Times New Roman" w:cs="Times New Roman" w:eastAsia="Times New Roman" w:hAnsi="Times New Roman"/>
          <w:sz w:val="19"/>
          <w:szCs w:val="19"/>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DATE ADOPTED BY THE BOARD OF DIRECTORS:</w:t>
            </w:r>
          </w:p>
        </w:tc>
        <w:tc>
          <w:tcPr>
            <w:tcW w:w="67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November 15, 2017</w:t>
            </w:r>
          </w:p>
        </w:tc>
      </w:tr>
      <w:tr>
        <w:trPr>
          <w:trHeight w:val="376"/>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DATE APPROVED BY THE STOCKHOLDERS:</w:t>
            </w:r>
          </w:p>
        </w:tc>
        <w:tc>
          <w:tcPr>
            <w:tcW w:w="67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November 27, 2017</w:t>
            </w:r>
          </w:p>
        </w:tc>
      </w:tr>
      <w:tr>
        <w:trPr>
          <w:trHeight w:val="509"/>
        </w:trPr>
        <w:tc>
          <w:tcPr>
            <w:tcW w:w="4540" w:type="dxa"/>
            <w:vAlign w:val="bottom"/>
          </w:tcPr>
          <w:p>
            <w:pPr>
              <w:spacing w:after="0"/>
              <w:rPr>
                <w:sz w:val="24"/>
                <w:szCs w:val="24"/>
                <w:color w:val="auto"/>
              </w:rPr>
            </w:pPr>
          </w:p>
        </w:tc>
        <w:tc>
          <w:tcPr>
            <w:tcW w:w="6720" w:type="dxa"/>
            <w:vAlign w:val="bottom"/>
          </w:tcPr>
          <w:p>
            <w:pPr>
              <w:jc w:val="right"/>
              <w:ind w:right="5507"/>
              <w:spacing w:after="0"/>
              <w:rPr>
                <w:sz w:val="20"/>
                <w:szCs w:val="20"/>
                <w:color w:val="auto"/>
              </w:rPr>
            </w:pPr>
            <w:r>
              <w:rPr>
                <w:rFonts w:ascii="Times New Roman" w:cs="Times New Roman" w:eastAsia="Times New Roman" w:hAnsi="Times New Roman"/>
                <w:sz w:val="13"/>
                <w:szCs w:val="13"/>
                <w:color w:val="auto"/>
              </w:rPr>
              <w:t>19</w:t>
            </w:r>
          </w:p>
        </w:tc>
      </w:tr>
      <w:tr>
        <w:trPr>
          <w:trHeight w:val="36"/>
        </w:trPr>
        <w:tc>
          <w:tcPr>
            <w:tcW w:w="454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5" w:right="319" w:bottom="1440" w:gutter="0" w:footer="0" w:header="0"/>
        </w:sectPr>
      </w:pPr>
    </w:p>
    <w:bookmarkStart w:id="207" w:name="page208"/>
    <w:bookmarkEnd w:id="207"/>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1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TO THE</w:t>
      </w:r>
    </w:p>
    <w:p>
      <w:pPr>
        <w:jc w:val="center"/>
        <w:ind w:right="14"/>
        <w:spacing w:after="0" w:line="232" w:lineRule="auto"/>
        <w:rPr>
          <w:sz w:val="20"/>
          <w:szCs w:val="20"/>
          <w:color w:val="auto"/>
        </w:rPr>
      </w:pPr>
      <w:r>
        <w:rPr>
          <w:rFonts w:ascii="Times New Roman" w:cs="Times New Roman" w:eastAsia="Times New Roman" w:hAnsi="Times New Roman"/>
          <w:sz w:val="19"/>
          <w:szCs w:val="19"/>
          <w:b w:val="1"/>
          <w:bCs w:val="1"/>
          <w:color w:val="auto"/>
        </w:rPr>
        <w:t>DISC MEDICINE, INC.</w:t>
      </w: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Disc Medicine, Inc. 2017 Stock Option and Grant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hereby amended as follows:</w:t>
      </w:r>
    </w:p>
    <w:p>
      <w:pPr>
        <w:spacing w:after="0" w:line="204" w:lineRule="exact"/>
        <w:rPr>
          <w:sz w:val="20"/>
          <w:szCs w:val="20"/>
          <w:color w:val="auto"/>
        </w:rPr>
      </w:pPr>
    </w:p>
    <w:p>
      <w:pPr>
        <w:ind w:left="666" w:hanging="666"/>
        <w:spacing w:after="0"/>
        <w:tabs>
          <w:tab w:leader="none" w:pos="666"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3(a) of the Plan is hereby amended and restated in its entirety as follows:</w:t>
      </w:r>
    </w:p>
    <w:p>
      <w:pPr>
        <w:spacing w:after="0" w:line="204" w:lineRule="exact"/>
        <w:rPr>
          <w:sz w:val="20"/>
          <w:szCs w:val="20"/>
          <w:color w:val="auto"/>
        </w:rPr>
      </w:pPr>
    </w:p>
    <w:p>
      <w:pPr>
        <w:jc w:val="both"/>
        <w:ind w:left="566"/>
        <w:spacing w:after="0" w:line="236"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Stock Issuable</w:t>
      </w:r>
      <w:r>
        <w:rPr>
          <w:rFonts w:ascii="Times New Roman" w:cs="Times New Roman" w:eastAsia="Times New Roman" w:hAnsi="Times New Roman"/>
          <w:sz w:val="19"/>
          <w:szCs w:val="19"/>
          <w:color w:val="auto"/>
        </w:rPr>
        <w:t>. The maximum number of Shares reserved and available for issuance under the Plan shall be 937,136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9,371,360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9,371,360 Shares shall be granted to any one individual in any calendar year period.”</w:t>
      </w:r>
    </w:p>
    <w:p>
      <w:pPr>
        <w:spacing w:after="0" w:line="180" w:lineRule="exact"/>
        <w:rPr>
          <w:sz w:val="20"/>
          <w:szCs w:val="20"/>
          <w:color w:val="auto"/>
        </w:rPr>
      </w:pPr>
    </w:p>
    <w:p>
      <w:pPr>
        <w:ind w:left="666" w:hanging="666"/>
        <w:spacing w:after="0"/>
        <w:tabs>
          <w:tab w:leader="none" w:pos="666"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terms and conditions of the Plan shall remain in full force and effect.</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BOARD OF DIRECTORS:</w:t>
            </w:r>
          </w:p>
        </w:tc>
        <w:tc>
          <w:tcPr>
            <w:tcW w:w="7100" w:type="dxa"/>
            <w:vAlign w:val="bottom"/>
          </w:tcPr>
          <w:p>
            <w:pPr>
              <w:ind w:left="3720"/>
              <w:spacing w:after="0"/>
              <w:rPr>
                <w:sz w:val="20"/>
                <w:szCs w:val="20"/>
                <w:color w:val="auto"/>
              </w:rPr>
            </w:pPr>
            <w:r>
              <w:rPr>
                <w:rFonts w:ascii="Times New Roman" w:cs="Times New Roman" w:eastAsia="Times New Roman" w:hAnsi="Times New Roman"/>
                <w:sz w:val="16"/>
                <w:szCs w:val="16"/>
                <w:color w:val="auto"/>
              </w:rPr>
              <w:t>April 30, 2019</w:t>
            </w:r>
          </w:p>
        </w:tc>
      </w:tr>
      <w:tr>
        <w:trPr>
          <w:trHeight w:val="37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STOCKHOLDERS:</w:t>
            </w:r>
          </w:p>
        </w:tc>
        <w:tc>
          <w:tcPr>
            <w:tcW w:w="7100" w:type="dxa"/>
            <w:vAlign w:val="bottom"/>
          </w:tcPr>
          <w:p>
            <w:pPr>
              <w:ind w:left="3720"/>
              <w:spacing w:after="0"/>
              <w:rPr>
                <w:sz w:val="20"/>
                <w:szCs w:val="20"/>
                <w:color w:val="auto"/>
              </w:rPr>
            </w:pPr>
            <w:r>
              <w:rPr>
                <w:rFonts w:ascii="Times New Roman" w:cs="Times New Roman" w:eastAsia="Times New Roman" w:hAnsi="Times New Roman"/>
                <w:sz w:val="16"/>
                <w:szCs w:val="16"/>
                <w:color w:val="auto"/>
              </w:rPr>
              <w:t>April 30, 2019</w:t>
            </w:r>
          </w:p>
        </w:tc>
      </w:tr>
      <w:tr>
        <w:trPr>
          <w:trHeight w:val="509"/>
        </w:trPr>
        <w:tc>
          <w:tcPr>
            <w:tcW w:w="4160" w:type="dxa"/>
            <w:vAlign w:val="bottom"/>
          </w:tcPr>
          <w:p>
            <w:pPr>
              <w:spacing w:after="0"/>
              <w:rPr>
                <w:sz w:val="24"/>
                <w:szCs w:val="24"/>
                <w:color w:val="auto"/>
              </w:rPr>
            </w:pPr>
          </w:p>
        </w:tc>
        <w:tc>
          <w:tcPr>
            <w:tcW w:w="7100" w:type="dxa"/>
            <w:vAlign w:val="bottom"/>
          </w:tcPr>
          <w:p>
            <w:pPr>
              <w:jc w:val="right"/>
              <w:ind w:right="5507"/>
              <w:spacing w:after="0"/>
              <w:rPr>
                <w:sz w:val="20"/>
                <w:szCs w:val="20"/>
                <w:color w:val="auto"/>
              </w:rPr>
            </w:pPr>
            <w:r>
              <w:rPr>
                <w:rFonts w:ascii="Times New Roman" w:cs="Times New Roman" w:eastAsia="Times New Roman" w:hAnsi="Times New Roman"/>
                <w:sz w:val="13"/>
                <w:szCs w:val="13"/>
                <w:color w:val="auto"/>
              </w:rPr>
              <w:t>20</w:t>
            </w:r>
          </w:p>
        </w:tc>
      </w:tr>
      <w:tr>
        <w:trPr>
          <w:trHeight w:val="36"/>
        </w:trPr>
        <w:tc>
          <w:tcPr>
            <w:tcW w:w="4160" w:type="dxa"/>
            <w:vAlign w:val="bottom"/>
            <w:tcBorders>
              <w:bottom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r>
    </w:tbl>
    <w:p>
      <w:pPr>
        <w:sectPr>
          <w:pgSz w:w="11900" w:h="16838" w:orient="portrait"/>
          <w:cols w:equalWidth="0" w:num="1">
            <w:col w:w="11266"/>
          </w:cols>
          <w:pgMar w:left="314" w:top="111" w:right="319" w:bottom="1440" w:gutter="0" w:footer="0" w:header="0"/>
        </w:sectPr>
      </w:pPr>
    </w:p>
    <w:bookmarkStart w:id="208" w:name="page209"/>
    <w:bookmarkEnd w:id="208"/>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AMENDMENT NO. 2</w:t>
      </w:r>
    </w:p>
    <w:p>
      <w:pPr>
        <w:spacing w:after="0" w:line="1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TO THE</w:t>
      </w:r>
    </w:p>
    <w:p>
      <w:pPr>
        <w:jc w:val="center"/>
        <w:ind w:right="14"/>
        <w:spacing w:after="0" w:line="232" w:lineRule="auto"/>
        <w:rPr>
          <w:sz w:val="20"/>
          <w:szCs w:val="20"/>
          <w:color w:val="auto"/>
        </w:rPr>
      </w:pPr>
      <w:r>
        <w:rPr>
          <w:rFonts w:ascii="Times New Roman" w:cs="Times New Roman" w:eastAsia="Times New Roman" w:hAnsi="Times New Roman"/>
          <w:sz w:val="19"/>
          <w:szCs w:val="19"/>
          <w:b w:val="1"/>
          <w:bCs w:val="1"/>
          <w:color w:val="auto"/>
        </w:rPr>
        <w:t>DISC MEDICINE, INC.</w:t>
      </w: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Disc Medicine, Inc. 2017 Stock Option and Grant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hereby amended as follows:</w:t>
      </w:r>
    </w:p>
    <w:p>
      <w:pPr>
        <w:spacing w:after="0" w:line="204" w:lineRule="exact"/>
        <w:rPr>
          <w:sz w:val="20"/>
          <w:szCs w:val="20"/>
          <w:color w:val="auto"/>
        </w:rPr>
      </w:pPr>
    </w:p>
    <w:p>
      <w:pPr>
        <w:ind w:left="666" w:hanging="666"/>
        <w:spacing w:after="0"/>
        <w:tabs>
          <w:tab w:leader="none" w:pos="666"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3(a) of the Plan is hereby amended and restated in its entirety as follows:</w:t>
      </w:r>
    </w:p>
    <w:p>
      <w:pPr>
        <w:spacing w:after="0" w:line="204" w:lineRule="exact"/>
        <w:rPr>
          <w:sz w:val="20"/>
          <w:szCs w:val="20"/>
          <w:color w:val="auto"/>
        </w:rPr>
      </w:pPr>
    </w:p>
    <w:p>
      <w:pPr>
        <w:jc w:val="both"/>
        <w:ind w:left="566"/>
        <w:spacing w:after="0" w:line="236"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Stock Issuable</w:t>
      </w:r>
      <w:r>
        <w:rPr>
          <w:rFonts w:ascii="Times New Roman" w:cs="Times New Roman" w:eastAsia="Times New Roman" w:hAnsi="Times New Roman"/>
          <w:sz w:val="19"/>
          <w:szCs w:val="19"/>
          <w:color w:val="auto"/>
        </w:rPr>
        <w:t>. The maximum number of Shares reserved and available for issuance under the Plan shall be 7,562,358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75,623,580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7,562,358 Shares shall be granted to any one individual in any calendar year period.”</w:t>
      </w:r>
    </w:p>
    <w:p>
      <w:pPr>
        <w:spacing w:after="0" w:line="180" w:lineRule="exact"/>
        <w:rPr>
          <w:sz w:val="20"/>
          <w:szCs w:val="20"/>
          <w:color w:val="auto"/>
        </w:rPr>
      </w:pPr>
    </w:p>
    <w:p>
      <w:pPr>
        <w:ind w:left="666" w:hanging="666"/>
        <w:spacing w:after="0"/>
        <w:tabs>
          <w:tab w:leader="none" w:pos="666"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terms and conditions of the Plan shall remain in full force and effect.</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BOARD OF DIRECTORS:</w:t>
            </w:r>
          </w:p>
        </w:tc>
        <w:tc>
          <w:tcPr>
            <w:tcW w:w="7100" w:type="dxa"/>
            <w:vAlign w:val="bottom"/>
          </w:tcPr>
          <w:p>
            <w:pPr>
              <w:ind w:left="3720"/>
              <w:spacing w:after="0"/>
              <w:rPr>
                <w:sz w:val="20"/>
                <w:szCs w:val="20"/>
                <w:color w:val="auto"/>
              </w:rPr>
            </w:pPr>
            <w:r>
              <w:rPr>
                <w:rFonts w:ascii="Times New Roman" w:cs="Times New Roman" w:eastAsia="Times New Roman" w:hAnsi="Times New Roman"/>
                <w:sz w:val="16"/>
                <w:szCs w:val="16"/>
                <w:color w:val="auto"/>
              </w:rPr>
              <w:t>September 12, 2019</w:t>
            </w:r>
          </w:p>
        </w:tc>
      </w:tr>
      <w:tr>
        <w:trPr>
          <w:trHeight w:val="37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STOCKHOLDERS:</w:t>
            </w:r>
          </w:p>
        </w:tc>
        <w:tc>
          <w:tcPr>
            <w:tcW w:w="7100" w:type="dxa"/>
            <w:vAlign w:val="bottom"/>
          </w:tcPr>
          <w:p>
            <w:pPr>
              <w:ind w:left="3720"/>
              <w:spacing w:after="0"/>
              <w:rPr>
                <w:sz w:val="20"/>
                <w:szCs w:val="20"/>
                <w:color w:val="auto"/>
              </w:rPr>
            </w:pPr>
            <w:r>
              <w:rPr>
                <w:rFonts w:ascii="Times New Roman" w:cs="Times New Roman" w:eastAsia="Times New Roman" w:hAnsi="Times New Roman"/>
                <w:sz w:val="16"/>
                <w:szCs w:val="16"/>
                <w:color w:val="auto"/>
              </w:rPr>
              <w:t>September 12, 2019</w:t>
            </w:r>
          </w:p>
        </w:tc>
      </w:tr>
      <w:tr>
        <w:trPr>
          <w:trHeight w:val="509"/>
        </w:trPr>
        <w:tc>
          <w:tcPr>
            <w:tcW w:w="4160" w:type="dxa"/>
            <w:vAlign w:val="bottom"/>
          </w:tcPr>
          <w:p>
            <w:pPr>
              <w:spacing w:after="0"/>
              <w:rPr>
                <w:sz w:val="24"/>
                <w:szCs w:val="24"/>
                <w:color w:val="auto"/>
              </w:rPr>
            </w:pPr>
          </w:p>
        </w:tc>
        <w:tc>
          <w:tcPr>
            <w:tcW w:w="7100" w:type="dxa"/>
            <w:vAlign w:val="bottom"/>
          </w:tcPr>
          <w:p>
            <w:pPr>
              <w:jc w:val="right"/>
              <w:ind w:right="5507"/>
              <w:spacing w:after="0"/>
              <w:rPr>
                <w:sz w:val="20"/>
                <w:szCs w:val="20"/>
                <w:color w:val="auto"/>
              </w:rPr>
            </w:pPr>
            <w:r>
              <w:rPr>
                <w:rFonts w:ascii="Times New Roman" w:cs="Times New Roman" w:eastAsia="Times New Roman" w:hAnsi="Times New Roman"/>
                <w:sz w:val="13"/>
                <w:szCs w:val="13"/>
                <w:color w:val="auto"/>
              </w:rPr>
              <w:t>21</w:t>
            </w:r>
          </w:p>
        </w:tc>
      </w:tr>
      <w:tr>
        <w:trPr>
          <w:trHeight w:val="36"/>
        </w:trPr>
        <w:tc>
          <w:tcPr>
            <w:tcW w:w="4160" w:type="dxa"/>
            <w:vAlign w:val="bottom"/>
            <w:tcBorders>
              <w:bottom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r>
    </w:tbl>
    <w:p>
      <w:pPr>
        <w:sectPr>
          <w:pgSz w:w="11900" w:h="16838" w:orient="portrait"/>
          <w:cols w:equalWidth="0" w:num="1">
            <w:col w:w="11266"/>
          </w:cols>
          <w:pgMar w:left="314" w:top="112" w:right="319" w:bottom="1440" w:gutter="0" w:footer="0" w:header="0"/>
        </w:sectPr>
      </w:pPr>
    </w:p>
    <w:bookmarkStart w:id="209" w:name="page210"/>
    <w:bookmarkEnd w:id="209"/>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AMENDMENT NO. 3</w:t>
      </w:r>
    </w:p>
    <w:p>
      <w:pPr>
        <w:spacing w:after="0" w:line="1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TO THE</w:t>
      </w:r>
    </w:p>
    <w:p>
      <w:pPr>
        <w:jc w:val="center"/>
        <w:ind w:right="14"/>
        <w:spacing w:after="0" w:line="232" w:lineRule="auto"/>
        <w:rPr>
          <w:sz w:val="20"/>
          <w:szCs w:val="20"/>
          <w:color w:val="auto"/>
        </w:rPr>
      </w:pPr>
      <w:r>
        <w:rPr>
          <w:rFonts w:ascii="Times New Roman" w:cs="Times New Roman" w:eastAsia="Times New Roman" w:hAnsi="Times New Roman"/>
          <w:sz w:val="19"/>
          <w:szCs w:val="19"/>
          <w:b w:val="1"/>
          <w:bCs w:val="1"/>
          <w:color w:val="auto"/>
        </w:rPr>
        <w:t>DISC MEDICINE, INC.</w:t>
      </w: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Disc Medicine, Inc. 2017 Stock Option and Grant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hereby amended as follows:</w:t>
      </w:r>
    </w:p>
    <w:p>
      <w:pPr>
        <w:spacing w:after="0" w:line="204" w:lineRule="exact"/>
        <w:rPr>
          <w:sz w:val="20"/>
          <w:szCs w:val="20"/>
          <w:color w:val="auto"/>
        </w:rPr>
      </w:pPr>
    </w:p>
    <w:p>
      <w:pPr>
        <w:ind w:left="666" w:hanging="666"/>
        <w:spacing w:after="0"/>
        <w:tabs>
          <w:tab w:leader="none" w:pos="666"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3(a) of the Plan is hereby amended and restated in its entirety as follows:</w:t>
      </w:r>
    </w:p>
    <w:p>
      <w:pPr>
        <w:spacing w:after="0" w:line="204" w:lineRule="exact"/>
        <w:rPr>
          <w:sz w:val="20"/>
          <w:szCs w:val="20"/>
          <w:color w:val="auto"/>
        </w:rPr>
      </w:pPr>
    </w:p>
    <w:p>
      <w:pPr>
        <w:jc w:val="both"/>
        <w:ind w:left="566"/>
        <w:spacing w:after="0" w:line="236"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Stock Issuable</w:t>
      </w:r>
      <w:r>
        <w:rPr>
          <w:rFonts w:ascii="Times New Roman" w:cs="Times New Roman" w:eastAsia="Times New Roman" w:hAnsi="Times New Roman"/>
          <w:sz w:val="19"/>
          <w:szCs w:val="19"/>
          <w:color w:val="auto"/>
        </w:rPr>
        <w:t>. The maximum number of Shares reserved and available for issuance under the Plan shall be 9,724,496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50,000,000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50,000,000 Shares shall be granted to any one individual in any calendar year period.”</w:t>
      </w:r>
    </w:p>
    <w:p>
      <w:pPr>
        <w:spacing w:after="0" w:line="180" w:lineRule="exact"/>
        <w:rPr>
          <w:sz w:val="20"/>
          <w:szCs w:val="20"/>
          <w:color w:val="auto"/>
        </w:rPr>
      </w:pPr>
    </w:p>
    <w:p>
      <w:pPr>
        <w:ind w:left="666" w:hanging="666"/>
        <w:spacing w:after="0"/>
        <w:tabs>
          <w:tab w:leader="none" w:pos="666"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terms and conditions of the Plan shall remain in full force and effect.</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BOARD OF DIRECTORS:</w:t>
            </w:r>
          </w:p>
        </w:tc>
        <w:tc>
          <w:tcPr>
            <w:tcW w:w="7100" w:type="dxa"/>
            <w:vAlign w:val="bottom"/>
          </w:tcPr>
          <w:p>
            <w:pPr>
              <w:ind w:left="3720"/>
              <w:spacing w:after="0"/>
              <w:rPr>
                <w:sz w:val="20"/>
                <w:szCs w:val="20"/>
                <w:color w:val="auto"/>
              </w:rPr>
            </w:pPr>
            <w:r>
              <w:rPr>
                <w:rFonts w:ascii="Times New Roman" w:cs="Times New Roman" w:eastAsia="Times New Roman" w:hAnsi="Times New Roman"/>
                <w:sz w:val="16"/>
                <w:szCs w:val="16"/>
                <w:color w:val="auto"/>
              </w:rPr>
              <w:t>October 23, 2020</w:t>
            </w:r>
          </w:p>
        </w:tc>
      </w:tr>
      <w:tr>
        <w:trPr>
          <w:trHeight w:val="37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STOCKHOLDERS:</w:t>
            </w:r>
          </w:p>
        </w:tc>
        <w:tc>
          <w:tcPr>
            <w:tcW w:w="7100" w:type="dxa"/>
            <w:vAlign w:val="bottom"/>
          </w:tcPr>
          <w:p>
            <w:pPr>
              <w:ind w:left="3720"/>
              <w:spacing w:after="0"/>
              <w:rPr>
                <w:sz w:val="20"/>
                <w:szCs w:val="20"/>
                <w:color w:val="auto"/>
              </w:rPr>
            </w:pPr>
            <w:r>
              <w:rPr>
                <w:rFonts w:ascii="Times New Roman" w:cs="Times New Roman" w:eastAsia="Times New Roman" w:hAnsi="Times New Roman"/>
                <w:sz w:val="16"/>
                <w:szCs w:val="16"/>
                <w:color w:val="auto"/>
              </w:rPr>
              <w:t>October 26, 2020</w:t>
            </w:r>
          </w:p>
        </w:tc>
      </w:tr>
      <w:tr>
        <w:trPr>
          <w:trHeight w:val="509"/>
        </w:trPr>
        <w:tc>
          <w:tcPr>
            <w:tcW w:w="4160" w:type="dxa"/>
            <w:vAlign w:val="bottom"/>
          </w:tcPr>
          <w:p>
            <w:pPr>
              <w:spacing w:after="0"/>
              <w:rPr>
                <w:sz w:val="24"/>
                <w:szCs w:val="24"/>
                <w:color w:val="auto"/>
              </w:rPr>
            </w:pPr>
          </w:p>
        </w:tc>
        <w:tc>
          <w:tcPr>
            <w:tcW w:w="7100" w:type="dxa"/>
            <w:vAlign w:val="bottom"/>
          </w:tcPr>
          <w:p>
            <w:pPr>
              <w:jc w:val="right"/>
              <w:ind w:right="5507"/>
              <w:spacing w:after="0"/>
              <w:rPr>
                <w:sz w:val="20"/>
                <w:szCs w:val="20"/>
                <w:color w:val="auto"/>
              </w:rPr>
            </w:pPr>
            <w:r>
              <w:rPr>
                <w:rFonts w:ascii="Times New Roman" w:cs="Times New Roman" w:eastAsia="Times New Roman" w:hAnsi="Times New Roman"/>
                <w:sz w:val="13"/>
                <w:szCs w:val="13"/>
                <w:color w:val="auto"/>
              </w:rPr>
              <w:t>22</w:t>
            </w:r>
          </w:p>
        </w:tc>
      </w:tr>
      <w:tr>
        <w:trPr>
          <w:trHeight w:val="36"/>
        </w:trPr>
        <w:tc>
          <w:tcPr>
            <w:tcW w:w="4160" w:type="dxa"/>
            <w:vAlign w:val="bottom"/>
            <w:tcBorders>
              <w:bottom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r>
    </w:tbl>
    <w:p>
      <w:pPr>
        <w:sectPr>
          <w:pgSz w:w="11900" w:h="16838" w:orient="portrait"/>
          <w:cols w:equalWidth="0" w:num="1">
            <w:col w:w="11266"/>
          </w:cols>
          <w:pgMar w:left="314" w:top="111" w:right="319" w:bottom="1440" w:gutter="0" w:footer="0" w:header="0"/>
        </w:sectPr>
      </w:pPr>
    </w:p>
    <w:bookmarkStart w:id="210" w:name="page211"/>
    <w:bookmarkEnd w:id="210"/>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AMENDMENT</w:t>
      </w:r>
    </w:p>
    <w:p>
      <w:pPr>
        <w:spacing w:after="0" w:line="1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NO. 4 TO THE</w:t>
      </w:r>
    </w:p>
    <w:p>
      <w:pPr>
        <w:jc w:val="center"/>
        <w:ind w:right="14"/>
        <w:spacing w:after="0" w:line="232" w:lineRule="auto"/>
        <w:rPr>
          <w:sz w:val="20"/>
          <w:szCs w:val="20"/>
          <w:color w:val="auto"/>
        </w:rPr>
      </w:pPr>
      <w:r>
        <w:rPr>
          <w:rFonts w:ascii="Times New Roman" w:cs="Times New Roman" w:eastAsia="Times New Roman" w:hAnsi="Times New Roman"/>
          <w:sz w:val="19"/>
          <w:szCs w:val="19"/>
          <w:b w:val="1"/>
          <w:bCs w:val="1"/>
          <w:color w:val="auto"/>
        </w:rPr>
        <w:t>DISC MEDICINE, INC.</w:t>
      </w:r>
    </w:p>
    <w:p>
      <w:pPr>
        <w:jc w:val="center"/>
        <w:ind w:right="14"/>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Disc Medicine, Inc. 2017 Stock Option and Grant Plan (the “Plan”) is hereby amended as follows:</w:t>
      </w:r>
    </w:p>
    <w:p>
      <w:pPr>
        <w:spacing w:after="0" w:line="204" w:lineRule="exact"/>
        <w:rPr>
          <w:sz w:val="20"/>
          <w:szCs w:val="20"/>
          <w:color w:val="auto"/>
        </w:rPr>
      </w:pPr>
    </w:p>
    <w:p>
      <w:pPr>
        <w:ind w:left="666" w:hanging="666"/>
        <w:spacing w:after="0"/>
        <w:tabs>
          <w:tab w:leader="none" w:pos="666"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3(a) of the Plan is hereby amended and restated in its entirety as follows:</w:t>
      </w:r>
    </w:p>
    <w:p>
      <w:pPr>
        <w:spacing w:after="0" w:line="204" w:lineRule="exact"/>
        <w:rPr>
          <w:sz w:val="20"/>
          <w:szCs w:val="20"/>
          <w:color w:val="auto"/>
        </w:rPr>
      </w:pPr>
    </w:p>
    <w:p>
      <w:pPr>
        <w:jc w:val="both"/>
        <w:ind w:left="566" w:firstLine="54"/>
        <w:spacing w:after="0" w:line="236" w:lineRule="auto"/>
        <w:rPr>
          <w:sz w:val="20"/>
          <w:szCs w:val="20"/>
          <w:color w:val="auto"/>
        </w:rPr>
      </w:pPr>
      <w:r>
        <w:rPr>
          <w:rFonts w:ascii="Times New Roman" w:cs="Times New Roman" w:eastAsia="Times New Roman" w:hAnsi="Times New Roman"/>
          <w:sz w:val="19"/>
          <w:szCs w:val="19"/>
          <w:color w:val="auto"/>
        </w:rPr>
        <w:t>“(a) Stock Issuable. The maximum number of Shares reserved and available for issuance under the Plan shall be 16,216,325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50,000,000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50,000,000 Shares shall be granted to any one individual in any calendar year period.”</w:t>
      </w:r>
    </w:p>
    <w:p>
      <w:pPr>
        <w:spacing w:after="0" w:line="180" w:lineRule="exact"/>
        <w:rPr>
          <w:sz w:val="20"/>
          <w:szCs w:val="20"/>
          <w:color w:val="auto"/>
        </w:rPr>
      </w:pPr>
    </w:p>
    <w:p>
      <w:pPr>
        <w:ind w:left="6" w:right="4720" w:hanging="6"/>
        <w:spacing w:after="0" w:line="464" w:lineRule="auto"/>
        <w:tabs>
          <w:tab w:leader="none" w:pos="663"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terms and conditions of the Plan shall remain in full force and effect. ADOPTED BY BOARD OF DIRECTORS: August 23, 2021</w:t>
      </w:r>
    </w:p>
    <w:p>
      <w:pPr>
        <w:ind w:left="6"/>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ADOPTED BY STOCKHOLDERS: August 23, 2021</w:t>
      </w:r>
    </w:p>
    <w:p>
      <w:pPr>
        <w:spacing w:after="0" w:line="3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2" w:right="319" w:bottom="1440" w:gutter="0" w:footer="0" w:header="0"/>
        </w:sectPr>
      </w:pPr>
    </w:p>
    <w:bookmarkStart w:id="211" w:name="page212"/>
    <w:bookmarkEnd w:id="211"/>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AMENDMENT NO. 5</w:t>
      </w:r>
    </w:p>
    <w:p>
      <w:pPr>
        <w:spacing w:after="0" w:line="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TO THE</w:t>
      </w:r>
    </w:p>
    <w:p>
      <w:pPr>
        <w:jc w:val="center"/>
        <w:ind w:right="-5"/>
        <w:spacing w:after="0" w:line="232" w:lineRule="auto"/>
        <w:rPr>
          <w:sz w:val="20"/>
          <w:szCs w:val="20"/>
          <w:color w:val="auto"/>
        </w:rPr>
      </w:pPr>
      <w:r>
        <w:rPr>
          <w:rFonts w:ascii="Times New Roman" w:cs="Times New Roman" w:eastAsia="Times New Roman" w:hAnsi="Times New Roman"/>
          <w:sz w:val="19"/>
          <w:szCs w:val="19"/>
          <w:b w:val="1"/>
          <w:bCs w:val="1"/>
          <w:color w:val="auto"/>
        </w:rPr>
        <w:t>DISC MEDICINE, INC.</w:t>
      </w: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Disc Medicine, Inc. 2017 Stock Option and Grant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hereby amended as follows:</w:t>
      </w:r>
    </w:p>
    <w:p>
      <w:pPr>
        <w:spacing w:after="0" w:line="204" w:lineRule="exact"/>
        <w:rPr>
          <w:sz w:val="20"/>
          <w:szCs w:val="20"/>
          <w:color w:val="auto"/>
        </w:rPr>
      </w:pPr>
    </w:p>
    <w:p>
      <w:pPr>
        <w:ind w:left="666" w:hanging="666"/>
        <w:spacing w:after="0"/>
        <w:tabs>
          <w:tab w:leader="none" w:pos="666"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3(a) of the Plan is hereby amended and restated in its entirety as follows:</w:t>
      </w:r>
    </w:p>
    <w:p>
      <w:pPr>
        <w:spacing w:after="0" w:line="204" w:lineRule="exact"/>
        <w:rPr>
          <w:sz w:val="20"/>
          <w:szCs w:val="20"/>
          <w:color w:val="auto"/>
        </w:rPr>
      </w:pPr>
    </w:p>
    <w:p>
      <w:pPr>
        <w:jc w:val="both"/>
        <w:ind w:left="566"/>
        <w:spacing w:after="0" w:line="236"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Stock Issuable</w:t>
      </w:r>
      <w:r>
        <w:rPr>
          <w:rFonts w:ascii="Times New Roman" w:cs="Times New Roman" w:eastAsia="Times New Roman" w:hAnsi="Times New Roman"/>
          <w:sz w:val="19"/>
          <w:szCs w:val="19"/>
          <w:color w:val="auto"/>
        </w:rPr>
        <w:t>. The maximum number of Shares reserved and available for issuance under the Plan shall be 17,503,334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50,000,000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50,000,000 Shares shall be granted to any one individual in any calendar year period.”</w:t>
      </w:r>
    </w:p>
    <w:p>
      <w:pPr>
        <w:spacing w:after="0" w:line="180" w:lineRule="exact"/>
        <w:rPr>
          <w:sz w:val="20"/>
          <w:szCs w:val="20"/>
          <w:color w:val="auto"/>
        </w:rPr>
      </w:pPr>
    </w:p>
    <w:p>
      <w:pPr>
        <w:ind w:left="666" w:hanging="666"/>
        <w:spacing w:after="0"/>
        <w:tabs>
          <w:tab w:leader="none" w:pos="666"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terms and conditions of the Plan shall remain in full force and effect.</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BOARD OF DIRECTORS:</w:t>
            </w:r>
          </w:p>
        </w:tc>
        <w:tc>
          <w:tcPr>
            <w:tcW w:w="7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July 21, 2022</w:t>
            </w:r>
          </w:p>
        </w:tc>
      </w:tr>
      <w:tr>
        <w:trPr>
          <w:trHeight w:val="37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ADOPTED BY STOCKHOLDERS:</w:t>
            </w:r>
          </w:p>
        </w:tc>
        <w:tc>
          <w:tcPr>
            <w:tcW w:w="7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July 23, 2022</w:t>
            </w:r>
          </w:p>
        </w:tc>
      </w:tr>
      <w:tr>
        <w:trPr>
          <w:trHeight w:val="509"/>
        </w:trPr>
        <w:tc>
          <w:tcPr>
            <w:tcW w:w="4160" w:type="dxa"/>
            <w:vAlign w:val="bottom"/>
          </w:tcPr>
          <w:p>
            <w:pPr>
              <w:spacing w:after="0"/>
              <w:rPr>
                <w:sz w:val="24"/>
                <w:szCs w:val="24"/>
                <w:color w:val="auto"/>
              </w:rPr>
            </w:pPr>
          </w:p>
        </w:tc>
        <w:tc>
          <w:tcPr>
            <w:tcW w:w="7100" w:type="dxa"/>
            <w:vAlign w:val="bottom"/>
          </w:tcPr>
          <w:p>
            <w:pPr>
              <w:jc w:val="right"/>
              <w:ind w:right="5507"/>
              <w:spacing w:after="0"/>
              <w:rPr>
                <w:sz w:val="20"/>
                <w:szCs w:val="20"/>
                <w:color w:val="auto"/>
              </w:rPr>
            </w:pPr>
            <w:r>
              <w:rPr>
                <w:rFonts w:ascii="Times New Roman" w:cs="Times New Roman" w:eastAsia="Times New Roman" w:hAnsi="Times New Roman"/>
                <w:sz w:val="13"/>
                <w:szCs w:val="13"/>
                <w:color w:val="auto"/>
              </w:rPr>
              <w:t>24</w:t>
            </w:r>
          </w:p>
        </w:tc>
      </w:tr>
      <w:tr>
        <w:trPr>
          <w:trHeight w:val="36"/>
        </w:trPr>
        <w:tc>
          <w:tcPr>
            <w:tcW w:w="4160" w:type="dxa"/>
            <w:vAlign w:val="bottom"/>
            <w:tcBorders>
              <w:bottom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r>
    </w:tbl>
    <w:p>
      <w:pPr>
        <w:sectPr>
          <w:pgSz w:w="11900" w:h="16838" w:orient="portrait"/>
          <w:cols w:equalWidth="0" w:num="1">
            <w:col w:w="11266"/>
          </w:cols>
          <w:pgMar w:left="314" w:top="112" w:right="31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9"/>
          <w:szCs w:val="19"/>
          <w:b w:val="1"/>
          <w:bCs w:val="1"/>
          <w:color w:val="auto"/>
        </w:rPr>
        <w:t>INCENTIVE STOCK OPTION GRANT NOTICE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UNDER THE DISC MEDICINE,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0" w:lineRule="exact"/>
        <w:rPr>
          <w:sz w:val="20"/>
          <w:szCs w:val="20"/>
          <w:color w:val="auto"/>
        </w:rPr>
      </w:pPr>
    </w:p>
    <w:p>
      <w:pPr>
        <w:ind w:right="140" w:firstLine="564"/>
        <w:spacing w:after="0" w:line="217" w:lineRule="exact"/>
        <w:rPr>
          <w:sz w:val="20"/>
          <w:szCs w:val="20"/>
          <w:color w:val="auto"/>
        </w:rPr>
      </w:pPr>
      <w:r>
        <w:rPr>
          <w:rFonts w:ascii="Times New Roman" w:cs="Times New Roman" w:eastAsia="Times New Roman" w:hAnsi="Times New Roman"/>
          <w:sz w:val="19"/>
          <w:szCs w:val="19"/>
          <w:color w:val="auto"/>
        </w:rPr>
        <w:t>Pursuant to the Disc Medicine, Inc</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2017 Stock Option and Grant Plan (the “Plan”), Disc Medicine,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qualified stock option.</w:t>
      </w:r>
    </w:p>
    <w:p>
      <w:pPr>
        <w:sectPr>
          <w:pgSz w:w="11900" w:h="16838" w:orient="portrait"/>
          <w:cols w:equalWidth="0" w:num="1">
            <w:col w:w="11220"/>
          </w:cols>
          <w:pgMar w:left="320" w:top="111" w:right="35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Name of Optionee:</w:t>
      </w:r>
    </w:p>
    <w:p>
      <w:pPr>
        <w:spacing w:after="0"/>
        <w:rPr>
          <w:sz w:val="20"/>
          <w:szCs w:val="20"/>
          <w:color w:val="auto"/>
        </w:rPr>
      </w:pPr>
      <w:r>
        <w:rPr>
          <w:rFonts w:ascii="Times New Roman" w:cs="Times New Roman" w:eastAsia="Times New Roman" w:hAnsi="Times New Roman"/>
          <w:sz w:val="16"/>
          <w:szCs w:val="16"/>
          <w:color w:val="auto"/>
        </w:rPr>
        <w:t>No. of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Vesting Commencement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Expiration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 Exercise Price/Share: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__________________ (the “Optionee”)</w:t>
      </w:r>
    </w:p>
    <w:p>
      <w:pPr>
        <w:spacing w:after="0"/>
        <w:rPr>
          <w:sz w:val="20"/>
          <w:szCs w:val="20"/>
          <w:color w:val="auto"/>
        </w:rPr>
      </w:pPr>
      <w:r>
        <w:rPr>
          <w:rFonts w:ascii="Times New Roman" w:cs="Times New Roman" w:eastAsia="Times New Roman" w:hAnsi="Times New Roman"/>
          <w:sz w:val="16"/>
          <w:szCs w:val="16"/>
          <w:color w:val="auto"/>
        </w:rPr>
        <w:t>__________ Shares of Common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 (the “Vesting Commencement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 (the “Expiration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 (the “Option Exercise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 percent of the Shares shall vest and become exercisable on the first anniversary of the Vesting Commencement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provided that the Optionee continues to have a Service Relationship with the Company at such time.  Thereafter,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remaining [75] percent of the Shares shall vest and become exercisable in [36] equal monthly installments following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first anniversary of the Vesting Commencement Date, provided the Optionee continues to have a Service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Relationship with the Company on each vesting date. Notwithstanding anything in the Agreement to the contrary, in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case of a Sale Event, this Stock Option and the Shares shall be treated as provided in Section 3(c) of the Plan</w:t>
      </w:r>
      <w:r>
        <w:rPr>
          <w:rFonts w:ascii="Times New Roman" w:cs="Times New Roman" w:eastAsia="Times New Roman" w:hAnsi="Times New Roman"/>
          <w:sz w:val="15"/>
          <w:szCs w:val="15"/>
          <w:b w:val="1"/>
          <w:bCs w:val="1"/>
          <w:color w:val="auto"/>
        </w:rPr>
        <w:t>[ provided;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however INSERT ANY ACCELERATED VESTING PROVISION HERE]</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sectPr>
          <w:pgSz w:w="11900" w:h="16838" w:orient="portrait"/>
          <w:cols w:equalWidth="0" w:num="2">
            <w:col w:w="2940" w:space="720"/>
            <w:col w:w="7560"/>
          </w:cols>
          <w:pgMar w:left="320" w:top="11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Incentive Stock Option Agreement, 2017 Stock Option and Grant Plan</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213" w:name="page214"/>
    <w:bookmarkEnd w:id="213"/>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INCENTIVE STOCK OPTION AGREEMENT</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UNDER THE DISC MEDICINE, INC.</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capitalized terms used herein and not otherwise defined shall have the respective meanings set forth in the Grant Notice and the Plan.</w:t>
      </w:r>
    </w:p>
    <w:p>
      <w:pPr>
        <w:spacing w:after="0" w:line="204" w:lineRule="exact"/>
        <w:rPr>
          <w:sz w:val="20"/>
          <w:szCs w:val="20"/>
          <w:color w:val="auto"/>
        </w:rPr>
      </w:pPr>
    </w:p>
    <w:p>
      <w:pPr>
        <w:ind w:left="1220" w:hanging="662"/>
        <w:spacing w:after="0"/>
        <w:tabs>
          <w:tab w:leader="none" w:pos="122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Exercisability and Termination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1900" w:hanging="779"/>
        <w:spacing w:after="0"/>
        <w:tabs>
          <w:tab w:leader="none" w:pos="1900" w:val="left"/>
        </w:tabs>
        <w:numPr>
          <w:ilvl w:val="1"/>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of this Stock Option may be exercised until such portion shall have vested and become exercisable.</w:t>
      </w:r>
    </w:p>
    <w:p>
      <w:pPr>
        <w:spacing w:after="0" w:line="204" w:lineRule="exact"/>
        <w:rPr>
          <w:rFonts w:ascii="Times New Roman" w:cs="Times New Roman" w:eastAsia="Times New Roman" w:hAnsi="Times New Roman"/>
          <w:sz w:val="19"/>
          <w:szCs w:val="19"/>
          <w:color w:val="auto"/>
        </w:rPr>
      </w:pPr>
    </w:p>
    <w:p>
      <w:pPr>
        <w:ind w:right="200" w:firstLine="1121"/>
        <w:spacing w:after="0" w:line="259" w:lineRule="auto"/>
        <w:tabs>
          <w:tab w:leader="none" w:pos="1910" w:val="left"/>
        </w:tabs>
        <w:numPr>
          <w:ilvl w:val="1"/>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62" w:lineRule="exact"/>
        <w:rPr>
          <w:rFonts w:ascii="Times New Roman" w:cs="Times New Roman" w:eastAsia="Times New Roman" w:hAnsi="Times New Roman"/>
          <w:sz w:val="19"/>
          <w:szCs w:val="19"/>
          <w:color w:val="auto"/>
        </w:rPr>
      </w:pPr>
    </w:p>
    <w:p>
      <w:pPr>
        <w:ind w:left="2380" w:hanging="695"/>
        <w:spacing w:after="0"/>
        <w:tabs>
          <w:tab w:leader="none" w:pos="2380" w:val="left"/>
        </w:tabs>
        <w:numPr>
          <w:ilvl w:val="2"/>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Stock Option shall initially be unvested and unexercisable.</w:t>
      </w:r>
    </w:p>
    <w:p>
      <w:pPr>
        <w:spacing w:after="0" w:line="204" w:lineRule="exact"/>
        <w:rPr>
          <w:rFonts w:ascii="Times New Roman" w:cs="Times New Roman" w:eastAsia="Times New Roman" w:hAnsi="Times New Roman"/>
          <w:sz w:val="19"/>
          <w:szCs w:val="19"/>
          <w:color w:val="auto"/>
        </w:rPr>
      </w:pPr>
    </w:p>
    <w:p>
      <w:pPr>
        <w:ind w:left="2380" w:hanging="695"/>
        <w:spacing w:after="0"/>
        <w:tabs>
          <w:tab w:leader="none" w:pos="2380" w:val="left"/>
        </w:tabs>
        <w:numPr>
          <w:ilvl w:val="2"/>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Stock Option shall vest and become exercisable in accordance with the Vesting Schedule set forth in the Grant</w:t>
      </w:r>
    </w:p>
    <w:p>
      <w:pPr>
        <w:spacing w:after="0" w:line="12"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w:t>
      </w:r>
    </w:p>
    <w:p>
      <w:pPr>
        <w:spacing w:after="0" w:line="184" w:lineRule="exact"/>
        <w:rPr>
          <w:rFonts w:ascii="Times New Roman" w:cs="Times New Roman" w:eastAsia="Times New Roman" w:hAnsi="Times New Roman"/>
          <w:sz w:val="19"/>
          <w:szCs w:val="19"/>
          <w:color w:val="auto"/>
        </w:rPr>
      </w:pPr>
    </w:p>
    <w:p>
      <w:pPr>
        <w:jc w:val="both"/>
        <w:ind w:right="20" w:firstLine="1121"/>
        <w:spacing w:after="0" w:line="245" w:lineRule="auto"/>
        <w:tabs>
          <w:tab w:leader="none" w:pos="1899" w:val="left"/>
        </w:tabs>
        <w:numPr>
          <w:ilvl w:val="1"/>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76" w:lineRule="exact"/>
        <w:rPr>
          <w:rFonts w:ascii="Times New Roman" w:cs="Times New Roman" w:eastAsia="Times New Roman" w:hAnsi="Times New Roman"/>
          <w:sz w:val="19"/>
          <w:szCs w:val="19"/>
          <w:color w:val="auto"/>
        </w:rPr>
      </w:pPr>
    </w:p>
    <w:p>
      <w:pPr>
        <w:ind w:left="560" w:right="60" w:firstLine="1125"/>
        <w:spacing w:after="0" w:line="241" w:lineRule="auto"/>
        <w:tabs>
          <w:tab w:leader="none" w:pos="2381" w:val="left"/>
        </w:tabs>
        <w:numPr>
          <w:ilvl w:val="2"/>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Due to Death or Disability</w:t>
      </w:r>
      <w:r>
        <w:rPr>
          <w:rFonts w:ascii="Times New Roman" w:cs="Times New Roman" w:eastAsia="Times New Roman" w:hAnsi="Times New Roman"/>
          <w:sz w:val="19"/>
          <w:szCs w:val="19"/>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79" w:lineRule="exact"/>
        <w:rPr>
          <w:rFonts w:ascii="Times New Roman" w:cs="Times New Roman" w:eastAsia="Times New Roman" w:hAnsi="Times New Roman"/>
          <w:sz w:val="19"/>
          <w:szCs w:val="19"/>
          <w:color w:val="auto"/>
        </w:rPr>
      </w:pPr>
    </w:p>
    <w:p>
      <w:pPr>
        <w:ind w:left="560" w:right="140" w:firstLine="1125"/>
        <w:spacing w:after="0" w:line="241" w:lineRule="auto"/>
        <w:tabs>
          <w:tab w:leader="none" w:pos="2386" w:val="left"/>
        </w:tabs>
        <w:numPr>
          <w:ilvl w:val="2"/>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Termination</w:t>
      </w:r>
      <w:r>
        <w:rPr>
          <w:rFonts w:ascii="Times New Roman" w:cs="Times New Roman" w:eastAsia="Times New Roman" w:hAnsi="Times New Roman"/>
          <w:sz w:val="19"/>
          <w:szCs w:val="19"/>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if the Optionee’s Service Relationship is terminated for Cause, this Stock Option shall terminate immediately upon the date of such termination.</w:t>
      </w:r>
    </w:p>
    <w:p>
      <w:pPr>
        <w:spacing w:after="0" w:line="179" w:lineRule="exact"/>
        <w:rPr>
          <w:sz w:val="20"/>
          <w:szCs w:val="20"/>
          <w:color w:val="auto"/>
        </w:rPr>
      </w:pPr>
    </w:p>
    <w:p>
      <w:pPr>
        <w:jc w:val="both"/>
        <w:ind w:right="120" w:firstLine="282"/>
        <w:spacing w:after="0" w:line="245" w:lineRule="auto"/>
        <w:rPr>
          <w:sz w:val="20"/>
          <w:szCs w:val="20"/>
          <w:color w:val="auto"/>
        </w:rPr>
      </w:pPr>
      <w:r>
        <w:rPr>
          <w:rFonts w:ascii="Times New Roman" w:cs="Times New Roman" w:eastAsia="Times New Roman" w:hAnsi="Times New Roman"/>
          <w:sz w:val="19"/>
          <w:szCs w:val="19"/>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76" w:lineRule="exact"/>
        <w:rPr>
          <w:sz w:val="20"/>
          <w:szCs w:val="20"/>
          <w:color w:val="auto"/>
        </w:rPr>
      </w:pPr>
    </w:p>
    <w:p>
      <w:pPr>
        <w:ind w:firstLine="1121"/>
        <w:spacing w:after="0" w:line="215" w:lineRule="exact"/>
        <w:tabs>
          <w:tab w:leader="none" w:pos="1863"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year period beginning on the day after the day of the transfer of such Shares to him or her, nor within the two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14" w:name="page215"/>
    <w:bookmarkEnd w:id="214"/>
    <w:p>
      <w:pPr>
        <w:ind w:left="1220" w:hanging="662"/>
        <w:spacing w:after="0"/>
        <w:tabs>
          <w:tab w:leader="none" w:pos="1220"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Stock Option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firstLine="1121"/>
        <w:spacing w:after="0" w:line="239" w:lineRule="auto"/>
        <w:tabs>
          <w:tab w:leader="none" w:pos="1802"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80" w:lineRule="exact"/>
        <w:rPr>
          <w:rFonts w:ascii="Times New Roman" w:cs="Times New Roman" w:eastAsia="Times New Roman" w:hAnsi="Times New Roman"/>
          <w:sz w:val="19"/>
          <w:szCs w:val="19"/>
          <w:color w:val="auto"/>
        </w:rPr>
      </w:pPr>
    </w:p>
    <w:p>
      <w:pPr>
        <w:ind w:left="1800" w:hanging="679"/>
        <w:spacing w:after="0"/>
        <w:tabs>
          <w:tab w:leader="none" w:pos="180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hereof or of the Plan, no portion of this Stock Option shall be exercisable after the</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Expiration Date.</w:t>
      </w:r>
    </w:p>
    <w:p>
      <w:pPr>
        <w:spacing w:after="0" w:line="184" w:lineRule="exact"/>
        <w:rPr>
          <w:rFonts w:ascii="Times New Roman" w:cs="Times New Roman" w:eastAsia="Times New Roman" w:hAnsi="Times New Roman"/>
          <w:sz w:val="19"/>
          <w:szCs w:val="19"/>
          <w:color w:val="auto"/>
        </w:rPr>
      </w:pPr>
    </w:p>
    <w:p>
      <w:pPr>
        <w:ind w:firstLine="558"/>
        <w:spacing w:after="0" w:line="259" w:lineRule="auto"/>
        <w:tabs>
          <w:tab w:leader="none" w:pos="1221"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Plan</w:t>
      </w:r>
      <w:r>
        <w:rPr>
          <w:rFonts w:ascii="Times New Roman" w:cs="Times New Roman" w:eastAsia="Times New Roman" w:hAnsi="Times New Roman"/>
          <w:sz w:val="19"/>
          <w:szCs w:val="19"/>
          <w:color w:val="auto"/>
        </w:rPr>
        <w:t>. Notwithstanding anything herein to the contrary, this Stock Option shall be subject to and governed by all the terms and conditions of the Plan.</w:t>
      </w:r>
    </w:p>
    <w:p>
      <w:pPr>
        <w:spacing w:after="0" w:line="162" w:lineRule="exact"/>
        <w:rPr>
          <w:rFonts w:ascii="Times New Roman" w:cs="Times New Roman" w:eastAsia="Times New Roman" w:hAnsi="Times New Roman"/>
          <w:sz w:val="19"/>
          <w:szCs w:val="19"/>
          <w:color w:val="auto"/>
        </w:rPr>
      </w:pPr>
    </w:p>
    <w:p>
      <w:pPr>
        <w:ind w:firstLine="558"/>
        <w:spacing w:after="0" w:line="252" w:lineRule="auto"/>
        <w:tabs>
          <w:tab w:leader="none" w:pos="126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69" w:lineRule="exact"/>
        <w:rPr>
          <w:rFonts w:ascii="Times New Roman" w:cs="Times New Roman" w:eastAsia="Times New Roman" w:hAnsi="Times New Roman"/>
          <w:sz w:val="18"/>
          <w:szCs w:val="18"/>
          <w:color w:val="auto"/>
        </w:rPr>
      </w:pPr>
    </w:p>
    <w:p>
      <w:pPr>
        <w:ind w:right="540" w:firstLine="558"/>
        <w:spacing w:after="0" w:line="259" w:lineRule="auto"/>
        <w:tabs>
          <w:tab w:leader="none" w:pos="1221"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 of Shares</w:t>
      </w:r>
      <w:r>
        <w:rPr>
          <w:rFonts w:ascii="Times New Roman" w:cs="Times New Roman" w:eastAsia="Times New Roman" w:hAnsi="Times New Roman"/>
          <w:sz w:val="19"/>
          <w:szCs w:val="19"/>
          <w:color w:val="auto"/>
        </w:rPr>
        <w:t>. The Shares acquired upon exercise of the Stock Option shall be subject to certain transfer restrictions and other limitations including, without limitation, the provisions contained in Section 9 of the Plan.</w:t>
      </w:r>
    </w:p>
    <w:p>
      <w:pPr>
        <w:spacing w:after="0" w:line="162" w:lineRule="exact"/>
        <w:rPr>
          <w:rFonts w:ascii="Times New Roman" w:cs="Times New Roman" w:eastAsia="Times New Roman" w:hAnsi="Times New Roman"/>
          <w:sz w:val="19"/>
          <w:szCs w:val="19"/>
          <w:color w:val="auto"/>
        </w:rPr>
      </w:pPr>
    </w:p>
    <w:p>
      <w:pPr>
        <w:ind w:left="1260" w:hanging="702"/>
        <w:spacing w:after="0"/>
        <w:tabs>
          <w:tab w:leader="none" w:pos="1260"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160" w:firstLine="1121"/>
        <w:spacing w:after="0" w:line="245" w:lineRule="auto"/>
        <w:tabs>
          <w:tab w:leader="none" w:pos="1899"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Equitable Relief</w:t>
      </w:r>
      <w:r>
        <w:rPr>
          <w:rFonts w:ascii="Times New Roman" w:cs="Times New Roman" w:eastAsia="Times New Roman" w:hAnsi="Times New Roman"/>
          <w:sz w:val="19"/>
          <w:szCs w:val="19"/>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15" w:name="page216"/>
    <w:bookmarkEnd w:id="215"/>
    <w:p>
      <w:pPr>
        <w:ind w:left="-20" w:right="100" w:firstLine="1121"/>
        <w:spacing w:after="0" w:line="239" w:lineRule="auto"/>
        <w:tabs>
          <w:tab w:leader="none" w:pos="189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for Changes in Capital Structure</w:t>
      </w:r>
      <w:r>
        <w:rPr>
          <w:rFonts w:ascii="Times New Roman" w:cs="Times New Roman" w:eastAsia="Times New Roman" w:hAnsi="Times New Roman"/>
          <w:sz w:val="19"/>
          <w:szCs w:val="19"/>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81" w:lineRule="exact"/>
        <w:rPr>
          <w:rFonts w:ascii="Times New Roman" w:cs="Times New Roman" w:eastAsia="Times New Roman" w:hAnsi="Times New Roman"/>
          <w:sz w:val="19"/>
          <w:szCs w:val="19"/>
          <w:color w:val="auto"/>
        </w:rPr>
      </w:pPr>
    </w:p>
    <w:p>
      <w:pPr>
        <w:jc w:val="both"/>
        <w:ind w:left="-20" w:right="160" w:firstLine="1121"/>
        <w:spacing w:after="0" w:line="245" w:lineRule="auto"/>
        <w:tabs>
          <w:tab w:leader="none" w:pos="1879"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and Modifications</w:t>
      </w:r>
      <w:r>
        <w:rPr>
          <w:rFonts w:ascii="Times New Roman" w:cs="Times New Roman" w:eastAsia="Times New Roman" w:hAnsi="Times New Roman"/>
          <w:sz w:val="19"/>
          <w:szCs w:val="19"/>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76" w:lineRule="exact"/>
        <w:rPr>
          <w:rFonts w:ascii="Times New Roman" w:cs="Times New Roman" w:eastAsia="Times New Roman" w:hAnsi="Times New Roman"/>
          <w:sz w:val="19"/>
          <w:szCs w:val="19"/>
          <w:color w:val="auto"/>
        </w:rPr>
      </w:pPr>
    </w:p>
    <w:p>
      <w:pPr>
        <w:ind w:left="-20" w:right="160" w:firstLine="1121"/>
        <w:spacing w:after="0" w:line="241" w:lineRule="auto"/>
        <w:tabs>
          <w:tab w:leader="none" w:pos="189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Commonwealth of Massachusetts, without regard to conflict of law principles that would result in the application of any law other than the law of the State of Commonwealth of Massachusetts.</w:t>
      </w:r>
    </w:p>
    <w:p>
      <w:pPr>
        <w:spacing w:after="0" w:line="179" w:lineRule="exact"/>
        <w:rPr>
          <w:rFonts w:ascii="Times New Roman" w:cs="Times New Roman" w:eastAsia="Times New Roman" w:hAnsi="Times New Roman"/>
          <w:sz w:val="19"/>
          <w:szCs w:val="19"/>
          <w:color w:val="auto"/>
        </w:rPr>
      </w:pPr>
    </w:p>
    <w:p>
      <w:pPr>
        <w:ind w:left="-20" w:right="280" w:firstLine="1121"/>
        <w:spacing w:after="0" w:line="259" w:lineRule="auto"/>
        <w:tabs>
          <w:tab w:leader="none" w:pos="1879"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are intended only for convenience in finding the subject matter and do not constitute part of the text of this Agreement and shall not be considered in the interpretation of this Agreement.</w:t>
      </w:r>
    </w:p>
    <w:p>
      <w:pPr>
        <w:spacing w:after="0" w:line="162" w:lineRule="exact"/>
        <w:rPr>
          <w:rFonts w:ascii="Times New Roman" w:cs="Times New Roman" w:eastAsia="Times New Roman" w:hAnsi="Times New Roman"/>
          <w:sz w:val="19"/>
          <w:szCs w:val="19"/>
          <w:color w:val="auto"/>
        </w:rPr>
      </w:pPr>
    </w:p>
    <w:p>
      <w:pPr>
        <w:ind w:left="-20" w:right="40" w:firstLine="1121"/>
        <w:spacing w:after="0" w:line="259" w:lineRule="auto"/>
        <w:tabs>
          <w:tab w:leader="none" w:pos="1858"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Saving Clause</w:t>
      </w:r>
      <w:r>
        <w:rPr>
          <w:rFonts w:ascii="Times New Roman" w:cs="Times New Roman" w:eastAsia="Times New Roman" w:hAnsi="Times New Roman"/>
          <w:sz w:val="19"/>
          <w:szCs w:val="19"/>
          <w:color w:val="auto"/>
        </w:rPr>
        <w:t>. If any provision(s) of this Agreement shall be determined to be illegal or unenforceable, such determination shall in no manner affect the legality or enforceability of any other provision hereof.</w:t>
      </w:r>
    </w:p>
    <w:p>
      <w:pPr>
        <w:spacing w:after="0" w:line="162" w:lineRule="exact"/>
        <w:rPr>
          <w:rFonts w:ascii="Times New Roman" w:cs="Times New Roman" w:eastAsia="Times New Roman" w:hAnsi="Times New Roman"/>
          <w:sz w:val="19"/>
          <w:szCs w:val="19"/>
          <w:color w:val="auto"/>
        </w:rPr>
      </w:pPr>
    </w:p>
    <w:p>
      <w:pPr>
        <w:ind w:left="-20" w:right="60" w:firstLine="1121"/>
        <w:spacing w:after="0" w:line="241" w:lineRule="auto"/>
        <w:tabs>
          <w:tab w:leader="none" w:pos="189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79" w:lineRule="exact"/>
        <w:rPr>
          <w:rFonts w:ascii="Times New Roman" w:cs="Times New Roman" w:eastAsia="Times New Roman" w:hAnsi="Times New Roman"/>
          <w:sz w:val="19"/>
          <w:szCs w:val="19"/>
          <w:color w:val="auto"/>
        </w:rPr>
      </w:pPr>
    </w:p>
    <w:p>
      <w:pPr>
        <w:ind w:left="-20" w:right="100" w:firstLine="1121"/>
        <w:spacing w:after="0" w:line="245" w:lineRule="auto"/>
        <w:tabs>
          <w:tab w:leader="none" w:pos="189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 and Binding Effect</w:t>
      </w:r>
      <w:r>
        <w:rPr>
          <w:rFonts w:ascii="Times New Roman" w:cs="Times New Roman" w:eastAsia="Times New Roman" w:hAnsi="Times New Roman"/>
          <w:sz w:val="19"/>
          <w:szCs w:val="19"/>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76" w:lineRule="exact"/>
        <w:rPr>
          <w:rFonts w:ascii="Times New Roman" w:cs="Times New Roman" w:eastAsia="Times New Roman" w:hAnsi="Times New Roman"/>
          <w:sz w:val="19"/>
          <w:szCs w:val="19"/>
          <w:color w:val="auto"/>
        </w:rPr>
      </w:pPr>
    </w:p>
    <w:p>
      <w:pPr>
        <w:ind w:left="-20" w:firstLine="1121"/>
        <w:spacing w:after="0" w:line="259" w:lineRule="auto"/>
        <w:tabs>
          <w:tab w:leader="none" w:pos="1848"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216" w:name="page217"/>
    <w:bookmarkEnd w:id="216"/>
    <w:p>
      <w:pPr>
        <w:ind w:right="180" w:firstLine="1121"/>
        <w:spacing w:after="0" w:line="246" w:lineRule="auto"/>
        <w:tabs>
          <w:tab w:leader="none" w:pos="1868" w:val="left"/>
        </w:tabs>
        <w:numPr>
          <w:ilvl w:val="1"/>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constitutes the entire agreement between the parties with respect to this Stock Option and supersedes all prior agreements and discussions between the parties concerning such subject matter, including but not limited to, any written or oral offer letter or consulting or service agreement between the parties that provides for the issuance of equity in the Company.</w:t>
      </w:r>
    </w:p>
    <w:p>
      <w:pPr>
        <w:spacing w:after="0" w:line="174" w:lineRule="exact"/>
        <w:rPr>
          <w:rFonts w:ascii="Times New Roman" w:cs="Times New Roman" w:eastAsia="Times New Roman" w:hAnsi="Times New Roman"/>
          <w:sz w:val="19"/>
          <w:szCs w:val="19"/>
          <w:color w:val="auto"/>
        </w:rPr>
      </w:pPr>
    </w:p>
    <w:p>
      <w:pPr>
        <w:ind w:left="1220" w:hanging="662"/>
        <w:spacing w:after="0"/>
        <w:tabs>
          <w:tab w:leader="none" w:pos="122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180" w:firstLine="1121"/>
        <w:spacing w:after="0" w:line="239" w:lineRule="auto"/>
        <w:tabs>
          <w:tab w:leader="none" w:pos="1899"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Boston, Massachusetts.</w:t>
      </w:r>
    </w:p>
    <w:p>
      <w:pPr>
        <w:spacing w:after="0" w:line="180" w:lineRule="exact"/>
        <w:rPr>
          <w:rFonts w:ascii="Times New Roman" w:cs="Times New Roman" w:eastAsia="Times New Roman" w:hAnsi="Times New Roman"/>
          <w:sz w:val="19"/>
          <w:szCs w:val="19"/>
          <w:color w:val="auto"/>
        </w:rPr>
      </w:pPr>
    </w:p>
    <w:p>
      <w:pPr>
        <w:ind w:right="40" w:firstLine="1121"/>
        <w:spacing w:after="0" w:line="235" w:lineRule="auto"/>
        <w:tabs>
          <w:tab w:leader="none" w:pos="1863"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85" w:lineRule="exact"/>
        <w:rPr>
          <w:rFonts w:ascii="Times New Roman" w:cs="Times New Roman" w:eastAsia="Times New Roman" w:hAnsi="Times New Roman"/>
          <w:sz w:val="19"/>
          <w:szCs w:val="19"/>
          <w:color w:val="auto"/>
        </w:rPr>
      </w:pPr>
    </w:p>
    <w:p>
      <w:pPr>
        <w:ind w:right="120" w:firstLine="1121"/>
        <w:spacing w:after="0" w:line="241" w:lineRule="auto"/>
        <w:tabs>
          <w:tab w:leader="none" w:pos="1852"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9" w:lineRule="exact"/>
        <w:rPr>
          <w:rFonts w:ascii="Times New Roman" w:cs="Times New Roman" w:eastAsia="Times New Roman" w:hAnsi="Times New Roman"/>
          <w:sz w:val="19"/>
          <w:szCs w:val="19"/>
          <w:color w:val="auto"/>
        </w:rPr>
      </w:pPr>
    </w:p>
    <w:p>
      <w:pPr>
        <w:ind w:firstLine="1121"/>
        <w:spacing w:after="0" w:line="249" w:lineRule="auto"/>
        <w:tabs>
          <w:tab w:leader="none" w:pos="186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17" w:name="page218"/>
    <w:bookmarkEnd w:id="217"/>
    <w:p>
      <w:pPr>
        <w:ind w:right="40" w:firstLine="282"/>
        <w:spacing w:after="0" w:line="260" w:lineRule="auto"/>
        <w:rPr>
          <w:sz w:val="20"/>
          <w:szCs w:val="20"/>
          <w:color w:val="auto"/>
        </w:rPr>
      </w:pPr>
      <w:r>
        <w:rPr>
          <w:rFonts w:ascii="Times New Roman" w:cs="Times New Roman" w:eastAsia="Times New Roman" w:hAnsi="Times New Roman"/>
          <w:sz w:val="19"/>
          <w:szCs w:val="19"/>
          <w:color w:val="auto"/>
        </w:rPr>
        <w:t>The foregoing Agreement is hereby accepted and the terms and conditions thereof hereby agreed to by the undersigned as of the date first above written.</w:t>
      </w:r>
    </w:p>
    <w:p>
      <w:pPr>
        <w:spacing w:after="0" w:line="1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20320</wp:posOffset>
            </wp:positionV>
            <wp:extent cx="3206115"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06115" cy="14605"/>
                    </a:xfrm>
                    <a:prstGeom prst="rect">
                      <a:avLst/>
                    </a:prstGeom>
                    <a:noFill/>
                  </pic:spPr>
                </pic:pic>
              </a:graphicData>
            </a:graphic>
          </wp:anchor>
        </w:drawing>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527685</wp:posOffset>
            </wp:positionV>
            <wp:extent cx="3206115" cy="146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6115" cy="1460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393065</wp:posOffset>
            </wp:positionV>
            <wp:extent cx="3206115" cy="14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06115" cy="1460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259080</wp:posOffset>
            </wp:positionV>
            <wp:extent cx="3206115" cy="14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0611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139700</wp:posOffset>
            </wp:positionV>
            <wp:extent cx="3571240" cy="14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1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527685</wp:posOffset>
            </wp:positionV>
            <wp:extent cx="3571240" cy="14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393065</wp:posOffset>
            </wp:positionV>
            <wp:extent cx="3571240" cy="14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259080</wp:posOffset>
            </wp:positionV>
            <wp:extent cx="3571240" cy="14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color w:val="auto"/>
        </w:rPr>
        <w:t>[SPOUSE’S CONSENT</w:t>
      </w:r>
      <w:r>
        <w:rPr>
          <w:rFonts w:ascii="Times New Roman" w:cs="Times New Roman" w:eastAsia="Times New Roman" w:hAnsi="Times New Roman"/>
          <w:sz w:val="26"/>
          <w:szCs w:val="26"/>
          <w:color w:val="auto"/>
          <w:vertAlign w:val="superscript"/>
        </w:rPr>
        <w:t>1</w:t>
      </w:r>
    </w:p>
    <w:p>
      <w:pPr>
        <w:spacing w:after="0"/>
        <w:rPr>
          <w:sz w:val="20"/>
          <w:szCs w:val="20"/>
          <w:color w:val="auto"/>
        </w:rPr>
      </w:pPr>
      <w:r>
        <w:rPr>
          <w:rFonts w:ascii="Times New Roman" w:cs="Times New Roman" w:eastAsia="Times New Roman" w:hAnsi="Times New Roman"/>
          <w:sz w:val="16"/>
          <w:szCs w:val="16"/>
          <w:color w:val="auto"/>
        </w:rPr>
        <w:t>I acknowledge that I have read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foregoing Incentive Stock Option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understand the contents thereof.</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2855595" cy="14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55595" cy="14605"/>
                    </a:xfrm>
                    <a:prstGeom prst="rect">
                      <a:avLst/>
                    </a:prstGeom>
                    <a:noFill/>
                  </pic:spPr>
                </pic:pic>
              </a:graphicData>
            </a:graphic>
          </wp:anchor>
        </w:drawing>
      </w:r>
    </w:p>
    <w:p>
      <w:pPr>
        <w:spacing w:after="0" w:line="197" w:lineRule="exact"/>
        <w:rPr>
          <w:sz w:val="20"/>
          <w:szCs w:val="20"/>
          <w:color w:val="auto"/>
        </w:rPr>
      </w:pPr>
    </w:p>
    <w:p>
      <w:pPr>
        <w:ind w:firstLine="332"/>
        <w:spacing w:after="0" w:line="189" w:lineRule="auto"/>
        <w:tabs>
          <w:tab w:leader="none" w:pos="463" w:val="left"/>
        </w:tabs>
        <w:numPr>
          <w:ilvl w:val="0"/>
          <w:numId w:val="25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A spouse’s consent is recommended only if the Optionee’s state of residence is one of the following community property states: Arizona, California, Idaho, Louisiana, Nevada, New Mexico, Texas, Washington and Wisconsin.</w:t>
      </w:r>
    </w:p>
    <w:p>
      <w:pPr>
        <w:spacing w:after="0" w:line="3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800"/>
          </w:cols>
          <w:pgMar w:left="320" w:top="30" w:right="779" w:bottom="1440" w:gutter="0" w:footer="0" w:header="0"/>
        </w:sectPr>
      </w:pPr>
    </w:p>
    <w:bookmarkStart w:id="219" w:name="page220"/>
    <w:bookmarkEnd w:id="219"/>
    <w:p>
      <w:pPr>
        <w:ind w:left="4500"/>
        <w:spacing w:after="0"/>
        <w:rPr>
          <w:sz w:val="20"/>
          <w:szCs w:val="20"/>
          <w:color w:val="auto"/>
        </w:rPr>
      </w:pPr>
      <w:r>
        <w:rPr>
          <w:rFonts w:ascii="Times New Roman" w:cs="Times New Roman" w:eastAsia="Times New Roman" w:hAnsi="Times New Roman"/>
          <w:sz w:val="15"/>
          <w:szCs w:val="15"/>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266065</wp:posOffset>
            </wp:positionV>
            <wp:extent cx="3571240" cy="14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527685</wp:posOffset>
            </wp:positionV>
            <wp:extent cx="3571240" cy="14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393065</wp:posOffset>
            </wp:positionV>
            <wp:extent cx="3571240" cy="14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259080</wp:posOffset>
            </wp:positionV>
            <wp:extent cx="3571240" cy="14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43815</wp:posOffset>
            </wp:positionV>
            <wp:extent cx="7150100" cy="14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EXERCISE NOTICE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 MEDICINE,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[____________________]</w:t>
      </w:r>
    </w:p>
    <w:p>
      <w:pPr>
        <w:spacing w:after="0" w:line="232" w:lineRule="auto"/>
        <w:rPr>
          <w:sz w:val="20"/>
          <w:szCs w:val="20"/>
          <w:color w:val="auto"/>
        </w:rPr>
      </w:pPr>
      <w:r>
        <w:rPr>
          <w:rFonts w:ascii="Times New Roman" w:cs="Times New Roman" w:eastAsia="Times New Roman" w:hAnsi="Times New Roman"/>
          <w:sz w:val="19"/>
          <w:szCs w:val="19"/>
          <w:color w:val="auto"/>
        </w:rPr>
        <w:t>____________________________</w:t>
      </w: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84" w:lineRule="exact"/>
        <w:rPr>
          <w:sz w:val="20"/>
          <w:szCs w:val="20"/>
          <w:color w:val="auto"/>
        </w:rPr>
      </w:pPr>
    </w:p>
    <w:p>
      <w:pPr>
        <w:ind w:right="40" w:firstLine="564"/>
        <w:spacing w:after="0" w:line="256" w:lineRule="auto"/>
        <w:rPr>
          <w:sz w:val="20"/>
          <w:szCs w:val="20"/>
          <w:color w:val="auto"/>
        </w:rPr>
      </w:pPr>
      <w:r>
        <w:rPr>
          <w:rFonts w:ascii="Times New Roman" w:cs="Times New Roman" w:eastAsia="Times New Roman" w:hAnsi="Times New Roman"/>
          <w:sz w:val="18"/>
          <w:szCs w:val="18"/>
          <w:color w:val="auto"/>
        </w:rPr>
        <w:t>Pursuant to the terms of the grant notice and stock option agreement between the undersigned and Disc Medicine, Inc. (the “Company”) dated __________ (the “Agreement”) under the Disc Medicine, Inc. 2017 Stock Option and Grant Plan, I, [Insert Name] ________________, hereby</w:t>
      </w:r>
    </w:p>
    <w:p>
      <w:pPr>
        <w:spacing w:after="0" w:line="233" w:lineRule="auto"/>
        <w:rPr>
          <w:sz w:val="20"/>
          <w:szCs w:val="20"/>
          <w:color w:val="auto"/>
        </w:rPr>
      </w:pPr>
      <w:r>
        <w:rPr>
          <w:rFonts w:ascii="Times New Roman" w:cs="Times New Roman" w:eastAsia="Times New Roman" w:hAnsi="Times New Roman"/>
          <w:sz w:val="19"/>
          <w:szCs w:val="19"/>
          <w:color w:val="auto"/>
        </w:rPr>
        <w:t>[Circle One] partially/fully exercise such option by including herein payment in the amount of $______ representing Disc Medicine, Inc. the</w:t>
      </w:r>
    </w:p>
    <w:p>
      <w:pPr>
        <w:spacing w:after="0" w:line="232" w:lineRule="auto"/>
        <w:rPr>
          <w:sz w:val="20"/>
          <w:szCs w:val="20"/>
          <w:color w:val="auto"/>
        </w:rPr>
      </w:pPr>
      <w:r>
        <w:rPr>
          <w:rFonts w:ascii="Times New Roman" w:cs="Times New Roman" w:eastAsia="Times New Roman" w:hAnsi="Times New Roman"/>
          <w:sz w:val="19"/>
          <w:szCs w:val="19"/>
          <w:color w:val="auto"/>
        </w:rPr>
        <w:t>purchase price for [Fill in number of Shares] _______ Shares. I have chosen the following form(s) of payment:</w:t>
      </w:r>
    </w:p>
    <w:tbl>
      <w:tblPr>
        <w:tblLayout w:type="fixed"/>
        <w:tblInd w:w="280" w:type="dxa"/>
        <w:tblCellMar>
          <w:top w:w="0" w:type="dxa"/>
          <w:left w:w="0" w:type="dxa"/>
          <w:bottom w:w="0" w:type="dxa"/>
          <w:right w:w="0" w:type="dxa"/>
        </w:tblCellMar>
      </w:tblPr>
      <w:tr>
        <w:trPr>
          <w:trHeight w:val="192"/>
        </w:trPr>
        <w:tc>
          <w:tcPr>
            <w:tcW w:w="400" w:type="dxa"/>
            <w:vAlign w:val="bottom"/>
          </w:tcPr>
          <w:p>
            <w:pPr>
              <w:jc w:val="right"/>
              <w:ind w:right="146"/>
              <w:spacing w:after="0" w:line="192" w:lineRule="exact"/>
              <w:rPr>
                <w:sz w:val="20"/>
                <w:szCs w:val="20"/>
                <w:color w:val="auto"/>
              </w:rPr>
            </w:pPr>
            <w:r>
              <w:rPr>
                <w:rFonts w:ascii="Times New Roman" w:cs="Times New Roman" w:eastAsia="Times New Roman" w:hAnsi="Times New Roman"/>
                <w:sz w:val="19"/>
                <w:szCs w:val="19"/>
                <w:color w:val="auto"/>
                <w:w w:val="80"/>
              </w:rPr>
              <w:t>[ ]</w:t>
            </w:r>
          </w:p>
        </w:tc>
        <w:tc>
          <w:tcPr>
            <w:tcW w:w="720" w:type="dxa"/>
            <w:vAlign w:val="bottom"/>
          </w:tcPr>
          <w:p>
            <w:pPr>
              <w:jc w:val="right"/>
              <w:ind w:right="251"/>
              <w:spacing w:after="0" w:line="192" w:lineRule="exact"/>
              <w:rPr>
                <w:sz w:val="20"/>
                <w:szCs w:val="20"/>
                <w:color w:val="auto"/>
              </w:rPr>
            </w:pPr>
            <w:r>
              <w:rPr>
                <w:rFonts w:ascii="Times New Roman" w:cs="Times New Roman" w:eastAsia="Times New Roman" w:hAnsi="Times New Roman"/>
                <w:sz w:val="19"/>
                <w:szCs w:val="19"/>
                <w:color w:val="auto"/>
              </w:rPr>
              <w:t>1.</w:t>
            </w:r>
          </w:p>
        </w:tc>
        <w:tc>
          <w:tcPr>
            <w:tcW w:w="680" w:type="dxa"/>
            <w:vAlign w:val="bottom"/>
          </w:tcPr>
          <w:p>
            <w:pPr>
              <w:ind w:left="120"/>
              <w:spacing w:after="0" w:line="192" w:lineRule="exact"/>
              <w:rPr>
                <w:sz w:val="20"/>
                <w:szCs w:val="20"/>
                <w:color w:val="auto"/>
              </w:rPr>
            </w:pPr>
            <w:r>
              <w:rPr>
                <w:rFonts w:ascii="Times New Roman" w:cs="Times New Roman" w:eastAsia="Times New Roman" w:hAnsi="Times New Roman"/>
                <w:sz w:val="19"/>
                <w:szCs w:val="19"/>
                <w:color w:val="auto"/>
              </w:rPr>
              <w:t>Cash</w:t>
            </w:r>
          </w:p>
        </w:tc>
        <w:tc>
          <w:tcPr>
            <w:tcW w:w="7920" w:type="dxa"/>
            <w:vAlign w:val="bottom"/>
          </w:tcPr>
          <w:p>
            <w:pPr>
              <w:spacing w:after="0"/>
              <w:rPr>
                <w:sz w:val="16"/>
                <w:szCs w:val="16"/>
                <w:color w:val="auto"/>
              </w:rPr>
            </w:pPr>
          </w:p>
        </w:tc>
      </w:tr>
      <w:tr>
        <w:trPr>
          <w:trHeight w:val="218"/>
        </w:trPr>
        <w:tc>
          <w:tcPr>
            <w:tcW w:w="40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w w:val="80"/>
              </w:rPr>
              <w:t>[ ]</w:t>
            </w: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9"/>
                <w:szCs w:val="19"/>
                <w:color w:val="auto"/>
              </w:rPr>
              <w:t>2.</w:t>
            </w:r>
          </w:p>
        </w:tc>
        <w:tc>
          <w:tcPr>
            <w:tcW w:w="86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Certified or bank check payable to Disc Medicine, Inc.</w:t>
            </w:r>
          </w:p>
        </w:tc>
      </w:tr>
      <w:tr>
        <w:trPr>
          <w:trHeight w:val="203"/>
        </w:trPr>
        <w:tc>
          <w:tcPr>
            <w:tcW w:w="400" w:type="dxa"/>
            <w:vAlign w:val="bottom"/>
          </w:tcPr>
          <w:p>
            <w:pPr>
              <w:spacing w:after="0"/>
              <w:rPr>
                <w:sz w:val="17"/>
                <w:szCs w:val="17"/>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color w:val="auto"/>
              </w:rPr>
              <w:t>3.</w:t>
            </w:r>
          </w:p>
        </w:tc>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Other (as referenced in the Agreement and described in the Plan (please describe)) ________________________________.</w:t>
            </w:r>
          </w:p>
        </w:tc>
      </w:tr>
    </w:tbl>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In connection with my exercise of the option as set forth above, I hereby represent and warrant to the Company as follows:</w:t>
      </w:r>
    </w:p>
    <w:p>
      <w:pPr>
        <w:spacing w:after="0" w:line="204" w:lineRule="exact"/>
        <w:rPr>
          <w:sz w:val="20"/>
          <w:szCs w:val="20"/>
          <w:color w:val="auto"/>
        </w:rPr>
      </w:pPr>
    </w:p>
    <w:p>
      <w:pPr>
        <w:ind w:left="2420" w:hanging="735"/>
        <w:spacing w:after="0"/>
        <w:tabs>
          <w:tab w:leader="none" w:pos="242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purchasing the Shares for my own account for investment only, and not for resale or with a view to the</w:t>
      </w:r>
    </w:p>
    <w:p>
      <w:pPr>
        <w:spacing w:after="0" w:line="12"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distribution thereof.</w:t>
      </w:r>
    </w:p>
    <w:p>
      <w:pPr>
        <w:spacing w:after="0" w:line="184" w:lineRule="exact"/>
        <w:rPr>
          <w:rFonts w:ascii="Times New Roman" w:cs="Times New Roman" w:eastAsia="Times New Roman" w:hAnsi="Times New Roman"/>
          <w:sz w:val="19"/>
          <w:szCs w:val="19"/>
          <w:color w:val="auto"/>
        </w:rPr>
      </w:pPr>
    </w:p>
    <w:p>
      <w:pPr>
        <w:ind w:left="560" w:right="400" w:firstLine="1125"/>
        <w:spacing w:after="0" w:line="245" w:lineRule="auto"/>
        <w:tabs>
          <w:tab w:leader="none" w:pos="2386"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76" w:lineRule="exact"/>
        <w:rPr>
          <w:rFonts w:ascii="Times New Roman" w:cs="Times New Roman" w:eastAsia="Times New Roman" w:hAnsi="Times New Roman"/>
          <w:sz w:val="19"/>
          <w:szCs w:val="19"/>
          <w:color w:val="auto"/>
        </w:rPr>
      </w:pPr>
    </w:p>
    <w:p>
      <w:pPr>
        <w:ind w:left="560" w:right="100" w:firstLine="1125"/>
        <w:spacing w:after="0" w:line="259" w:lineRule="auto"/>
        <w:tabs>
          <w:tab w:leader="none" w:pos="2439"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62" w:lineRule="exact"/>
        <w:rPr>
          <w:rFonts w:ascii="Times New Roman" w:cs="Times New Roman" w:eastAsia="Times New Roman" w:hAnsi="Times New Roman"/>
          <w:sz w:val="19"/>
          <w:szCs w:val="19"/>
          <w:color w:val="auto"/>
        </w:rPr>
      </w:pPr>
    </w:p>
    <w:p>
      <w:pPr>
        <w:ind w:left="560" w:right="140" w:firstLine="1125"/>
        <w:spacing w:after="0" w:line="259" w:lineRule="auto"/>
        <w:tabs>
          <w:tab w:leader="none" w:pos="2428"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can afford a complete loss of the value of the Shares and am able to bear the economic risk of holding such Shares for an indefinite period of time.</w:t>
      </w:r>
    </w:p>
    <w:p>
      <w:pPr>
        <w:spacing w:after="0" w:line="162" w:lineRule="exact"/>
        <w:rPr>
          <w:rFonts w:ascii="Times New Roman" w:cs="Times New Roman" w:eastAsia="Times New Roman" w:hAnsi="Times New Roman"/>
          <w:sz w:val="19"/>
          <w:szCs w:val="19"/>
          <w:color w:val="auto"/>
        </w:rPr>
      </w:pPr>
    </w:p>
    <w:p>
      <w:pPr>
        <w:ind w:left="560" w:firstLine="1125"/>
        <w:spacing w:after="0" w:line="238" w:lineRule="auto"/>
        <w:tabs>
          <w:tab w:leader="none" w:pos="2376"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21" w:name="page222"/>
    <w:bookmarkEnd w:id="221"/>
    <w:p>
      <w:pPr>
        <w:ind w:right="400" w:firstLine="1125"/>
        <w:spacing w:after="0" w:line="260" w:lineRule="auto"/>
        <w:tabs>
          <w:tab w:leader="none" w:pos="1868"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61" w:lineRule="exact"/>
        <w:rPr>
          <w:rFonts w:ascii="Times New Roman" w:cs="Times New Roman" w:eastAsia="Times New Roman" w:hAnsi="Times New Roman"/>
          <w:sz w:val="19"/>
          <w:szCs w:val="19"/>
          <w:color w:val="auto"/>
        </w:rPr>
      </w:pPr>
    </w:p>
    <w:p>
      <w:pPr>
        <w:ind w:left="1880" w:hanging="755"/>
        <w:spacing w:after="0"/>
        <w:tabs>
          <w:tab w:leader="none" w:pos="188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the Company has a right of first refusal with respect to the Shares pursuant to Section</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9(b) of the Plan.</w:t>
      </w:r>
    </w:p>
    <w:p>
      <w:pPr>
        <w:spacing w:after="0" w:line="184" w:lineRule="exact"/>
        <w:rPr>
          <w:rFonts w:ascii="Times New Roman" w:cs="Times New Roman" w:eastAsia="Times New Roman" w:hAnsi="Times New Roman"/>
          <w:sz w:val="19"/>
          <w:szCs w:val="19"/>
          <w:color w:val="auto"/>
        </w:rPr>
      </w:pPr>
    </w:p>
    <w:p>
      <w:pPr>
        <w:ind w:left="1880" w:hanging="755"/>
        <w:spacing w:after="0"/>
        <w:tabs>
          <w:tab w:leader="none" w:pos="18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certain repurchase rights with respect to the Shares pursuant to Section</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9(c) of the Plan.</w:t>
      </w:r>
    </w:p>
    <w:p>
      <w:pPr>
        <w:spacing w:after="0" w:line="184" w:lineRule="exact"/>
        <w:rPr>
          <w:rFonts w:ascii="Times New Roman" w:cs="Times New Roman" w:eastAsia="Times New Roman" w:hAnsi="Times New Roman"/>
          <w:sz w:val="18"/>
          <w:szCs w:val="18"/>
          <w:color w:val="auto"/>
        </w:rPr>
      </w:pPr>
    </w:p>
    <w:p>
      <w:pPr>
        <w:ind w:right="720" w:firstLine="1125"/>
        <w:spacing w:after="0" w:line="259" w:lineRule="auto"/>
        <w:tabs>
          <w:tab w:leader="none" w:pos="1868"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I may not sell or otherwise transfer or dispose of the Shares for a period of time following the effective date of a public offering by the Company as described in Section 9(f) of the Plan.</w:t>
      </w:r>
    </w:p>
    <w:p>
      <w:pPr>
        <w:spacing w:after="0" w:line="1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259080</wp:posOffset>
            </wp:positionV>
            <wp:extent cx="3571240" cy="14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527685</wp:posOffset>
            </wp:positionV>
            <wp:extent cx="3571240" cy="14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393065</wp:posOffset>
            </wp:positionV>
            <wp:extent cx="3571240" cy="14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259080</wp:posOffset>
            </wp:positionV>
            <wp:extent cx="3571240" cy="14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20320</wp:posOffset>
            </wp:positionV>
            <wp:extent cx="3213735" cy="146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3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40"/>
          </w:cols>
          <w:pgMar w:left="880" w:top="116" w:right="37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9"/>
          <w:szCs w:val="19"/>
          <w:b w:val="1"/>
          <w:bCs w:val="1"/>
          <w:color w:val="auto"/>
        </w:rPr>
        <w:t>NON-QUALIFIED STOCK OPTION GRANT NOTICE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UNDER THE DISC MEDICINE,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right="40" w:firstLine="564"/>
        <w:spacing w:after="0" w:line="237" w:lineRule="auto"/>
        <w:rPr>
          <w:sz w:val="20"/>
          <w:szCs w:val="20"/>
          <w:color w:val="auto"/>
        </w:rPr>
      </w:pPr>
      <w:r>
        <w:rPr>
          <w:rFonts w:ascii="Times New Roman" w:cs="Times New Roman" w:eastAsia="Times New Roman" w:hAnsi="Times New Roman"/>
          <w:sz w:val="19"/>
          <w:szCs w:val="19"/>
          <w:color w:val="auto"/>
        </w:rPr>
        <w:t>Pursuant to the Disc Medicine, Inc. 2017 Stock Option and Grant Plan (the “Plan”), Disc Medicine,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ectPr>
          <w:pgSz w:w="11900" w:h="16838" w:orient="portrait"/>
          <w:cols w:equalWidth="0" w:num="1">
            <w:col w:w="11220"/>
          </w:cols>
          <w:pgMar w:left="320" w:top="111" w:right="359" w:bottom="1440" w:gutter="0" w:footer="0" w:header="0"/>
        </w:sectPr>
      </w:pPr>
    </w:p>
    <w:p>
      <w:pPr>
        <w:spacing w:after="0" w:line="233" w:lineRule="auto"/>
        <w:rPr>
          <w:sz w:val="20"/>
          <w:szCs w:val="20"/>
          <w:color w:val="auto"/>
        </w:rPr>
      </w:pPr>
      <w:r>
        <w:rPr>
          <w:rFonts w:ascii="Times New Roman" w:cs="Times New Roman" w:eastAsia="Times New Roman" w:hAnsi="Times New Roman"/>
          <w:sz w:val="16"/>
          <w:szCs w:val="16"/>
          <w:color w:val="auto"/>
        </w:rPr>
        <w:t>Name of Optionee: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of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Vesting Commencement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Expiration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 Exercise Price/Share: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16"/>
          <w:szCs w:val="16"/>
          <w:color w:val="auto"/>
        </w:rPr>
        <w:t>__________________ (the “Optionee”)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 Shares of Common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 (the “Vesting Commencement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 (the “Expiration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 (the “Option Exercise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 percent of the Shares shall vest and become exercisable on the first anniversary of the Vesting Commencement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provided that the Optionee continues to have a Service Relationship with the Company at such time.  Thereafter,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remaining [75] percent of the Shares shall vest and become exercisable in [36] equal monthly installments following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first anniversary of the Vesting Commencement Date, provided the Optionee continues to have a Service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Relationship with the Company on each vesting date. Notwithstanding anything in the Agreement to the contrary, in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case of a Sale Event, this Stock Option and the Shares shall be treated as provided in Section 3(c) of the Plan</w:t>
      </w:r>
      <w:r>
        <w:rPr>
          <w:rFonts w:ascii="Times New Roman" w:cs="Times New Roman" w:eastAsia="Times New Roman" w:hAnsi="Times New Roman"/>
          <w:sz w:val="15"/>
          <w:szCs w:val="15"/>
          <w:b w:val="1"/>
          <w:bCs w:val="1"/>
          <w:color w:val="auto"/>
        </w:rPr>
        <w:t>[ provided;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however INSERT ANY ACCELERATED VESTING PROVISION HERE]</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sectPr>
          <w:pgSz w:w="11900" w:h="16838" w:orient="portrait"/>
          <w:cols w:equalWidth="0" w:num="2">
            <w:col w:w="2940" w:space="720"/>
            <w:col w:w="7560"/>
          </w:cols>
          <w:pgMar w:left="320" w:top="11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Non-Qualified Stock Option Agreement, 2017 Stock Option and Grant Plan</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9"/>
          <w:szCs w:val="19"/>
          <w:b w:val="1"/>
          <w:bCs w:val="1"/>
          <w:color w:val="auto"/>
        </w:rPr>
        <w:t>NON-QUALIFIED STOCK OPTION AGREEMENT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UNDER THE DISC MEDICINE,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All capitalized terms used herein and not otherwise defined shall have the respective meanings set forth in the Grant Notice and the Plan.</w:t>
      </w:r>
    </w:p>
    <w:p>
      <w:pPr>
        <w:spacing w:after="0" w:line="204" w:lineRule="exact"/>
        <w:rPr>
          <w:sz w:val="20"/>
          <w:szCs w:val="20"/>
          <w:color w:val="auto"/>
        </w:rPr>
      </w:pPr>
    </w:p>
    <w:p>
      <w:pPr>
        <w:ind w:left="1160" w:hanging="602"/>
        <w:spacing w:after="0"/>
        <w:tabs>
          <w:tab w:leader="none" w:pos="116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Exercisability and Termination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1840" w:hanging="719"/>
        <w:spacing w:after="0"/>
        <w:tabs>
          <w:tab w:leader="none" w:pos="1840"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of this Stock Option may be exercised until such portion shall have vested and become exercisable.</w:t>
      </w:r>
    </w:p>
    <w:p>
      <w:pPr>
        <w:spacing w:after="0" w:line="204" w:lineRule="exact"/>
        <w:rPr>
          <w:rFonts w:ascii="Times New Roman" w:cs="Times New Roman" w:eastAsia="Times New Roman" w:hAnsi="Times New Roman"/>
          <w:sz w:val="19"/>
          <w:szCs w:val="19"/>
          <w:color w:val="auto"/>
        </w:rPr>
      </w:pPr>
    </w:p>
    <w:p>
      <w:pPr>
        <w:ind w:right="220" w:firstLine="1121"/>
        <w:spacing w:after="0" w:line="259" w:lineRule="auto"/>
        <w:tabs>
          <w:tab w:leader="none" w:pos="1863"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62" w:lineRule="exact"/>
        <w:rPr>
          <w:rFonts w:ascii="Times New Roman" w:cs="Times New Roman" w:eastAsia="Times New Roman" w:hAnsi="Times New Roman"/>
          <w:sz w:val="19"/>
          <w:szCs w:val="19"/>
          <w:color w:val="auto"/>
        </w:rPr>
      </w:pPr>
    </w:p>
    <w:p>
      <w:pPr>
        <w:ind w:left="2380" w:hanging="695"/>
        <w:spacing w:after="0"/>
        <w:tabs>
          <w:tab w:leader="none" w:pos="2380" w:val="left"/>
        </w:tabs>
        <w:numPr>
          <w:ilvl w:val="2"/>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Stock Option shall initially be unvested and unexercisable.</w:t>
      </w:r>
    </w:p>
    <w:p>
      <w:pPr>
        <w:spacing w:after="0" w:line="204" w:lineRule="exact"/>
        <w:rPr>
          <w:rFonts w:ascii="Times New Roman" w:cs="Times New Roman" w:eastAsia="Times New Roman" w:hAnsi="Times New Roman"/>
          <w:sz w:val="19"/>
          <w:szCs w:val="19"/>
          <w:color w:val="auto"/>
        </w:rPr>
      </w:pPr>
    </w:p>
    <w:p>
      <w:pPr>
        <w:ind w:left="2380" w:hanging="695"/>
        <w:spacing w:after="0"/>
        <w:tabs>
          <w:tab w:leader="none" w:pos="2380" w:val="left"/>
        </w:tabs>
        <w:numPr>
          <w:ilvl w:val="2"/>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Stock Option shall vest and become exercisable in accordance with the Vesting Schedule set forth in the Grant</w:t>
      </w:r>
    </w:p>
    <w:p>
      <w:pPr>
        <w:spacing w:after="0" w:line="12"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w:t>
      </w:r>
    </w:p>
    <w:p>
      <w:pPr>
        <w:spacing w:after="0" w:line="184" w:lineRule="exact"/>
        <w:rPr>
          <w:rFonts w:ascii="Times New Roman" w:cs="Times New Roman" w:eastAsia="Times New Roman" w:hAnsi="Times New Roman"/>
          <w:sz w:val="19"/>
          <w:szCs w:val="19"/>
          <w:color w:val="auto"/>
        </w:rPr>
      </w:pPr>
    </w:p>
    <w:p>
      <w:pPr>
        <w:jc w:val="both"/>
        <w:ind w:firstLine="1121"/>
        <w:spacing w:after="0" w:line="245" w:lineRule="auto"/>
        <w:tabs>
          <w:tab w:leader="none" w:pos="1899"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76" w:lineRule="exact"/>
        <w:rPr>
          <w:rFonts w:ascii="Times New Roman" w:cs="Times New Roman" w:eastAsia="Times New Roman" w:hAnsi="Times New Roman"/>
          <w:sz w:val="19"/>
          <w:szCs w:val="19"/>
          <w:color w:val="auto"/>
        </w:rPr>
      </w:pPr>
    </w:p>
    <w:p>
      <w:pPr>
        <w:ind w:left="560" w:right="40" w:firstLine="1125"/>
        <w:spacing w:after="0" w:line="241" w:lineRule="auto"/>
        <w:tabs>
          <w:tab w:leader="none" w:pos="2334" w:val="left"/>
        </w:tabs>
        <w:numPr>
          <w:ilvl w:val="2"/>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Due to Death or Disability</w:t>
      </w:r>
      <w:r>
        <w:rPr>
          <w:rFonts w:ascii="Times New Roman" w:cs="Times New Roman" w:eastAsia="Times New Roman" w:hAnsi="Times New Roman"/>
          <w:sz w:val="19"/>
          <w:szCs w:val="19"/>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79" w:lineRule="exact"/>
        <w:rPr>
          <w:rFonts w:ascii="Times New Roman" w:cs="Times New Roman" w:eastAsia="Times New Roman" w:hAnsi="Times New Roman"/>
          <w:sz w:val="19"/>
          <w:szCs w:val="19"/>
          <w:color w:val="auto"/>
        </w:rPr>
      </w:pPr>
    </w:p>
    <w:p>
      <w:pPr>
        <w:ind w:left="560" w:right="120" w:firstLine="1125"/>
        <w:spacing w:after="0" w:line="241" w:lineRule="auto"/>
        <w:tabs>
          <w:tab w:leader="none" w:pos="2386" w:val="left"/>
        </w:tabs>
        <w:numPr>
          <w:ilvl w:val="2"/>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Termination</w:t>
      </w:r>
      <w:r>
        <w:rPr>
          <w:rFonts w:ascii="Times New Roman" w:cs="Times New Roman" w:eastAsia="Times New Roman" w:hAnsi="Times New Roman"/>
          <w:sz w:val="19"/>
          <w:szCs w:val="19"/>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if the Optionee’s Service Relationship is terminated for Cause, this Stock Option shall terminate immediately upon the date of such termination.</w:t>
      </w:r>
    </w:p>
    <w:p>
      <w:pPr>
        <w:spacing w:after="0" w:line="179" w:lineRule="exact"/>
        <w:rPr>
          <w:sz w:val="20"/>
          <w:szCs w:val="20"/>
          <w:color w:val="auto"/>
        </w:rPr>
      </w:pPr>
    </w:p>
    <w:p>
      <w:pPr>
        <w:jc w:val="both"/>
        <w:ind w:right="100" w:firstLine="282"/>
        <w:spacing w:after="0" w:line="245" w:lineRule="auto"/>
        <w:rPr>
          <w:sz w:val="20"/>
          <w:szCs w:val="20"/>
          <w:color w:val="auto"/>
        </w:rPr>
      </w:pPr>
      <w:r>
        <w:rPr>
          <w:rFonts w:ascii="Times New Roman" w:cs="Times New Roman" w:eastAsia="Times New Roman" w:hAnsi="Times New Roman"/>
          <w:sz w:val="19"/>
          <w:szCs w:val="19"/>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pacing w:after="0" w:line="176" w:lineRule="exact"/>
        <w:rPr>
          <w:sz w:val="20"/>
          <w:szCs w:val="20"/>
          <w:color w:val="auto"/>
        </w:rPr>
      </w:pPr>
    </w:p>
    <w:p>
      <w:pPr>
        <w:ind w:left="1160" w:hanging="602"/>
        <w:spacing w:after="0"/>
        <w:tabs>
          <w:tab w:leader="none" w:pos="116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Stock Option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20" w:firstLine="1121"/>
        <w:spacing w:after="0" w:line="239" w:lineRule="auto"/>
        <w:tabs>
          <w:tab w:leader="none" w:pos="1899"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4" w:name="page225"/>
    <w:bookmarkEnd w:id="224"/>
    <w:p>
      <w:pPr>
        <w:ind w:left="1800" w:hanging="679"/>
        <w:spacing w:after="0"/>
        <w:tabs>
          <w:tab w:leader="none" w:pos="1800"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hereof or of the Plan, no portion of this Stock Option shall be exercisable after the</w:t>
      </w:r>
    </w:p>
    <w:p>
      <w:pPr>
        <w:spacing w:after="0" w:line="1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Expiration Date.</w:t>
      </w:r>
    </w:p>
    <w:p>
      <w:pPr>
        <w:spacing w:after="0" w:line="184" w:lineRule="exact"/>
        <w:rPr>
          <w:rFonts w:ascii="Times New Roman" w:cs="Times New Roman" w:eastAsia="Times New Roman" w:hAnsi="Times New Roman"/>
          <w:sz w:val="19"/>
          <w:szCs w:val="19"/>
          <w:color w:val="auto"/>
        </w:rPr>
      </w:pPr>
    </w:p>
    <w:p>
      <w:pPr>
        <w:ind w:right="60" w:firstLine="558"/>
        <w:spacing w:after="0" w:line="259" w:lineRule="auto"/>
        <w:tabs>
          <w:tab w:leader="none" w:pos="1221"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Plan</w:t>
      </w:r>
      <w:r>
        <w:rPr>
          <w:rFonts w:ascii="Times New Roman" w:cs="Times New Roman" w:eastAsia="Times New Roman" w:hAnsi="Times New Roman"/>
          <w:sz w:val="19"/>
          <w:szCs w:val="19"/>
          <w:color w:val="auto"/>
        </w:rPr>
        <w:t>. Notwithstanding anything herein to the contrary, this Stock Option shall be subject to and governed by all the terms and conditions of the Plan.</w:t>
      </w:r>
    </w:p>
    <w:p>
      <w:pPr>
        <w:spacing w:after="0" w:line="162" w:lineRule="exact"/>
        <w:rPr>
          <w:rFonts w:ascii="Times New Roman" w:cs="Times New Roman" w:eastAsia="Times New Roman" w:hAnsi="Times New Roman"/>
          <w:sz w:val="19"/>
          <w:szCs w:val="19"/>
          <w:color w:val="auto"/>
        </w:rPr>
      </w:pPr>
    </w:p>
    <w:p>
      <w:pPr>
        <w:ind w:firstLine="558"/>
        <w:spacing w:after="0" w:line="252" w:lineRule="auto"/>
        <w:tabs>
          <w:tab w:leader="none" w:pos="117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69" w:lineRule="exact"/>
        <w:rPr>
          <w:rFonts w:ascii="Times New Roman" w:cs="Times New Roman" w:eastAsia="Times New Roman" w:hAnsi="Times New Roman"/>
          <w:sz w:val="18"/>
          <w:szCs w:val="18"/>
          <w:color w:val="auto"/>
        </w:rPr>
      </w:pPr>
    </w:p>
    <w:p>
      <w:pPr>
        <w:ind w:right="660" w:firstLine="558"/>
        <w:spacing w:after="0" w:line="259" w:lineRule="auto"/>
        <w:tabs>
          <w:tab w:leader="none" w:pos="1174"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 of Shares</w:t>
      </w:r>
      <w:r>
        <w:rPr>
          <w:rFonts w:ascii="Times New Roman" w:cs="Times New Roman" w:eastAsia="Times New Roman" w:hAnsi="Times New Roman"/>
          <w:sz w:val="19"/>
          <w:szCs w:val="19"/>
          <w:color w:val="auto"/>
        </w:rPr>
        <w:t>. The Shares acquired upon exercise of the Stock Option shall be subject to certain transfer restrictions and other limitations including, without limitation, the provisions contained in Section 9 of the Plan.</w:t>
      </w:r>
    </w:p>
    <w:p>
      <w:pPr>
        <w:spacing w:after="0" w:line="162"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firstLine="1121"/>
        <w:spacing w:after="0" w:line="287" w:lineRule="auto"/>
        <w:tabs>
          <w:tab w:leader="none" w:pos="180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9" w:lineRule="exact"/>
        <w:rPr>
          <w:rFonts w:ascii="Times New Roman" w:cs="Times New Roman" w:eastAsia="Times New Roman" w:hAnsi="Times New Roman"/>
          <w:sz w:val="18"/>
          <w:szCs w:val="18"/>
          <w:color w:val="auto"/>
        </w:rPr>
      </w:pPr>
    </w:p>
    <w:p>
      <w:pPr>
        <w:ind w:right="100" w:firstLine="1121"/>
        <w:spacing w:after="0" w:line="239" w:lineRule="auto"/>
        <w:tabs>
          <w:tab w:leader="none" w:pos="1816"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for Changes in Capital Structure</w:t>
      </w:r>
      <w:r>
        <w:rPr>
          <w:rFonts w:ascii="Times New Roman" w:cs="Times New Roman" w:eastAsia="Times New Roman" w:hAnsi="Times New Roman"/>
          <w:sz w:val="19"/>
          <w:szCs w:val="19"/>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80" w:lineRule="exact"/>
        <w:rPr>
          <w:rFonts w:ascii="Times New Roman" w:cs="Times New Roman" w:eastAsia="Times New Roman" w:hAnsi="Times New Roman"/>
          <w:sz w:val="19"/>
          <w:szCs w:val="19"/>
          <w:color w:val="auto"/>
        </w:rPr>
      </w:pPr>
    </w:p>
    <w:p>
      <w:pPr>
        <w:jc w:val="both"/>
        <w:ind w:right="60" w:firstLine="1121"/>
        <w:spacing w:after="0" w:line="245" w:lineRule="auto"/>
        <w:tabs>
          <w:tab w:leader="none" w:pos="1805"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and Modifications</w:t>
      </w:r>
      <w:r>
        <w:rPr>
          <w:rFonts w:ascii="Times New Roman" w:cs="Times New Roman" w:eastAsia="Times New Roman" w:hAnsi="Times New Roman"/>
          <w:sz w:val="19"/>
          <w:szCs w:val="19"/>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5" w:name="page226"/>
    <w:bookmarkEnd w:id="225"/>
    <w:p>
      <w:pPr>
        <w:ind w:left="-20" w:right="220" w:firstLine="1121"/>
        <w:spacing w:after="0" w:line="241" w:lineRule="auto"/>
        <w:tabs>
          <w:tab w:leader="none" w:pos="1843"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79" w:lineRule="exact"/>
        <w:rPr>
          <w:rFonts w:ascii="Times New Roman" w:cs="Times New Roman" w:eastAsia="Times New Roman" w:hAnsi="Times New Roman"/>
          <w:sz w:val="19"/>
          <w:szCs w:val="19"/>
          <w:color w:val="auto"/>
        </w:rPr>
      </w:pPr>
    </w:p>
    <w:p>
      <w:pPr>
        <w:ind w:left="-20" w:firstLine="1121"/>
        <w:spacing w:after="0" w:line="259" w:lineRule="auto"/>
        <w:tabs>
          <w:tab w:leader="none" w:pos="1832"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are intended only for convenience in finding the subject matter and do not constitute part of the text of this Agreement and shall not be considered in the interpretation of this Agreement.</w:t>
      </w:r>
    </w:p>
    <w:p>
      <w:pPr>
        <w:spacing w:after="0" w:line="162" w:lineRule="exact"/>
        <w:rPr>
          <w:rFonts w:ascii="Times New Roman" w:cs="Times New Roman" w:eastAsia="Times New Roman" w:hAnsi="Times New Roman"/>
          <w:sz w:val="19"/>
          <w:szCs w:val="19"/>
          <w:color w:val="auto"/>
        </w:rPr>
      </w:pPr>
    </w:p>
    <w:p>
      <w:pPr>
        <w:ind w:left="-20" w:right="100" w:firstLine="1121"/>
        <w:spacing w:after="0" w:line="259" w:lineRule="auto"/>
        <w:tabs>
          <w:tab w:leader="none" w:pos="1811"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Saving Clause</w:t>
      </w:r>
      <w:r>
        <w:rPr>
          <w:rFonts w:ascii="Times New Roman" w:cs="Times New Roman" w:eastAsia="Times New Roman" w:hAnsi="Times New Roman"/>
          <w:sz w:val="19"/>
          <w:szCs w:val="19"/>
          <w:color w:val="auto"/>
        </w:rPr>
        <w:t>. If any provision(s) of this Agreement shall be determined to be illegal or unenforceable, such determination shall in no manner affect the legality or enforceability of any other provision hereof.</w:t>
      </w:r>
    </w:p>
    <w:p>
      <w:pPr>
        <w:spacing w:after="0" w:line="162" w:lineRule="exact"/>
        <w:rPr>
          <w:rFonts w:ascii="Times New Roman" w:cs="Times New Roman" w:eastAsia="Times New Roman" w:hAnsi="Times New Roman"/>
          <w:sz w:val="19"/>
          <w:szCs w:val="19"/>
          <w:color w:val="auto"/>
        </w:rPr>
      </w:pPr>
    </w:p>
    <w:p>
      <w:pPr>
        <w:ind w:left="-20" w:right="120" w:firstLine="1121"/>
        <w:spacing w:after="0" w:line="241" w:lineRule="auto"/>
        <w:tabs>
          <w:tab w:leader="none" w:pos="1843"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79" w:lineRule="exact"/>
        <w:rPr>
          <w:rFonts w:ascii="Times New Roman" w:cs="Times New Roman" w:eastAsia="Times New Roman" w:hAnsi="Times New Roman"/>
          <w:sz w:val="19"/>
          <w:szCs w:val="19"/>
          <w:color w:val="auto"/>
        </w:rPr>
      </w:pPr>
    </w:p>
    <w:p>
      <w:pPr>
        <w:ind w:left="-20" w:right="160" w:firstLine="1121"/>
        <w:spacing w:after="0" w:line="245" w:lineRule="auto"/>
        <w:tabs>
          <w:tab w:leader="none" w:pos="1843"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 and Binding Effect</w:t>
      </w:r>
      <w:r>
        <w:rPr>
          <w:rFonts w:ascii="Times New Roman" w:cs="Times New Roman" w:eastAsia="Times New Roman" w:hAnsi="Times New Roman"/>
          <w:sz w:val="19"/>
          <w:szCs w:val="19"/>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76" w:lineRule="exact"/>
        <w:rPr>
          <w:rFonts w:ascii="Times New Roman" w:cs="Times New Roman" w:eastAsia="Times New Roman" w:hAnsi="Times New Roman"/>
          <w:sz w:val="19"/>
          <w:szCs w:val="19"/>
          <w:color w:val="auto"/>
        </w:rPr>
      </w:pPr>
    </w:p>
    <w:p>
      <w:pPr>
        <w:ind w:left="-20" w:firstLine="1121"/>
        <w:spacing w:after="0" w:line="259" w:lineRule="auto"/>
        <w:tabs>
          <w:tab w:leader="none" w:pos="1848"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62" w:lineRule="exact"/>
        <w:rPr>
          <w:rFonts w:ascii="Times New Roman" w:cs="Times New Roman" w:eastAsia="Times New Roman" w:hAnsi="Times New Roman"/>
          <w:sz w:val="19"/>
          <w:szCs w:val="19"/>
          <w:color w:val="auto"/>
        </w:rPr>
      </w:pPr>
    </w:p>
    <w:p>
      <w:pPr>
        <w:ind w:left="-20" w:right="160" w:firstLine="1121"/>
        <w:spacing w:after="0" w:line="245" w:lineRule="auto"/>
        <w:tabs>
          <w:tab w:leader="none" w:pos="1801"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constitutes the entire agreement between the parties with respect to this Stock Option and supersedes all prior agreements and discussions between the parties concerning such subject matter, including but not limited to, any written or oral offer letter or consulting or service agreement between the parties that provides for the issuance of equity in the Company.</w:t>
      </w:r>
    </w:p>
    <w:p>
      <w:pPr>
        <w:spacing w:after="0" w:line="176" w:lineRule="exact"/>
        <w:rPr>
          <w:rFonts w:ascii="Times New Roman" w:cs="Times New Roman" w:eastAsia="Times New Roman" w:hAnsi="Times New Roman"/>
          <w:sz w:val="19"/>
          <w:szCs w:val="19"/>
          <w:color w:val="auto"/>
        </w:rPr>
      </w:pPr>
    </w:p>
    <w:p>
      <w:pPr>
        <w:ind w:left="1200" w:hanging="662"/>
        <w:spacing w:after="0"/>
        <w:tabs>
          <w:tab w:leader="none" w:pos="1200"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20" w:right="160" w:firstLine="1121"/>
        <w:spacing w:after="0" w:line="239" w:lineRule="auto"/>
        <w:tabs>
          <w:tab w:leader="none" w:pos="1832"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Boston, Massachusetts.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40" w:top="115" w:right="339" w:bottom="1440" w:gutter="0" w:footer="0" w:header="0"/>
        </w:sectPr>
      </w:pPr>
    </w:p>
    <w:bookmarkStart w:id="226" w:name="page227"/>
    <w:bookmarkEnd w:id="226"/>
    <w:p>
      <w:pPr>
        <w:ind w:right="40" w:firstLine="1121"/>
        <w:spacing w:after="0" w:line="235" w:lineRule="auto"/>
        <w:tabs>
          <w:tab w:leader="none" w:pos="1812"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86" w:lineRule="exact"/>
        <w:rPr>
          <w:rFonts w:ascii="Times New Roman" w:cs="Times New Roman" w:eastAsia="Times New Roman" w:hAnsi="Times New Roman"/>
          <w:sz w:val="19"/>
          <w:szCs w:val="19"/>
          <w:color w:val="auto"/>
        </w:rPr>
      </w:pPr>
    </w:p>
    <w:p>
      <w:pPr>
        <w:jc w:val="both"/>
        <w:ind w:right="140" w:firstLine="1121"/>
        <w:spacing w:after="0" w:line="241" w:lineRule="auto"/>
        <w:tabs>
          <w:tab w:leader="none" w:pos="1802"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9" w:lineRule="exact"/>
        <w:rPr>
          <w:rFonts w:ascii="Times New Roman" w:cs="Times New Roman" w:eastAsia="Times New Roman" w:hAnsi="Times New Roman"/>
          <w:sz w:val="19"/>
          <w:szCs w:val="19"/>
          <w:color w:val="auto"/>
        </w:rPr>
      </w:pPr>
    </w:p>
    <w:p>
      <w:pPr>
        <w:ind w:firstLine="1121"/>
        <w:spacing w:after="0" w:line="249" w:lineRule="auto"/>
        <w:tabs>
          <w:tab w:leader="none" w:pos="181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27" w:name="page228"/>
    <w:bookmarkEnd w:id="227"/>
    <w:p>
      <w:pPr>
        <w:ind w:right="40" w:firstLine="282"/>
        <w:spacing w:after="0" w:line="260" w:lineRule="auto"/>
        <w:rPr>
          <w:sz w:val="20"/>
          <w:szCs w:val="20"/>
          <w:color w:val="auto"/>
        </w:rPr>
      </w:pPr>
      <w:r>
        <w:rPr>
          <w:rFonts w:ascii="Times New Roman" w:cs="Times New Roman" w:eastAsia="Times New Roman" w:hAnsi="Times New Roman"/>
          <w:sz w:val="19"/>
          <w:szCs w:val="19"/>
          <w:color w:val="auto"/>
        </w:rPr>
        <w:t>The foregoing Agreement is hereby accepted and the terms and conditions thereof hereby agreed to by the undersigned as of the date first above written.</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20320</wp:posOffset>
            </wp:positionV>
            <wp:extent cx="3198495" cy="146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198495" cy="14605"/>
                    </a:xfrm>
                    <a:prstGeom prst="rect">
                      <a:avLst/>
                    </a:prstGeom>
                    <a:noFill/>
                  </pic:spPr>
                </pic:pic>
              </a:graphicData>
            </a:graphic>
          </wp:anchor>
        </w:drawing>
      </w:r>
    </w:p>
    <w:p>
      <w:pPr>
        <w:spacing w:after="0" w:line="1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Title:</w:t>
      </w:r>
    </w:p>
    <w:p>
      <w:pPr>
        <w:spacing w:after="0" w:line="1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527685</wp:posOffset>
            </wp:positionV>
            <wp:extent cx="3549015" cy="146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549015" cy="1460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393065</wp:posOffset>
            </wp:positionV>
            <wp:extent cx="3549015" cy="146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49015" cy="1460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259080</wp:posOffset>
            </wp:positionV>
            <wp:extent cx="3549015" cy="146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54901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259080</wp:posOffset>
            </wp:positionV>
            <wp:extent cx="3571240" cy="146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1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527685</wp:posOffset>
            </wp:positionV>
            <wp:extent cx="3571240" cy="146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393065</wp:posOffset>
            </wp:positionV>
            <wp:extent cx="3571240" cy="146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259080</wp:posOffset>
            </wp:positionV>
            <wp:extent cx="3571240" cy="146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color w:val="auto"/>
        </w:rPr>
        <w:t>[SPOUSE’S CONSENT</w:t>
      </w:r>
      <w:r>
        <w:rPr>
          <w:rFonts w:ascii="Times New Roman" w:cs="Times New Roman" w:eastAsia="Times New Roman" w:hAnsi="Times New Roman"/>
          <w:sz w:val="26"/>
          <w:szCs w:val="26"/>
          <w:color w:val="auto"/>
          <w:vertAlign w:val="superscript"/>
        </w:rPr>
        <w:t>2</w:t>
      </w:r>
    </w:p>
    <w:p>
      <w:pPr>
        <w:spacing w:after="0"/>
        <w:rPr>
          <w:sz w:val="20"/>
          <w:szCs w:val="20"/>
          <w:color w:val="auto"/>
        </w:rPr>
      </w:pPr>
      <w:r>
        <w:rPr>
          <w:rFonts w:ascii="Times New Roman" w:cs="Times New Roman" w:eastAsia="Times New Roman" w:hAnsi="Times New Roman"/>
          <w:sz w:val="16"/>
          <w:szCs w:val="16"/>
          <w:color w:val="auto"/>
        </w:rPr>
        <w:t>I acknowledge that I have read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foregoing Non-Qualified Stock Option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understand the contents thereof.</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2855595" cy="146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55595" cy="14605"/>
                    </a:xfrm>
                    <a:prstGeom prst="rect">
                      <a:avLst/>
                    </a:prstGeom>
                    <a:noFill/>
                  </pic:spPr>
                </pic:pic>
              </a:graphicData>
            </a:graphic>
          </wp:anchor>
        </w:drawing>
      </w:r>
    </w:p>
    <w:p>
      <w:pPr>
        <w:spacing w:after="0" w:line="361" w:lineRule="exact"/>
        <w:rPr>
          <w:sz w:val="20"/>
          <w:szCs w:val="20"/>
          <w:color w:val="auto"/>
        </w:rPr>
      </w:pPr>
    </w:p>
    <w:p>
      <w:pPr>
        <w:ind w:firstLine="276"/>
        <w:spacing w:after="0" w:line="189" w:lineRule="auto"/>
        <w:tabs>
          <w:tab w:leader="none" w:pos="407" w:val="left"/>
        </w:tabs>
        <w:numPr>
          <w:ilvl w:val="0"/>
          <w:numId w:val="26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A spouse’s consent is recommended only if the Optionee’s state of residence is one of the following community property states: Arizona, California, Idaho, Louisiana, Nevada, New Mexico, Texas, Washington and Wisconsin.</w:t>
      </w:r>
    </w:p>
    <w:p>
      <w:pPr>
        <w:spacing w:after="0" w:line="3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60"/>
          </w:cols>
          <w:pgMar w:left="320" w:top="30" w:right="819" w:bottom="1440" w:gutter="0" w:footer="0" w:header="0"/>
        </w:sectPr>
      </w:pPr>
    </w:p>
    <w:bookmarkStart w:id="229" w:name="page230"/>
    <w:bookmarkEnd w:id="229"/>
    <w:p>
      <w:pPr>
        <w:ind w:left="4500"/>
        <w:spacing w:after="0"/>
        <w:rPr>
          <w:sz w:val="20"/>
          <w:szCs w:val="20"/>
          <w:color w:val="auto"/>
        </w:rPr>
      </w:pPr>
      <w:r>
        <w:rPr>
          <w:rFonts w:ascii="Times New Roman" w:cs="Times New Roman" w:eastAsia="Times New Roman" w:hAnsi="Times New Roman"/>
          <w:sz w:val="15"/>
          <w:szCs w:val="15"/>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266065</wp:posOffset>
            </wp:positionV>
            <wp:extent cx="3571240" cy="146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527685</wp:posOffset>
            </wp:positionV>
            <wp:extent cx="3571240" cy="146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393065</wp:posOffset>
            </wp:positionV>
            <wp:extent cx="3571240" cy="146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259080</wp:posOffset>
            </wp:positionV>
            <wp:extent cx="3571240" cy="146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43815</wp:posOffset>
            </wp:positionV>
            <wp:extent cx="7150100" cy="146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EXERCISE NOTICE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 MEDICINE,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[____________________]</w:t>
      </w:r>
    </w:p>
    <w:p>
      <w:pPr>
        <w:spacing w:after="0" w:line="232" w:lineRule="auto"/>
        <w:rPr>
          <w:sz w:val="20"/>
          <w:szCs w:val="20"/>
          <w:color w:val="auto"/>
        </w:rPr>
      </w:pPr>
      <w:r>
        <w:rPr>
          <w:rFonts w:ascii="Times New Roman" w:cs="Times New Roman" w:eastAsia="Times New Roman" w:hAnsi="Times New Roman"/>
          <w:sz w:val="19"/>
          <w:szCs w:val="19"/>
          <w:color w:val="auto"/>
        </w:rPr>
        <w:t>____________________________</w:t>
      </w: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Pursuant to the terms of the grant notice and stock option agreement between the undersigned and Disc Medicine, Inc. (the “Company”) dated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 (the “Agreement”) under the Disc Medicine, Inc.2017 Stock Option and Grant Plan, I, [Insert Name] ________________, hereby</w:t>
      </w:r>
    </w:p>
    <w:p>
      <w:pPr>
        <w:spacing w:after="0" w:line="232" w:lineRule="auto"/>
        <w:rPr>
          <w:sz w:val="20"/>
          <w:szCs w:val="20"/>
          <w:color w:val="auto"/>
        </w:rPr>
      </w:pPr>
      <w:r>
        <w:rPr>
          <w:rFonts w:ascii="Times New Roman" w:cs="Times New Roman" w:eastAsia="Times New Roman" w:hAnsi="Times New Roman"/>
          <w:sz w:val="19"/>
          <w:szCs w:val="19"/>
          <w:color w:val="auto"/>
        </w:rPr>
        <w:t>[Circle One] partially/fully exercise such option by including herein payment in the amount of $______ representing the purchase price for [Fill in</w:t>
      </w:r>
    </w:p>
    <w:p>
      <w:pPr>
        <w:spacing w:after="0" w:line="232" w:lineRule="auto"/>
        <w:rPr>
          <w:sz w:val="20"/>
          <w:szCs w:val="20"/>
          <w:color w:val="auto"/>
        </w:rPr>
      </w:pPr>
      <w:r>
        <w:rPr>
          <w:rFonts w:ascii="Times New Roman" w:cs="Times New Roman" w:eastAsia="Times New Roman" w:hAnsi="Times New Roman"/>
          <w:sz w:val="19"/>
          <w:szCs w:val="19"/>
          <w:color w:val="auto"/>
        </w:rPr>
        <w:t>number of Shares] _______ Shares. I have chosen the following form(s) of payment:</w:t>
      </w:r>
    </w:p>
    <w:tbl>
      <w:tblPr>
        <w:tblLayout w:type="fixed"/>
        <w:tblInd w:w="280" w:type="dxa"/>
        <w:tblCellMar>
          <w:top w:w="0" w:type="dxa"/>
          <w:left w:w="0" w:type="dxa"/>
          <w:bottom w:w="0" w:type="dxa"/>
          <w:right w:w="0" w:type="dxa"/>
        </w:tblCellMar>
      </w:tblPr>
      <w:tr>
        <w:trPr>
          <w:trHeight w:val="192"/>
        </w:trPr>
        <w:tc>
          <w:tcPr>
            <w:tcW w:w="400" w:type="dxa"/>
            <w:vAlign w:val="bottom"/>
          </w:tcPr>
          <w:p>
            <w:pPr>
              <w:jc w:val="right"/>
              <w:ind w:right="146"/>
              <w:spacing w:after="0" w:line="192" w:lineRule="exact"/>
              <w:rPr>
                <w:sz w:val="20"/>
                <w:szCs w:val="20"/>
                <w:color w:val="auto"/>
              </w:rPr>
            </w:pPr>
            <w:r>
              <w:rPr>
                <w:rFonts w:ascii="Times New Roman" w:cs="Times New Roman" w:eastAsia="Times New Roman" w:hAnsi="Times New Roman"/>
                <w:sz w:val="19"/>
                <w:szCs w:val="19"/>
                <w:color w:val="auto"/>
                <w:w w:val="80"/>
              </w:rPr>
              <w:t>[ ]</w:t>
            </w:r>
          </w:p>
        </w:tc>
        <w:tc>
          <w:tcPr>
            <w:tcW w:w="720" w:type="dxa"/>
            <w:vAlign w:val="bottom"/>
          </w:tcPr>
          <w:p>
            <w:pPr>
              <w:jc w:val="right"/>
              <w:ind w:right="251"/>
              <w:spacing w:after="0" w:line="192" w:lineRule="exact"/>
              <w:rPr>
                <w:sz w:val="20"/>
                <w:szCs w:val="20"/>
                <w:color w:val="auto"/>
              </w:rPr>
            </w:pPr>
            <w:r>
              <w:rPr>
                <w:rFonts w:ascii="Times New Roman" w:cs="Times New Roman" w:eastAsia="Times New Roman" w:hAnsi="Times New Roman"/>
                <w:sz w:val="19"/>
                <w:szCs w:val="19"/>
                <w:color w:val="auto"/>
              </w:rPr>
              <w:t>1.</w:t>
            </w:r>
          </w:p>
        </w:tc>
        <w:tc>
          <w:tcPr>
            <w:tcW w:w="680" w:type="dxa"/>
            <w:vAlign w:val="bottom"/>
          </w:tcPr>
          <w:p>
            <w:pPr>
              <w:ind w:left="120"/>
              <w:spacing w:after="0" w:line="192" w:lineRule="exact"/>
              <w:rPr>
                <w:sz w:val="20"/>
                <w:szCs w:val="20"/>
                <w:color w:val="auto"/>
              </w:rPr>
            </w:pPr>
            <w:r>
              <w:rPr>
                <w:rFonts w:ascii="Times New Roman" w:cs="Times New Roman" w:eastAsia="Times New Roman" w:hAnsi="Times New Roman"/>
                <w:sz w:val="19"/>
                <w:szCs w:val="19"/>
                <w:color w:val="auto"/>
              </w:rPr>
              <w:t>Cash</w:t>
            </w:r>
          </w:p>
        </w:tc>
        <w:tc>
          <w:tcPr>
            <w:tcW w:w="5340" w:type="dxa"/>
            <w:vAlign w:val="bottom"/>
          </w:tcPr>
          <w:p>
            <w:pPr>
              <w:spacing w:after="0"/>
              <w:rPr>
                <w:sz w:val="16"/>
                <w:szCs w:val="16"/>
                <w:color w:val="auto"/>
              </w:rPr>
            </w:pPr>
          </w:p>
        </w:tc>
      </w:tr>
      <w:tr>
        <w:trPr>
          <w:trHeight w:val="218"/>
        </w:trPr>
        <w:tc>
          <w:tcPr>
            <w:tcW w:w="40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w w:val="80"/>
              </w:rPr>
              <w:t>[ ]</w:t>
            </w: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9"/>
                <w:szCs w:val="19"/>
                <w:color w:val="auto"/>
              </w:rPr>
              <w:t>2.</w:t>
            </w: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Certified or bank check payable to Disc Medicine, Inc.</w:t>
            </w:r>
          </w:p>
        </w:tc>
      </w:tr>
      <w:tr>
        <w:trPr>
          <w:trHeight w:val="188"/>
        </w:trPr>
        <w:tc>
          <w:tcPr>
            <w:tcW w:w="4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color w:val="auto"/>
              </w:rPr>
              <w:t>3.</w:t>
            </w: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Other (as referenced in the Agreement and described in the Plan (please describe))</w:t>
            </w:r>
          </w:p>
        </w:tc>
      </w:tr>
      <w:tr>
        <w:trPr>
          <w:trHeight w:val="203"/>
        </w:trPr>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_____________________________________________________.</w:t>
            </w:r>
          </w:p>
        </w:tc>
      </w:tr>
    </w:tbl>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In connection with my exercise of the option as set forth above, I hereby represent and warrant to the Company as follows:</w:t>
      </w:r>
    </w:p>
    <w:p>
      <w:pPr>
        <w:spacing w:after="0" w:line="204" w:lineRule="exact"/>
        <w:rPr>
          <w:sz w:val="20"/>
          <w:szCs w:val="20"/>
          <w:color w:val="auto"/>
        </w:rPr>
      </w:pPr>
    </w:p>
    <w:p>
      <w:pPr>
        <w:ind w:left="2380" w:hanging="695"/>
        <w:spacing w:after="0"/>
        <w:tabs>
          <w:tab w:leader="none" w:pos="238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purchasing the Shares for my own account for investment only, and not for resale or with a view to the</w:t>
      </w:r>
    </w:p>
    <w:p>
      <w:pPr>
        <w:spacing w:after="0" w:line="12"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distribution thereof.</w:t>
      </w:r>
    </w:p>
    <w:p>
      <w:pPr>
        <w:spacing w:after="0" w:line="184" w:lineRule="exact"/>
        <w:rPr>
          <w:rFonts w:ascii="Times New Roman" w:cs="Times New Roman" w:eastAsia="Times New Roman" w:hAnsi="Times New Roman"/>
          <w:sz w:val="19"/>
          <w:szCs w:val="19"/>
          <w:color w:val="auto"/>
        </w:rPr>
      </w:pPr>
    </w:p>
    <w:p>
      <w:pPr>
        <w:ind w:left="560" w:right="400" w:firstLine="1125"/>
        <w:spacing w:after="0" w:line="245" w:lineRule="auto"/>
        <w:tabs>
          <w:tab w:leader="none" w:pos="2386"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76" w:lineRule="exact"/>
        <w:rPr>
          <w:rFonts w:ascii="Times New Roman" w:cs="Times New Roman" w:eastAsia="Times New Roman" w:hAnsi="Times New Roman"/>
          <w:sz w:val="19"/>
          <w:szCs w:val="19"/>
          <w:color w:val="auto"/>
        </w:rPr>
      </w:pPr>
    </w:p>
    <w:p>
      <w:pPr>
        <w:ind w:left="560" w:right="100" w:firstLine="1125"/>
        <w:spacing w:after="0" w:line="259" w:lineRule="auto"/>
        <w:tabs>
          <w:tab w:leader="none" w:pos="243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62" w:lineRule="exact"/>
        <w:rPr>
          <w:rFonts w:ascii="Times New Roman" w:cs="Times New Roman" w:eastAsia="Times New Roman" w:hAnsi="Times New Roman"/>
          <w:sz w:val="19"/>
          <w:szCs w:val="19"/>
          <w:color w:val="auto"/>
        </w:rPr>
      </w:pPr>
    </w:p>
    <w:p>
      <w:pPr>
        <w:ind w:left="560" w:right="140" w:firstLine="1125"/>
        <w:spacing w:after="0" w:line="259" w:lineRule="auto"/>
        <w:tabs>
          <w:tab w:leader="none" w:pos="2428"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can afford a complete loss of the value of the Shares and am able to bear the economic risk of holding such Shares for an indefinite period of time.</w:t>
      </w:r>
    </w:p>
    <w:p>
      <w:pPr>
        <w:spacing w:after="0" w:line="162" w:lineRule="exact"/>
        <w:rPr>
          <w:rFonts w:ascii="Times New Roman" w:cs="Times New Roman" w:eastAsia="Times New Roman" w:hAnsi="Times New Roman"/>
          <w:sz w:val="19"/>
          <w:szCs w:val="19"/>
          <w:color w:val="auto"/>
        </w:rPr>
      </w:pPr>
    </w:p>
    <w:p>
      <w:pPr>
        <w:ind w:left="560" w:firstLine="1125"/>
        <w:spacing w:after="0" w:line="238" w:lineRule="auto"/>
        <w:tabs>
          <w:tab w:leader="none" w:pos="2376"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31" w:name="page232"/>
    <w:bookmarkEnd w:id="231"/>
    <w:p>
      <w:pPr>
        <w:ind w:right="440" w:firstLine="1125"/>
        <w:spacing w:after="0" w:line="260" w:lineRule="auto"/>
        <w:tabs>
          <w:tab w:leader="none" w:pos="1868"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61" w:lineRule="exact"/>
        <w:rPr>
          <w:rFonts w:ascii="Times New Roman" w:cs="Times New Roman" w:eastAsia="Times New Roman" w:hAnsi="Times New Roman"/>
          <w:sz w:val="19"/>
          <w:szCs w:val="19"/>
          <w:color w:val="auto"/>
        </w:rPr>
      </w:pPr>
    </w:p>
    <w:p>
      <w:pPr>
        <w:ind w:left="1820" w:hanging="695"/>
        <w:spacing w:after="0"/>
        <w:tabs>
          <w:tab w:leader="none" w:pos="18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of the Plan.</w:t>
      </w:r>
    </w:p>
    <w:p>
      <w:pPr>
        <w:spacing w:after="0" w:line="184" w:lineRule="exact"/>
        <w:rPr>
          <w:rFonts w:ascii="Times New Roman" w:cs="Times New Roman" w:eastAsia="Times New Roman" w:hAnsi="Times New Roman"/>
          <w:sz w:val="18"/>
          <w:szCs w:val="18"/>
          <w:color w:val="auto"/>
        </w:rPr>
      </w:pPr>
    </w:p>
    <w:p>
      <w:pPr>
        <w:ind w:left="1820" w:hanging="695"/>
        <w:spacing w:after="0"/>
        <w:tabs>
          <w:tab w:leader="none" w:pos="182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the Company has certain repurchase rights with respect to the Shares pursuant to Section</w:t>
      </w:r>
    </w:p>
    <w:p>
      <w:pPr>
        <w:spacing w:after="0" w:line="1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9(c) of the Plan.</w:t>
      </w:r>
    </w:p>
    <w:p>
      <w:pPr>
        <w:spacing w:after="0" w:line="184" w:lineRule="exact"/>
        <w:rPr>
          <w:rFonts w:ascii="Times New Roman" w:cs="Times New Roman" w:eastAsia="Times New Roman" w:hAnsi="Times New Roman"/>
          <w:sz w:val="19"/>
          <w:szCs w:val="19"/>
          <w:color w:val="auto"/>
        </w:rPr>
      </w:pPr>
    </w:p>
    <w:p>
      <w:pPr>
        <w:ind w:right="760" w:firstLine="1125"/>
        <w:spacing w:after="0" w:line="259" w:lineRule="auto"/>
        <w:tabs>
          <w:tab w:leader="none" w:pos="1868"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I may not sell or otherwise transfer or dispose of the Shares for a period of time following the effective date of a public offering by the Company as described in Section 9(f) of the Plan.</w:t>
      </w:r>
    </w:p>
    <w:p>
      <w:pPr>
        <w:spacing w:after="0" w:line="16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259080</wp:posOffset>
            </wp:positionV>
            <wp:extent cx="3571240" cy="146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527685</wp:posOffset>
            </wp:positionV>
            <wp:extent cx="3571240" cy="146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393065</wp:posOffset>
            </wp:positionV>
            <wp:extent cx="3571240" cy="146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259080</wp:posOffset>
            </wp:positionV>
            <wp:extent cx="3571240" cy="146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20320</wp:posOffset>
            </wp:positionV>
            <wp:extent cx="3213735" cy="146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3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0"/>
          </w:cols>
          <w:pgMar w:left="880" w:top="115"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AWARD NOTICE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under the Disc Medicine,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right="100" w:firstLine="282"/>
        <w:spacing w:after="0" w:line="249" w:lineRule="auto"/>
        <w:rPr>
          <w:sz w:val="20"/>
          <w:szCs w:val="20"/>
          <w:color w:val="auto"/>
        </w:rPr>
      </w:pPr>
      <w:r>
        <w:rPr>
          <w:rFonts w:ascii="Times New Roman" w:cs="Times New Roman" w:eastAsia="Times New Roman" w:hAnsi="Times New Roman"/>
          <w:sz w:val="18"/>
          <w:szCs w:val="18"/>
          <w:color w:val="auto"/>
        </w:rPr>
        <w:t>Pursuant to the Disc Medicine, Inc. 2017 Stock Option and Grant Plan (the “Plan”), Disc Medicine,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w:t>
      </w:r>
      <w:r>
        <w:rPr>
          <w:rFonts w:ascii="Times New Roman" w:cs="Times New Roman" w:eastAsia="Times New Roman" w:hAnsi="Times New Roman"/>
          <w:sz w:val="18"/>
          <w:szCs w:val="18"/>
          <w:b w:val="1"/>
          <w:bCs w:val="1"/>
          <w:color w:val="auto"/>
        </w:rPr>
        <w:t>[_______]</w:t>
      </w:r>
      <w:r>
        <w:rPr>
          <w:rFonts w:ascii="Times New Roman" w:cs="Times New Roman" w:eastAsia="Times New Roman" w:hAnsi="Times New Roman"/>
          <w:sz w:val="18"/>
          <w:szCs w:val="18"/>
          <w:color w:val="auto"/>
        </w:rPr>
        <w:t xml:space="preserve"> in full payment</w:t>
      </w:r>
    </w:p>
    <w:p>
      <w:pPr>
        <w:spacing w:after="0" w:line="3"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9"/>
          <w:szCs w:val="19"/>
          <w:color w:val="auto"/>
        </w:rPr>
        <w:t>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ectPr>
          <w:pgSz w:w="11900" w:h="16838" w:orient="portrait"/>
          <w:cols w:equalWidth="0" w:num="1">
            <w:col w:w="11240"/>
          </w:cols>
          <w:pgMar w:left="320" w:top="112" w:right="339" w:bottom="1440" w:gutter="0" w:footer="0" w:header="0"/>
        </w:sectPr>
      </w:pPr>
    </w:p>
    <w:p>
      <w:pPr>
        <w:spacing w:after="0" w:line="234" w:lineRule="auto"/>
        <w:rPr>
          <w:sz w:val="20"/>
          <w:szCs w:val="20"/>
          <w:color w:val="auto"/>
        </w:rPr>
      </w:pPr>
      <w:r>
        <w:rPr>
          <w:rFonts w:ascii="Times New Roman" w:cs="Times New Roman" w:eastAsia="Times New Roman" w:hAnsi="Times New Roman"/>
          <w:sz w:val="16"/>
          <w:szCs w:val="16"/>
          <w:color w:val="auto"/>
        </w:rPr>
        <w:t>Name of Grantee: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of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Purchase of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Vesting Commencement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 Share Purchase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6"/>
          <w:szCs w:val="16"/>
          <w:color w:val="auto"/>
        </w:rPr>
        <w:t>_________________ (the “Grantee”)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 Shares of Common Stock (the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 __, 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 __, 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 __, ____ (the “Vesting Commencement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 (the “Per Share Purchase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 percent of the Shares shall vest on the [first] anniversary of the Vesting Commencement Date; provided that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Grantee continues to have a Service Relationship with the Company at such time. Thereafter, the remaining [75] percent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Shares shall vest in [36] equal monthly installments following the first anniversary of the Vesting Commencement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provided the Grantee continues to have a Service Relationship with the Company at such time. Notwithstanding</w:t>
      </w:r>
    </w:p>
    <w:p>
      <w:pPr>
        <w:spacing w:after="0" w:line="4" w:lineRule="exact"/>
        <w:rPr>
          <w:sz w:val="20"/>
          <w:szCs w:val="20"/>
          <w:color w:val="auto"/>
        </w:rPr>
      </w:pPr>
    </w:p>
    <w:p>
      <w:pPr>
        <w:sectPr>
          <w:pgSz w:w="11900" w:h="16838" w:orient="portrait"/>
          <w:cols w:equalWidth="0" w:num="2">
            <w:col w:w="2940" w:space="720"/>
            <w:col w:w="7580"/>
          </w:cols>
          <w:pgMar w:left="320" w:top="112" w:right="339" w:bottom="1440" w:gutter="0" w:footer="0" w:header="0"/>
          <w:type w:val="continuous"/>
        </w:sectPr>
      </w:pPr>
    </w:p>
    <w:p>
      <w:pPr>
        <w:jc w:val="both"/>
        <w:ind w:left="3660" w:right="100"/>
        <w:spacing w:after="0" w:line="247" w:lineRule="auto"/>
        <w:rPr>
          <w:sz w:val="20"/>
          <w:szCs w:val="20"/>
          <w:color w:val="auto"/>
        </w:rPr>
      </w:pPr>
      <w:r>
        <w:rPr>
          <w:rFonts w:ascii="Times New Roman" w:cs="Times New Roman" w:eastAsia="Times New Roman" w:hAnsi="Times New Roman"/>
          <w:sz w:val="16"/>
          <w:szCs w:val="16"/>
          <w:color w:val="auto"/>
        </w:rPr>
        <w:t xml:space="preserve">anything in the Agreement to the contrary in the case of a Sale Event, the Shares of Restricted Stock shall be treated as provided in Section 3(c) of the Plan </w:t>
      </w:r>
      <w:r>
        <w:rPr>
          <w:rFonts w:ascii="Times New Roman" w:cs="Times New Roman" w:eastAsia="Times New Roman" w:hAnsi="Times New Roman"/>
          <w:sz w:val="16"/>
          <w:szCs w:val="16"/>
          <w:b w:val="1"/>
          <w:bCs w:val="1"/>
          <w:color w:val="auto"/>
        </w:rPr>
        <w:t>[provided; however INSERT ANY ACCELERATED VESTING PROVISION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HERE]</w:t>
      </w:r>
      <w:r>
        <w:rPr>
          <w:rFonts w:ascii="Times New Roman" w:cs="Times New Roman" w:eastAsia="Times New Roman" w:hAnsi="Times New Roman"/>
          <w:sz w:val="16"/>
          <w:szCs w:val="16"/>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Attachments: Restricted Stock Agreement, 2017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2147570" cy="146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47570" cy="1460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33" w:name="page234"/>
    <w:bookmarkEnd w:id="233"/>
    <w:p>
      <w:pPr>
        <w:ind w:left="4500"/>
        <w:spacing w:after="0"/>
        <w:rPr>
          <w:sz w:val="20"/>
          <w:szCs w:val="20"/>
          <w:color w:val="auto"/>
        </w:rPr>
      </w:pPr>
      <w:r>
        <w:rPr>
          <w:rFonts w:ascii="Times New Roman" w:cs="Times New Roman" w:eastAsia="Times New Roman" w:hAnsi="Times New Roman"/>
          <w:sz w:val="19"/>
          <w:szCs w:val="19"/>
          <w:b w:val="1"/>
          <w:bCs w:val="1"/>
          <w:color w:val="auto"/>
        </w:rPr>
        <w:t>Restricted Stock Agreement</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under the Disc Medicine,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2017 Stock Option and Grant Plan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All capitalized terms used herein and not otherwise defined shall have the respective meanings set forth in the Award Notice and the Plan.</w:t>
      </w:r>
    </w:p>
    <w:p>
      <w:pPr>
        <w:spacing w:after="0" w:line="204" w:lineRule="exact"/>
        <w:rPr>
          <w:sz w:val="20"/>
          <w:szCs w:val="20"/>
          <w:color w:val="auto"/>
        </w:rPr>
      </w:pPr>
    </w:p>
    <w:p>
      <w:pPr>
        <w:ind w:left="1160" w:hanging="602"/>
        <w:spacing w:after="0"/>
        <w:tabs>
          <w:tab w:leader="none" w:pos="116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 of Shares; Vesting; Investment Representations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360" w:firstLine="1121"/>
        <w:spacing w:after="0" w:line="259" w:lineRule="auto"/>
        <w:tabs>
          <w:tab w:leader="none" w:pos="1852" w:val="left"/>
        </w:tabs>
        <w:numPr>
          <w:ilvl w:val="1"/>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 The Company hereby sells to the Grantee, and the Grantee hereby purchases from the Company, the number of Shares set forth in the Award Notice for the Per Share Purchase Price.</w:t>
      </w:r>
    </w:p>
    <w:p>
      <w:pPr>
        <w:spacing w:after="0" w:line="162" w:lineRule="exact"/>
        <w:rPr>
          <w:rFonts w:ascii="Times New Roman" w:cs="Times New Roman" w:eastAsia="Times New Roman" w:hAnsi="Times New Roman"/>
          <w:sz w:val="19"/>
          <w:szCs w:val="19"/>
          <w:color w:val="auto"/>
        </w:rPr>
      </w:pPr>
    </w:p>
    <w:p>
      <w:pPr>
        <w:ind w:firstLine="1121"/>
        <w:spacing w:after="0" w:line="245" w:lineRule="auto"/>
        <w:tabs>
          <w:tab w:leader="none" w:pos="1863" w:val="left"/>
        </w:tabs>
        <w:numPr>
          <w:ilvl w:val="1"/>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76" w:lineRule="exact"/>
        <w:rPr>
          <w:rFonts w:ascii="Times New Roman" w:cs="Times New Roman" w:eastAsia="Times New Roman" w:hAnsi="Times New Roman"/>
          <w:sz w:val="19"/>
          <w:szCs w:val="19"/>
          <w:color w:val="auto"/>
        </w:rPr>
      </w:pPr>
    </w:p>
    <w:p>
      <w:pPr>
        <w:ind w:right="20" w:firstLine="1121"/>
        <w:spacing w:after="0" w:line="259" w:lineRule="auto"/>
        <w:tabs>
          <w:tab w:leader="none" w:pos="1852" w:val="left"/>
        </w:tabs>
        <w:numPr>
          <w:ilvl w:val="1"/>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Representations</w:t>
      </w:r>
      <w:r>
        <w:rPr>
          <w:rFonts w:ascii="Times New Roman" w:cs="Times New Roman" w:eastAsia="Times New Roman" w:hAnsi="Times New Roman"/>
          <w:sz w:val="19"/>
          <w:szCs w:val="19"/>
          <w:color w:val="auto"/>
        </w:rPr>
        <w:t>. In connection with the purchase and sale of the Shares contemplated by Section 1(a) above, the Grantee hereby represents and warrants to the Company as follows:</w:t>
      </w:r>
    </w:p>
    <w:p>
      <w:pPr>
        <w:spacing w:after="0" w:line="162" w:lineRule="exact"/>
        <w:rPr>
          <w:rFonts w:ascii="Times New Roman" w:cs="Times New Roman" w:eastAsia="Times New Roman" w:hAnsi="Times New Roman"/>
          <w:sz w:val="19"/>
          <w:szCs w:val="19"/>
          <w:color w:val="auto"/>
        </w:rPr>
      </w:pPr>
    </w:p>
    <w:p>
      <w:pPr>
        <w:ind w:left="560" w:right="80" w:firstLine="1125"/>
        <w:spacing w:after="0" w:line="259" w:lineRule="auto"/>
        <w:tabs>
          <w:tab w:leader="none" w:pos="2428"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is purchasing the Shares for the Grantee’s own account for investment only, and not for resale or with a view to the distribution thereof.</w:t>
      </w:r>
    </w:p>
    <w:p>
      <w:pPr>
        <w:spacing w:after="0" w:line="162" w:lineRule="exact"/>
        <w:rPr>
          <w:rFonts w:ascii="Times New Roman" w:cs="Times New Roman" w:eastAsia="Times New Roman" w:hAnsi="Times New Roman"/>
          <w:sz w:val="19"/>
          <w:szCs w:val="19"/>
          <w:color w:val="auto"/>
        </w:rPr>
      </w:pPr>
    </w:p>
    <w:p>
      <w:pPr>
        <w:ind w:left="560" w:right="640" w:firstLine="1125"/>
        <w:spacing w:after="0" w:line="245" w:lineRule="auto"/>
        <w:tabs>
          <w:tab w:leader="none" w:pos="2383"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176" w:lineRule="exact"/>
        <w:rPr>
          <w:rFonts w:ascii="Times New Roman" w:cs="Times New Roman" w:eastAsia="Times New Roman" w:hAnsi="Times New Roman"/>
          <w:sz w:val="19"/>
          <w:szCs w:val="19"/>
          <w:color w:val="auto"/>
        </w:rPr>
      </w:pPr>
    </w:p>
    <w:p>
      <w:pPr>
        <w:ind w:left="560" w:right="220" w:firstLine="1125"/>
        <w:spacing w:after="0" w:line="259" w:lineRule="auto"/>
        <w:tabs>
          <w:tab w:leader="none" w:pos="2435"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162" w:lineRule="exact"/>
        <w:rPr>
          <w:rFonts w:ascii="Times New Roman" w:cs="Times New Roman" w:eastAsia="Times New Roman" w:hAnsi="Times New Roman"/>
          <w:sz w:val="19"/>
          <w:szCs w:val="19"/>
          <w:color w:val="auto"/>
        </w:rPr>
      </w:pPr>
    </w:p>
    <w:p>
      <w:pPr>
        <w:ind w:left="560" w:right="280" w:firstLine="1125"/>
        <w:spacing w:after="0" w:line="259" w:lineRule="auto"/>
        <w:tabs>
          <w:tab w:leader="none" w:pos="2425"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can afford a complete loss of the value of the Shares and is able to bear the economic risk of holding such Shares for an indefinite period.</w:t>
      </w:r>
    </w:p>
    <w:p>
      <w:pPr>
        <w:spacing w:after="0" w:line="162" w:lineRule="exact"/>
        <w:rPr>
          <w:rFonts w:ascii="Times New Roman" w:cs="Times New Roman" w:eastAsia="Times New Roman" w:hAnsi="Times New Roman"/>
          <w:sz w:val="19"/>
          <w:szCs w:val="19"/>
          <w:color w:val="auto"/>
        </w:rPr>
      </w:pPr>
    </w:p>
    <w:p>
      <w:pPr>
        <w:ind w:left="560" w:right="60" w:firstLine="1125"/>
        <w:spacing w:after="0" w:line="238" w:lineRule="auto"/>
        <w:tabs>
          <w:tab w:leader="none" w:pos="2372"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4" w:name="page235"/>
    <w:bookmarkEnd w:id="234"/>
    <w:p>
      <w:pPr>
        <w:ind w:left="540" w:right="80" w:firstLine="1125"/>
        <w:spacing w:after="0" w:line="260" w:lineRule="auto"/>
        <w:tabs>
          <w:tab w:leader="none" w:pos="2405" w:val="left"/>
        </w:tabs>
        <w:numPr>
          <w:ilvl w:val="2"/>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has read and understands the Plan and acknowledges and agrees that the Shares are subject to all of the relevant terms of the Plan, including without limitation, the transfer restrictions set forth in Section 9 of the Plan.</w:t>
      </w:r>
    </w:p>
    <w:p>
      <w:pPr>
        <w:spacing w:after="0" w:line="161" w:lineRule="exact"/>
        <w:rPr>
          <w:rFonts w:ascii="Times New Roman" w:cs="Times New Roman" w:eastAsia="Times New Roman" w:hAnsi="Times New Roman"/>
          <w:sz w:val="19"/>
          <w:szCs w:val="19"/>
          <w:color w:val="auto"/>
        </w:rPr>
      </w:pPr>
    </w:p>
    <w:p>
      <w:pPr>
        <w:ind w:left="540" w:right="80" w:firstLine="1125"/>
        <w:spacing w:after="0" w:line="259" w:lineRule="auto"/>
        <w:tabs>
          <w:tab w:leader="none" w:pos="2413" w:val="left"/>
        </w:tabs>
        <w:numPr>
          <w:ilvl w:val="2"/>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understands and agrees that the Company has a right of first refusal with respect to the Shares pursuant to Section 9(b) of the Plan.</w:t>
      </w:r>
    </w:p>
    <w:p>
      <w:pPr>
        <w:spacing w:after="0" w:line="162" w:lineRule="exact"/>
        <w:rPr>
          <w:rFonts w:ascii="Times New Roman" w:cs="Times New Roman" w:eastAsia="Times New Roman" w:hAnsi="Times New Roman"/>
          <w:sz w:val="19"/>
          <w:szCs w:val="19"/>
          <w:color w:val="auto"/>
        </w:rPr>
      </w:pPr>
    </w:p>
    <w:p>
      <w:pPr>
        <w:ind w:left="540" w:right="580" w:firstLine="1125"/>
        <w:spacing w:after="0" w:line="259" w:lineRule="auto"/>
        <w:tabs>
          <w:tab w:leader="none" w:pos="2419" w:val="left"/>
        </w:tabs>
        <w:numPr>
          <w:ilvl w:val="2"/>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understands and agree that the Company has certain repurchase rights with respect to the Shares pursuant to Section 9(c) of the Plan.</w:t>
      </w:r>
    </w:p>
    <w:p>
      <w:pPr>
        <w:spacing w:after="0" w:line="162" w:lineRule="exact"/>
        <w:rPr>
          <w:rFonts w:ascii="Times New Roman" w:cs="Times New Roman" w:eastAsia="Times New Roman" w:hAnsi="Times New Roman"/>
          <w:sz w:val="19"/>
          <w:szCs w:val="19"/>
          <w:color w:val="auto"/>
        </w:rPr>
      </w:pPr>
    </w:p>
    <w:p>
      <w:pPr>
        <w:ind w:left="540" w:right="20" w:firstLine="1125"/>
        <w:spacing w:after="0" w:line="259" w:lineRule="auto"/>
        <w:tabs>
          <w:tab w:leader="none" w:pos="2405" w:val="left"/>
        </w:tabs>
        <w:numPr>
          <w:ilvl w:val="2"/>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62" w:lineRule="exact"/>
        <w:rPr>
          <w:rFonts w:ascii="Times New Roman" w:cs="Times New Roman" w:eastAsia="Times New Roman" w:hAnsi="Times New Roman"/>
          <w:sz w:val="19"/>
          <w:szCs w:val="19"/>
          <w:color w:val="auto"/>
        </w:rPr>
      </w:pPr>
    </w:p>
    <w:p>
      <w:pPr>
        <w:ind w:left="-20" w:right="260" w:firstLine="558"/>
        <w:spacing w:after="0" w:line="259" w:lineRule="auto"/>
        <w:tabs>
          <w:tab w:leader="none" w:pos="1201"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Repurchase Right</w:t>
      </w:r>
      <w:r>
        <w:rPr>
          <w:rFonts w:ascii="Times New Roman" w:cs="Times New Roman" w:eastAsia="Times New Roman" w:hAnsi="Times New Roman"/>
          <w:sz w:val="19"/>
          <w:szCs w:val="19"/>
          <w:color w:val="auto"/>
        </w:rPr>
        <w:t>. Upon a Termination Event, the Company shall have the right to repurchase Shares of Restricted Stock that are unvested as of the date of such Termination Event as set forth in Section 9(c) of the Plan.</w:t>
      </w:r>
    </w:p>
    <w:p>
      <w:pPr>
        <w:spacing w:after="0" w:line="162" w:lineRule="exact"/>
        <w:rPr>
          <w:rFonts w:ascii="Times New Roman" w:cs="Times New Roman" w:eastAsia="Times New Roman" w:hAnsi="Times New Roman"/>
          <w:sz w:val="19"/>
          <w:szCs w:val="19"/>
          <w:color w:val="auto"/>
        </w:rPr>
      </w:pPr>
    </w:p>
    <w:p>
      <w:pPr>
        <w:ind w:left="-20" w:right="460" w:firstLine="558"/>
        <w:spacing w:after="0" w:line="259" w:lineRule="auto"/>
        <w:tabs>
          <w:tab w:leader="none" w:pos="1201"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 of Shares</w:t>
      </w:r>
      <w:r>
        <w:rPr>
          <w:rFonts w:ascii="Times New Roman" w:cs="Times New Roman" w:eastAsia="Times New Roman" w:hAnsi="Times New Roman"/>
          <w:sz w:val="19"/>
          <w:szCs w:val="19"/>
          <w:color w:val="auto"/>
        </w:rPr>
        <w:t>. The Shares (whether or not vested) shall be subject to certain transfer restrictions and other limitations including, without limitation, the provisions contained in Section 9 of the Plan</w:t>
      </w:r>
    </w:p>
    <w:p>
      <w:pPr>
        <w:spacing w:after="0" w:line="162" w:lineRule="exact"/>
        <w:rPr>
          <w:rFonts w:ascii="Times New Roman" w:cs="Times New Roman" w:eastAsia="Times New Roman" w:hAnsi="Times New Roman"/>
          <w:sz w:val="19"/>
          <w:szCs w:val="19"/>
          <w:color w:val="auto"/>
        </w:rPr>
      </w:pPr>
    </w:p>
    <w:p>
      <w:pPr>
        <w:ind w:left="-20" w:firstLine="558"/>
        <w:spacing w:after="0" w:line="259" w:lineRule="auto"/>
        <w:tabs>
          <w:tab w:leader="none" w:pos="1201"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Plan</w:t>
      </w:r>
      <w:r>
        <w:rPr>
          <w:rFonts w:ascii="Times New Roman" w:cs="Times New Roman" w:eastAsia="Times New Roman" w:hAnsi="Times New Roman"/>
          <w:sz w:val="19"/>
          <w:szCs w:val="19"/>
          <w:color w:val="auto"/>
        </w:rPr>
        <w:t>. Notwithstanding anything herein to the contrary, this Restricted Stock Award shall be subject to and governed by all the terms and conditions of the Plan.</w:t>
      </w:r>
    </w:p>
    <w:p>
      <w:pPr>
        <w:spacing w:after="0" w:line="162" w:lineRule="exact"/>
        <w:rPr>
          <w:rFonts w:ascii="Times New Roman" w:cs="Times New Roman" w:eastAsia="Times New Roman" w:hAnsi="Times New Roman"/>
          <w:sz w:val="19"/>
          <w:szCs w:val="19"/>
          <w:color w:val="auto"/>
        </w:rPr>
      </w:pPr>
    </w:p>
    <w:p>
      <w:pPr>
        <w:ind w:left="1200" w:hanging="662"/>
        <w:spacing w:after="0"/>
        <w:tabs>
          <w:tab w:leader="none" w:pos="1200"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left="-20" w:right="120" w:firstLine="1121"/>
        <w:spacing w:after="0" w:line="241" w:lineRule="auto"/>
        <w:tabs>
          <w:tab w:leader="none" w:pos="1832"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 Owner; Dividends</w:t>
      </w:r>
      <w:r>
        <w:rPr>
          <w:rFonts w:ascii="Times New Roman" w:cs="Times New Roman" w:eastAsia="Times New Roman" w:hAnsi="Times New Roman"/>
          <w:sz w:val="19"/>
          <w:szCs w:val="19"/>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 is under no duty to declare any such dividends or to make any such distribution.</w:t>
      </w:r>
    </w:p>
    <w:p>
      <w:pPr>
        <w:spacing w:after="0" w:line="179" w:lineRule="exact"/>
        <w:rPr>
          <w:rFonts w:ascii="Times New Roman" w:cs="Times New Roman" w:eastAsia="Times New Roman" w:hAnsi="Times New Roman"/>
          <w:sz w:val="19"/>
          <w:szCs w:val="19"/>
          <w:color w:val="auto"/>
        </w:rPr>
      </w:pPr>
    </w:p>
    <w:p>
      <w:pPr>
        <w:ind w:left="-20" w:right="20" w:firstLine="1121"/>
        <w:spacing w:after="0" w:line="241" w:lineRule="auto"/>
        <w:tabs>
          <w:tab w:leader="none" w:pos="1843"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83(b) Election</w:t>
      </w:r>
      <w:r>
        <w:rPr>
          <w:rFonts w:ascii="Times New Roman" w:cs="Times New Roman" w:eastAsia="Times New Roman" w:hAnsi="Times New Roman"/>
          <w:sz w:val="19"/>
          <w:szCs w:val="19"/>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179" w:lineRule="exact"/>
        <w:rPr>
          <w:rFonts w:ascii="Times New Roman" w:cs="Times New Roman" w:eastAsia="Times New Roman" w:hAnsi="Times New Roman"/>
          <w:sz w:val="19"/>
          <w:szCs w:val="19"/>
          <w:color w:val="auto"/>
        </w:rPr>
      </w:pPr>
    </w:p>
    <w:p>
      <w:pPr>
        <w:ind w:left="-20" w:right="260" w:firstLine="1121"/>
        <w:spacing w:after="0" w:line="245" w:lineRule="auto"/>
        <w:tabs>
          <w:tab w:leader="none" w:pos="1832"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Equitable Relief</w:t>
      </w:r>
      <w:r>
        <w:rPr>
          <w:rFonts w:ascii="Times New Roman" w:cs="Times New Roman" w:eastAsia="Times New Roman" w:hAnsi="Times New Roman"/>
          <w:sz w:val="19"/>
          <w:szCs w:val="19"/>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7150100" cy="146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40" w:top="116" w:right="359" w:bottom="1440" w:gutter="0" w:footer="0" w:header="0"/>
        </w:sectPr>
      </w:pPr>
    </w:p>
    <w:bookmarkStart w:id="235" w:name="page236"/>
    <w:bookmarkEnd w:id="235"/>
    <w:p>
      <w:pPr>
        <w:ind w:right="40" w:firstLine="1121"/>
        <w:spacing w:after="0" w:line="246" w:lineRule="auto"/>
        <w:tabs>
          <w:tab w:leader="none" w:pos="1816"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and Modifications</w:t>
      </w:r>
      <w:r>
        <w:rPr>
          <w:rFonts w:ascii="Times New Roman" w:cs="Times New Roman" w:eastAsia="Times New Roman" w:hAnsi="Times New Roman"/>
          <w:sz w:val="19"/>
          <w:szCs w:val="19"/>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74" w:lineRule="exact"/>
        <w:rPr>
          <w:rFonts w:ascii="Times New Roman" w:cs="Times New Roman" w:eastAsia="Times New Roman" w:hAnsi="Times New Roman"/>
          <w:sz w:val="19"/>
          <w:szCs w:val="19"/>
          <w:color w:val="auto"/>
        </w:rPr>
      </w:pPr>
    </w:p>
    <w:p>
      <w:pPr>
        <w:ind w:firstLine="1121"/>
        <w:spacing w:after="0" w:line="241" w:lineRule="auto"/>
        <w:tabs>
          <w:tab w:leader="none" w:pos="1805"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79" w:lineRule="exact"/>
        <w:rPr>
          <w:rFonts w:ascii="Times New Roman" w:cs="Times New Roman" w:eastAsia="Times New Roman" w:hAnsi="Times New Roman"/>
          <w:sz w:val="19"/>
          <w:szCs w:val="19"/>
          <w:color w:val="auto"/>
        </w:rPr>
      </w:pPr>
    </w:p>
    <w:p>
      <w:pPr>
        <w:ind w:right="20" w:firstLine="1121"/>
        <w:spacing w:after="0" w:line="259" w:lineRule="auto"/>
        <w:tabs>
          <w:tab w:leader="none" w:pos="1831"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are intended only for convenience in finding the subject matter and do not constitute part of the text of this Agreement and shall not be considered in the interpretation of this Agreement.</w:t>
      </w:r>
    </w:p>
    <w:p>
      <w:pPr>
        <w:spacing w:after="0" w:line="162" w:lineRule="exact"/>
        <w:rPr>
          <w:rFonts w:ascii="Times New Roman" w:cs="Times New Roman" w:eastAsia="Times New Roman" w:hAnsi="Times New Roman"/>
          <w:sz w:val="19"/>
          <w:szCs w:val="19"/>
          <w:color w:val="auto"/>
        </w:rPr>
      </w:pPr>
    </w:p>
    <w:p>
      <w:pPr>
        <w:ind w:right="60" w:firstLine="1121"/>
        <w:spacing w:after="0" w:line="259" w:lineRule="auto"/>
        <w:tabs>
          <w:tab w:leader="none" w:pos="1863"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Saving Clause</w:t>
      </w:r>
      <w:r>
        <w:rPr>
          <w:rFonts w:ascii="Times New Roman" w:cs="Times New Roman" w:eastAsia="Times New Roman" w:hAnsi="Times New Roman"/>
          <w:sz w:val="19"/>
          <w:szCs w:val="19"/>
          <w:color w:val="auto"/>
        </w:rPr>
        <w:t>. If any provision(s) of this Agreement shall be determined to be illegal or unenforceable, such determination shall in no manner affect the legality or enforceability of any other provision hereof.</w:t>
      </w:r>
    </w:p>
    <w:p>
      <w:pPr>
        <w:spacing w:after="0" w:line="162" w:lineRule="exact"/>
        <w:rPr>
          <w:rFonts w:ascii="Times New Roman" w:cs="Times New Roman" w:eastAsia="Times New Roman" w:hAnsi="Times New Roman"/>
          <w:sz w:val="19"/>
          <w:szCs w:val="19"/>
          <w:color w:val="auto"/>
        </w:rPr>
      </w:pPr>
    </w:p>
    <w:p>
      <w:pPr>
        <w:ind w:right="120" w:firstLine="1121"/>
        <w:spacing w:after="0" w:line="241" w:lineRule="auto"/>
        <w:tabs>
          <w:tab w:leader="none" w:pos="1863"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79" w:lineRule="exact"/>
        <w:rPr>
          <w:rFonts w:ascii="Times New Roman" w:cs="Times New Roman" w:eastAsia="Times New Roman" w:hAnsi="Times New Roman"/>
          <w:sz w:val="19"/>
          <w:szCs w:val="19"/>
          <w:color w:val="auto"/>
        </w:rPr>
      </w:pPr>
    </w:p>
    <w:p>
      <w:pPr>
        <w:ind w:right="160" w:firstLine="1121"/>
        <w:spacing w:after="0" w:line="245" w:lineRule="auto"/>
        <w:tabs>
          <w:tab w:leader="none" w:pos="1868"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 and Binding Effect</w:t>
      </w:r>
      <w:r>
        <w:rPr>
          <w:rFonts w:ascii="Times New Roman" w:cs="Times New Roman" w:eastAsia="Times New Roman" w:hAnsi="Times New Roman"/>
          <w:sz w:val="19"/>
          <w:szCs w:val="19"/>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76" w:lineRule="exact"/>
        <w:rPr>
          <w:rFonts w:ascii="Times New Roman" w:cs="Times New Roman" w:eastAsia="Times New Roman" w:hAnsi="Times New Roman"/>
          <w:sz w:val="19"/>
          <w:szCs w:val="19"/>
          <w:color w:val="auto"/>
        </w:rPr>
      </w:pPr>
    </w:p>
    <w:p>
      <w:pPr>
        <w:ind w:firstLine="1121"/>
        <w:spacing w:after="0" w:line="259" w:lineRule="auto"/>
        <w:tabs>
          <w:tab w:leader="none" w:pos="1868"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62" w:lineRule="exact"/>
        <w:rPr>
          <w:rFonts w:ascii="Times New Roman" w:cs="Times New Roman" w:eastAsia="Times New Roman" w:hAnsi="Times New Roman"/>
          <w:sz w:val="19"/>
          <w:szCs w:val="19"/>
          <w:color w:val="auto"/>
        </w:rPr>
      </w:pPr>
    </w:p>
    <w:p>
      <w:pPr>
        <w:ind w:right="80" w:firstLine="1121"/>
        <w:spacing w:after="0" w:line="245" w:lineRule="auto"/>
        <w:tabs>
          <w:tab w:leader="none" w:pos="1863"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constitutes the entire agreement between the parties with respect to this Award and supersedes all prior agreements and discussions between the parties concerning such subject matter, including but not limited to, any written or oral offer letter or consulting or service agreement between the parties that provides for the issuance of equity in the Company.</w:t>
      </w:r>
    </w:p>
    <w:p>
      <w:pPr>
        <w:spacing w:after="0" w:line="176"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19"/>
          <w:szCs w:val="19"/>
          <w:color w:val="auto"/>
        </w:rPr>
      </w:pPr>
    </w:p>
    <w:p>
      <w:pPr>
        <w:ind w:right="20" w:firstLine="1121"/>
        <w:spacing w:after="0" w:line="239" w:lineRule="auto"/>
        <w:tabs>
          <w:tab w:leader="none" w:pos="1899"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1 - 16, and judgment upon the award rendered by the arbitrators may be entered by any court having jurisdiction thereof. The place of arbitration shall be Boston, Massachusetts.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6" w:name="page237"/>
    <w:bookmarkEnd w:id="236"/>
    <w:p>
      <w:pPr>
        <w:ind w:right="40" w:firstLine="1121"/>
        <w:spacing w:after="0" w:line="235" w:lineRule="auto"/>
        <w:tabs>
          <w:tab w:leader="none" w:pos="1816"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86" w:lineRule="exact"/>
        <w:rPr>
          <w:rFonts w:ascii="Times New Roman" w:cs="Times New Roman" w:eastAsia="Times New Roman" w:hAnsi="Times New Roman"/>
          <w:sz w:val="19"/>
          <w:szCs w:val="19"/>
          <w:color w:val="auto"/>
        </w:rPr>
      </w:pPr>
    </w:p>
    <w:p>
      <w:pPr>
        <w:jc w:val="both"/>
        <w:ind w:right="160" w:firstLine="1121"/>
        <w:spacing w:after="0" w:line="241" w:lineRule="auto"/>
        <w:tabs>
          <w:tab w:leader="none" w:pos="1805"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9" w:lineRule="exact"/>
        <w:rPr>
          <w:rFonts w:ascii="Times New Roman" w:cs="Times New Roman" w:eastAsia="Times New Roman" w:hAnsi="Times New Roman"/>
          <w:sz w:val="19"/>
          <w:szCs w:val="19"/>
          <w:color w:val="auto"/>
        </w:rPr>
      </w:pPr>
    </w:p>
    <w:p>
      <w:pPr>
        <w:ind w:firstLine="1121"/>
        <w:spacing w:after="0" w:line="249" w:lineRule="auto"/>
        <w:tabs>
          <w:tab w:leader="none" w:pos="181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37" w:name="page238"/>
    <w:bookmarkEnd w:id="237"/>
    <w:p>
      <w:pPr>
        <w:ind w:firstLine="282"/>
        <w:spacing w:after="0" w:line="260" w:lineRule="auto"/>
        <w:rPr>
          <w:sz w:val="20"/>
          <w:szCs w:val="20"/>
          <w:color w:val="auto"/>
        </w:rPr>
      </w:pPr>
      <w:r>
        <w:rPr>
          <w:rFonts w:ascii="Times New Roman" w:cs="Times New Roman" w:eastAsia="Times New Roman" w:hAnsi="Times New Roman"/>
          <w:sz w:val="19"/>
          <w:szCs w:val="19"/>
          <w:color w:val="auto"/>
        </w:rPr>
        <w:t>The foregoing Restricted Stock Agreement is hereby accepted and the terms and conditions thereof are hereby agreed to by the undersigned as of the date of purchase of Shares above written.</w:t>
      </w:r>
    </w:p>
    <w:p>
      <w:pPr>
        <w:spacing w:after="0" w:line="1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20320</wp:posOffset>
            </wp:positionV>
            <wp:extent cx="3213735" cy="146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527685</wp:posOffset>
            </wp:positionV>
            <wp:extent cx="3571240" cy="146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393065</wp:posOffset>
            </wp:positionV>
            <wp:extent cx="3571240" cy="146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259080</wp:posOffset>
            </wp:positionV>
            <wp:extent cx="3571240" cy="146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OF THIS AGREEMENT, are hereby agreed to, by the undersigned as of the date first above written.</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259080</wp:posOffset>
            </wp:positionV>
            <wp:extent cx="3571240" cy="146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1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527685</wp:posOffset>
            </wp:positionV>
            <wp:extent cx="3571240" cy="146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393065</wp:posOffset>
            </wp:positionV>
            <wp:extent cx="3571240" cy="146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71240" cy="1460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259080</wp:posOffset>
            </wp:positionV>
            <wp:extent cx="3571240" cy="146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color w:val="auto"/>
        </w:rPr>
        <w:t>[SPOUSE’S CONSENT</w:t>
      </w:r>
      <w:r>
        <w:rPr>
          <w:rFonts w:ascii="Times New Roman" w:cs="Times New Roman" w:eastAsia="Times New Roman" w:hAnsi="Times New Roman"/>
          <w:sz w:val="26"/>
          <w:szCs w:val="26"/>
          <w:color w:val="auto"/>
          <w:vertAlign w:val="superscript"/>
        </w:rPr>
        <w:t>3</w:t>
      </w:r>
    </w:p>
    <w:p>
      <w:pPr>
        <w:spacing w:after="0"/>
        <w:rPr>
          <w:sz w:val="20"/>
          <w:szCs w:val="20"/>
          <w:color w:val="auto"/>
        </w:rPr>
      </w:pPr>
      <w:r>
        <w:rPr>
          <w:rFonts w:ascii="Times New Roman" w:cs="Times New Roman" w:eastAsia="Times New Roman" w:hAnsi="Times New Roman"/>
          <w:sz w:val="16"/>
          <w:szCs w:val="16"/>
          <w:color w:val="auto"/>
        </w:rPr>
        <w:t>I acknowledge that I have read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foregoing Restricted Stock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understand the contents thereof.</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2855595" cy="146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55595" cy="146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332"/>
        <w:spacing w:after="0" w:line="189" w:lineRule="auto"/>
        <w:tabs>
          <w:tab w:leader="none" w:pos="463" w:val="left"/>
        </w:tabs>
        <w:numPr>
          <w:ilvl w:val="0"/>
          <w:numId w:val="27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A spouse’s consent is required only if the Grantee’s state of residence is one of the following community property states: Arizona, California, Idaho, Louisiana, New Mexico, Nevada, Texas, Washington and Wisconsin.</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40"/>
          </w:cols>
          <w:pgMar w:left="320" w:top="30" w:right="4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PHANTOM STOCK APPRECIATION RIGHT AGREEMENT</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THIS PHANTOM STOCK APPRECIATION RIGHT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and effective as of 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202__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 and between Disc Medicine, Inc., a Delaware corporation (together with its subsidiaries,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w:t>
      </w:r>
    </w:p>
    <w:p>
      <w:pPr>
        <w:spacing w:after="0"/>
        <w:rPr>
          <w:sz w:val="20"/>
          <w:szCs w:val="20"/>
          <w:color w:val="auto"/>
        </w:rPr>
      </w:pPr>
      <w:r>
        <w:rPr>
          <w:rFonts w:ascii="Times New Roman" w:cs="Times New Roman" w:eastAsia="Times New Roman" w:hAnsi="Times New Roman"/>
          <w:sz w:val="19"/>
          <w:szCs w:val="19"/>
          <w:color w:val="auto"/>
        </w:rPr>
        <w:t>_______________ (the “</w:t>
      </w:r>
      <w:r>
        <w:rPr>
          <w:rFonts w:ascii="Times New Roman" w:cs="Times New Roman" w:eastAsia="Times New Roman" w:hAnsi="Times New Roman"/>
          <w:sz w:val="19"/>
          <w:szCs w:val="19"/>
          <w:b w:val="1"/>
          <w:bCs w:val="1"/>
          <w:color w:val="auto"/>
        </w:rPr>
        <w:t>Grantee</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R E C I T A L 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WHEREAS, Grantee is a service provider to the Company; and</w:t>
      </w:r>
    </w:p>
    <w:p>
      <w:pPr>
        <w:spacing w:after="0" w:line="204" w:lineRule="exact"/>
        <w:rPr>
          <w:sz w:val="20"/>
          <w:szCs w:val="20"/>
          <w:color w:val="auto"/>
        </w:rPr>
      </w:pPr>
    </w:p>
    <w:p>
      <w:pPr>
        <w:jc w:val="both"/>
        <w:ind w:right="440" w:firstLine="564"/>
        <w:spacing w:after="0" w:line="287" w:lineRule="auto"/>
        <w:rPr>
          <w:sz w:val="20"/>
          <w:szCs w:val="20"/>
          <w:color w:val="auto"/>
        </w:rPr>
      </w:pPr>
      <w:r>
        <w:rPr>
          <w:rFonts w:ascii="Times New Roman" w:cs="Times New Roman" w:eastAsia="Times New Roman" w:hAnsi="Times New Roman"/>
          <w:sz w:val="18"/>
          <w:szCs w:val="18"/>
          <w:color w:val="auto"/>
        </w:rPr>
        <w:t>WHEREAS, in consideration of Grantee’s service to the Company, the Company desires to provide Grantee with the opportunity to earn additional compensation in the form of a bonus tied to the value of the Common Stock in connection with a Sale Event (as defined in the Plan).</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NOW THEREFORE,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144145</wp:posOffset>
            </wp:positionV>
            <wp:extent cx="3571240" cy="146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146685</wp:posOffset>
            </wp:positionV>
            <wp:extent cx="3571240" cy="146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9"/>
          <w:szCs w:val="19"/>
          <w:b w:val="1"/>
          <w:bCs w:val="1"/>
          <w:color w:val="auto"/>
        </w:rPr>
        <w:t>Specific Definitions</w:t>
      </w:r>
      <w:r>
        <w:rPr>
          <w:rFonts w:ascii="Times New Roman" w:cs="Times New Roman" w:eastAsia="Times New Roman" w:hAnsi="Times New Roman"/>
          <w:sz w:val="19"/>
          <w:szCs w:val="19"/>
          <w:color w:val="auto"/>
        </w:rPr>
        <w:t>. As used in this Agreement:</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 xml:space="preserve">Common Stock </w:t>
      </w:r>
      <w:r>
        <w:rPr>
          <w:rFonts w:ascii="Times New Roman" w:cs="Times New Roman" w:eastAsia="Times New Roman" w:hAnsi="Times New Roman"/>
          <w:sz w:val="19"/>
          <w:szCs w:val="19"/>
          <w:color w:val="auto"/>
        </w:rPr>
        <w:t>shall mean the common stock of the Company.</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 xml:space="preserve">Parties </w:t>
      </w:r>
      <w:r>
        <w:rPr>
          <w:rFonts w:ascii="Times New Roman" w:cs="Times New Roman" w:eastAsia="Times New Roman" w:hAnsi="Times New Roman"/>
          <w:sz w:val="19"/>
          <w:szCs w:val="19"/>
          <w:color w:val="auto"/>
        </w:rPr>
        <w:t>shall mean the Company and the Grantee.</w:t>
      </w:r>
    </w:p>
    <w:p>
      <w:pPr>
        <w:spacing w:after="0" w:line="204" w:lineRule="exact"/>
        <w:rPr>
          <w:sz w:val="20"/>
          <w:szCs w:val="20"/>
          <w:color w:val="auto"/>
        </w:rPr>
      </w:pPr>
    </w:p>
    <w:p>
      <w:pPr>
        <w:jc w:val="both"/>
        <w:ind w:right="20" w:firstLine="564"/>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Plan </w:t>
      </w:r>
      <w:r>
        <w:rPr>
          <w:rFonts w:ascii="Times New Roman" w:cs="Times New Roman" w:eastAsia="Times New Roman" w:hAnsi="Times New Roman"/>
          <w:sz w:val="19"/>
          <w:szCs w:val="19"/>
          <w:color w:val="auto"/>
        </w:rPr>
        <w:t>shall mean the Disc Medicine, Inc. 2017 Equity Incentive Plan or any successor plan, the terms of which are incorporated herein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115570</wp:posOffset>
            </wp:positionV>
            <wp:extent cx="3571240" cy="146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ECONOMIC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146685</wp:posOffset>
            </wp:positionV>
            <wp:extent cx="3571240" cy="146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564"/>
        <w:spacing w:after="0" w:line="245"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b w:val="1"/>
          <w:bCs w:val="1"/>
          <w:color w:val="auto"/>
        </w:rPr>
        <w:t>Issuance of Economic Interest</w:t>
      </w:r>
      <w:r>
        <w:rPr>
          <w:rFonts w:ascii="Times New Roman" w:cs="Times New Roman" w:eastAsia="Times New Roman" w:hAnsi="Times New Roman"/>
          <w:sz w:val="19"/>
          <w:szCs w:val="19"/>
          <w:color w:val="auto"/>
        </w:rPr>
        <w:t>. Subject to the provisions of this Agreement the Company hereby agrees to pay to the Grantee the amount the Grantee would be entitled to receive upon completion of a Sale Event had the Grantee been issued an option to purchase ___________</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shares of Common Stock as of the Effective Date (and, for clarification purposes, net of the applicable $ exercise price per share that would have applied to such option (the “</w:t>
      </w:r>
      <w:r>
        <w:rPr>
          <w:rFonts w:ascii="Times New Roman" w:cs="Times New Roman" w:eastAsia="Times New Roman" w:hAnsi="Times New Roman"/>
          <w:sz w:val="19"/>
          <w:szCs w:val="19"/>
          <w:b w:val="1"/>
          <w:bCs w:val="1"/>
          <w:color w:val="auto"/>
        </w:rPr>
        <w:t>Phantom Exercise Price Per Share</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Phantom Common Stock</w:t>
      </w:r>
      <w:r>
        <w:rPr>
          <w:rFonts w:ascii="Times New Roman" w:cs="Times New Roman" w:eastAsia="Times New Roman" w:hAnsi="Times New Roman"/>
          <w:sz w:val="19"/>
          <w:szCs w:val="19"/>
          <w:color w:val="auto"/>
        </w:rPr>
        <w:t>”). The Parties expressly intend that Phantom Common Stock shall consist solely of an economic interest and shall not have any other rights of Common Stock under the Plan or otherwise. The Phantom Common Stock is subject to a time-based vesting condition (the “</w:t>
      </w:r>
      <w:r>
        <w:rPr>
          <w:rFonts w:ascii="Times New Roman" w:cs="Times New Roman" w:eastAsia="Times New Roman" w:hAnsi="Times New Roman"/>
          <w:sz w:val="19"/>
          <w:szCs w:val="19"/>
          <w:b w:val="1"/>
          <w:bCs w:val="1"/>
          <w:u w:val="single" w:color="auto"/>
          <w:color w:val="auto"/>
        </w:rPr>
        <w:t>Time Condition</w:t>
      </w:r>
      <w:r>
        <w:rPr>
          <w:rFonts w:ascii="Times New Roman" w:cs="Times New Roman" w:eastAsia="Times New Roman" w:hAnsi="Times New Roman"/>
          <w:sz w:val="19"/>
          <w:szCs w:val="19"/>
          <w:color w:val="auto"/>
        </w:rPr>
        <w:t>”) described in paragraph 2.2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0100" cy="146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40" w:name="page241"/>
    <w:bookmarkEnd w:id="240"/>
    <w:p>
      <w:pPr>
        <w:jc w:val="both"/>
        <w:ind w:firstLine="564"/>
        <w:spacing w:after="0" w:line="243"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b w:val="1"/>
          <w:bCs w:val="1"/>
          <w:color w:val="auto"/>
        </w:rPr>
        <w:t>Time Condition</w:t>
      </w:r>
      <w:r>
        <w:rPr>
          <w:rFonts w:ascii="Times New Roman" w:cs="Times New Roman" w:eastAsia="Times New Roman" w:hAnsi="Times New Roman"/>
          <w:sz w:val="19"/>
          <w:szCs w:val="19"/>
          <w:color w:val="auto"/>
        </w:rPr>
        <w:t>. The Time Condition shall be satisfied as to 25% of the shares of Phantom Common Stock awarded hereunder on the first anniversary of the Effective Date and as to the remainder of the shares of Phantom Common Stock in equal pro rata amounts on each monthly anniversary thereafter through the fourth anniversary of Effective Date, provided that the Grantee maintains continuously a Service Relationship (as defined in the Plan) by the Company on each such anniversary date.</w:t>
      </w:r>
    </w:p>
    <w:p>
      <w:pPr>
        <w:spacing w:after="0" w:line="173" w:lineRule="exact"/>
        <w:rPr>
          <w:sz w:val="20"/>
          <w:szCs w:val="20"/>
          <w:color w:val="auto"/>
        </w:rPr>
      </w:pPr>
    </w:p>
    <w:p>
      <w:pPr>
        <w:jc w:val="both"/>
        <w:ind w:firstLine="564"/>
        <w:spacing w:after="0" w:line="263"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b w:val="1"/>
          <w:bCs w:val="1"/>
          <w:color w:val="auto"/>
        </w:rPr>
        <w:t>Vesting Date.</w:t>
      </w:r>
      <w:r>
        <w:rPr>
          <w:rFonts w:ascii="Times New Roman" w:cs="Times New Roman" w:eastAsia="Times New Roman" w:hAnsi="Times New Roman"/>
          <w:sz w:val="19"/>
          <w:szCs w:val="19"/>
          <w:color w:val="auto"/>
        </w:rPr>
        <w:t xml:space="preserve"> To the extent the Phantom Common Stock has not satisfied the Time Condition as of the 10-year anniversary of this Agreement, such Phantom Common Stock shall expire on such date and be of no further force or effect.</w:t>
      </w:r>
    </w:p>
    <w:p>
      <w:pPr>
        <w:spacing w:after="0" w:line="15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b w:val="1"/>
          <w:bCs w:val="1"/>
          <w:color w:val="auto"/>
        </w:rPr>
        <w:t>Payments</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firstLine="1121"/>
        <w:spacing w:after="0" w:line="241" w:lineRule="auto"/>
        <w:tabs>
          <w:tab w:leader="none" w:pos="1850"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shall be entitled to receive one or more cash payments from the Company in respect of his or her vested shares of Phantom Common Stock in connection with or following a Sale Event. The cash payment per vested share of Phantom Common Stock shall be determined by the Company in its sole and absolute discretion, based upon the consideration received in connection with the Sale Event by the Common Stockholders, and, except as set forth in paragraph 2.4(b) shall be net of the Phantom Exercise Price Per Share.</w:t>
      </w:r>
    </w:p>
    <w:p>
      <w:pPr>
        <w:spacing w:after="0" w:line="179" w:lineRule="exact"/>
        <w:rPr>
          <w:rFonts w:ascii="Times New Roman" w:cs="Times New Roman" w:eastAsia="Times New Roman" w:hAnsi="Times New Roman"/>
          <w:sz w:val="19"/>
          <w:szCs w:val="19"/>
          <w:color w:val="auto"/>
        </w:rPr>
      </w:pPr>
    </w:p>
    <w:p>
      <w:pPr>
        <w:jc w:val="both"/>
        <w:ind w:firstLine="1121"/>
        <w:spacing w:after="0" w:line="236" w:lineRule="auto"/>
        <w:tabs>
          <w:tab w:leader="none" w:pos="1887"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shall be entitled to receive payments from the Company in respect of the Phantom Common Stock only to the extent that the Grantee has continuously maintained a Service Relationship with the Company from the Effective Date to the date of the Sale Event. In the event of a termination of Grantee’s Service Relationship with the Company for any reason other than a termination by the Company for cause (as determined by the Company in its sole and absolute discretion), the Grantee may pay the Phantom Exercise Price for any vested portion of Grantee’s Phantom Common Stock in cash to the Company within ninety (90) days of such termination and, in that event, Grantee shall be entitled to receive the payment contemplated by Section 2.1 for such vested Phantom Common Stock upon a Sale Event prior to the Expiration Date, notwithstanding the earlier termination of Grantee’s Service Relationship with the Company, and any such payments shall include and shall not be net of the Phantom Exercise Price Per Share.</w:t>
      </w:r>
    </w:p>
    <w:p>
      <w:pPr>
        <w:spacing w:after="0" w:line="179" w:lineRule="exact"/>
        <w:rPr>
          <w:sz w:val="20"/>
          <w:szCs w:val="20"/>
          <w:color w:val="auto"/>
        </w:rPr>
      </w:pPr>
    </w:p>
    <w:p>
      <w:pPr>
        <w:jc w:val="both"/>
        <w:ind w:firstLine="564"/>
        <w:spacing w:after="0" w:line="242"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b w:val="1"/>
          <w:bCs w:val="1"/>
          <w:color w:val="auto"/>
        </w:rPr>
        <w:t>Tax Payments</w:t>
      </w:r>
      <w:r>
        <w:rPr>
          <w:rFonts w:ascii="Times New Roman" w:cs="Times New Roman" w:eastAsia="Times New Roman" w:hAnsi="Times New Roman"/>
          <w:sz w:val="19"/>
          <w:szCs w:val="19"/>
          <w:color w:val="auto"/>
        </w:rPr>
        <w:t>. Grantee acknowledges and agrees that (a) payments made to the Grantee pursuant to the Grantee’s Service Relationship with the Company shall be subject to withholding of applicable taxes, (b) the Grantee shall be obligated to report as income all compensation received by the Grantee pursuant to this Agreement and (c) the Grantee shall pay all applicable taxes due on such compensation in the case of under-withholding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128905</wp:posOffset>
            </wp:positionV>
            <wp:extent cx="3571240" cy="146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3</w:t>
      </w: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RELATIONSHIP BETWEEN</w:t>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GRANTEE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131445</wp:posOffset>
            </wp:positionV>
            <wp:extent cx="3571240" cy="146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5" w:lineRule="exact"/>
        <w:rPr>
          <w:sz w:val="20"/>
          <w:szCs w:val="20"/>
          <w:color w:val="auto"/>
        </w:rPr>
      </w:pPr>
    </w:p>
    <w:p>
      <w:pPr>
        <w:jc w:val="both"/>
        <w:ind w:firstLine="564"/>
        <w:spacing w:after="0"/>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b w:val="1"/>
          <w:bCs w:val="1"/>
          <w:color w:val="auto"/>
        </w:rPr>
        <w:t>Not a Stockholder; No Right of Service Relationship</w:t>
      </w:r>
      <w:r>
        <w:rPr>
          <w:rFonts w:ascii="Times New Roman" w:cs="Times New Roman" w:eastAsia="Times New Roman" w:hAnsi="Times New Roman"/>
          <w:sz w:val="19"/>
          <w:szCs w:val="19"/>
          <w:color w:val="auto"/>
        </w:rPr>
        <w:t>. The Grantee shall not, by virtue of entering into this Agreement and receiving Phantom Common Stock, be deemed a stockholder of the Company. The Grantee hereby acknowledges and agrees that he or she is not a stockholder of the Company and that the Company is not under any obligation to make the Grantee a stockholder of the Company in the future. Nothing contained in this Agreement or in the grant of Phantom Common Stock shall limit, restrict or modify the Company’s right to terminate the Service Relationship of the Grantee.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41" w:name="page242"/>
    <w:bookmarkEnd w:id="241"/>
    <w:p>
      <w:pPr>
        <w:jc w:val="both"/>
        <w:ind w:firstLine="564"/>
        <w:spacing w:after="0"/>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b w:val="1"/>
          <w:bCs w:val="1"/>
          <w:color w:val="auto"/>
        </w:rPr>
        <w:t>No Management Rights</w:t>
      </w:r>
      <w:r>
        <w:rPr>
          <w:rFonts w:ascii="Times New Roman" w:cs="Times New Roman" w:eastAsia="Times New Roman" w:hAnsi="Times New Roman"/>
          <w:sz w:val="19"/>
          <w:szCs w:val="19"/>
          <w:color w:val="auto"/>
        </w:rPr>
        <w:t>. The Grantee shall not, by virtue of entering into this Agreement and receiving a Phantom Common Stock, hold any non-economic rights in respect of the Company. Without limitation on the preceding sentence, the Grantee shall have no right to participate in the management, control or operation of the Company or its business, act for the Company, bind the Company under agreements or arrangements with third parties, or vote on Company matters. The Grantee shall not have any right to receive or review the books, records, reports or other information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129540</wp:posOffset>
            </wp:positionV>
            <wp:extent cx="3571240" cy="146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146685</wp:posOffset>
            </wp:positionV>
            <wp:extent cx="3571240" cy="146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571240" cy="146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564"/>
        <w:spacing w:after="0" w:line="248"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19"/>
          <w:szCs w:val="19"/>
          <w:color w:val="auto"/>
        </w:rPr>
        <w:t>. This Agreement contains the entire understanding among the Parties, and supersedes any prior written or oral agreement between them, respecting the subject matter hereof. There are no representations, agreements, arrangements or understandings, oral or written, among the Parties relating to the subject matter hereof which are not fully expressed in this Agreement.</w:t>
      </w:r>
    </w:p>
    <w:p>
      <w:pPr>
        <w:spacing w:after="0" w:line="168"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color w:val="auto"/>
        </w:rPr>
        <w:t>4.2</w:t>
      </w:r>
      <w:r>
        <w:rPr>
          <w:sz w:val="20"/>
          <w:szCs w:val="20"/>
          <w:color w:val="auto"/>
        </w:rPr>
        <w:tab/>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This Agreement may be amended, in whole or in part, only through a written amendment executed by both Parties.</w:t>
      </w:r>
    </w:p>
    <w:p>
      <w:pPr>
        <w:spacing w:after="0" w:line="204" w:lineRule="exact"/>
        <w:rPr>
          <w:sz w:val="20"/>
          <w:szCs w:val="20"/>
          <w:color w:val="auto"/>
        </w:rPr>
      </w:pPr>
    </w:p>
    <w:p>
      <w:pPr>
        <w:jc w:val="both"/>
        <w:ind w:firstLine="564"/>
        <w:spacing w:after="0" w:line="248"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Agreement may be executed in any number of counterparts and, when so executed, all of such counterparts shall constitute a single instrument binding upon both Parties notwithstanding the fact that both Parties are not signatory to the original or to the same counterpart.</w:t>
      </w:r>
    </w:p>
    <w:p>
      <w:pPr>
        <w:spacing w:after="0" w:line="168"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8"/>
          <w:szCs w:val="18"/>
          <w:b w:val="1"/>
          <w:bCs w:val="1"/>
          <w:color w:val="auto"/>
        </w:rPr>
        <w:t>No Third Party Beneficiaries</w:t>
      </w:r>
      <w:r>
        <w:rPr>
          <w:rFonts w:ascii="Times New Roman" w:cs="Times New Roman" w:eastAsia="Times New Roman" w:hAnsi="Times New Roman"/>
          <w:sz w:val="18"/>
          <w:szCs w:val="18"/>
          <w:color w:val="auto"/>
        </w:rPr>
        <w:t>. The provisions of this Agreement are not intended to be for the benefit of or enforceable by any third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w:t>
      </w:r>
    </w:p>
    <w:p>
      <w:pPr>
        <w:spacing w:after="0" w:line="180" w:lineRule="exact"/>
        <w:rPr>
          <w:sz w:val="20"/>
          <w:szCs w:val="20"/>
          <w:color w:val="auto"/>
        </w:rPr>
      </w:pPr>
    </w:p>
    <w:p>
      <w:pPr>
        <w:jc w:val="both"/>
        <w:ind w:firstLine="564"/>
        <w:spacing w:after="0" w:line="235"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b w:val="1"/>
          <w:bCs w:val="1"/>
          <w:color w:val="auto"/>
        </w:rPr>
        <w:t>Notices, Consents, Elections, Etc</w:t>
      </w:r>
      <w:r>
        <w:rPr>
          <w:rFonts w:ascii="Times New Roman" w:cs="Times New Roman" w:eastAsia="Times New Roman" w:hAnsi="Times New Roman"/>
          <w:sz w:val="19"/>
          <w:szCs w:val="19"/>
          <w:color w:val="auto"/>
        </w:rPr>
        <w:t xml:space="preserve">. All notices, consents, agreements, elections, amendments and approvals provided for or permitted by this Agreement shall be in writing. Except as otherwise specifically provided in this Agreement, notice to a Party shall be deemed duly given upon the earliest to occur of the following: (i) personal delivery to such Party, to the address set forth on the signature pages hereto for such Party, or to any other address which such Party has provided to the other Party for purposes of this Section 4.5; (ii) the Close of Business on the third day after being deposited in the United States mail, registered or certified, postage prepaid and addressed to such Party at the address set forth on the signature pages for such Party, or at any other address which such Party has provided to the other Party for purposes of this Section 4.5; (iii) the Close of Business on the first business day after being deposited in the United States with a nationally recognized overnight delivery service, with delivery charges prepaid, addressed as provided in the preceding clause, and marked for next business day delivery; or (iv) actual receipt by such Party via any other means (including public or private mail, electronic mail, facsimile, telex or telegram);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notice sent to a Party via electronic mail shall be deemed duly given at the earlier of: (x) the time sent (unless such Party previously elected via notice to the sender to render this clause (x) inapplicable to such Party); and (y) the time when actually received and opened by such Party.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42" w:name="page243"/>
    <w:bookmarkEnd w:id="242"/>
    <w:p>
      <w:pPr>
        <w:jc w:val="both"/>
        <w:ind w:right="20" w:firstLine="564"/>
        <w:spacing w:after="0" w:line="248"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b w:val="1"/>
          <w:bCs w:val="1"/>
          <w:color w:val="auto"/>
        </w:rPr>
        <w:t>Waiver</w:t>
      </w:r>
      <w:r>
        <w:rPr>
          <w:rFonts w:ascii="Times New Roman" w:cs="Times New Roman" w:eastAsia="Times New Roman" w:hAnsi="Times New Roman"/>
          <w:sz w:val="19"/>
          <w:szCs w:val="19"/>
          <w:color w:val="auto"/>
        </w:rPr>
        <w:t>. Except as specifically provided in this Agreement, no failure or delay by any Party in exercising any right, power or privilege under this Agreement shall operate as a waiver thereof. Any actual waiver shall be contained in a writing signed by the Party against whom enforcement of such waiver is sought.</w:t>
      </w:r>
    </w:p>
    <w:p>
      <w:pPr>
        <w:spacing w:after="0" w:line="169" w:lineRule="exact"/>
        <w:rPr>
          <w:sz w:val="20"/>
          <w:szCs w:val="20"/>
          <w:color w:val="auto"/>
        </w:rPr>
      </w:pPr>
    </w:p>
    <w:p>
      <w:pPr>
        <w:jc w:val="both"/>
        <w:ind w:firstLine="564"/>
        <w:spacing w:after="0" w:line="248"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In the event that any provision of this Agreement is determined to be invalid or unenforceable, such provision shall be deemed severed from the remainder of this Agreement and replaced with a valid and enforceable provision as similar in intent as reasonably possible to the provision so severed, and shall not cause the invalidity or unenforceability of the remainder of this Agreement.</w:t>
      </w:r>
    </w:p>
    <w:p>
      <w:pPr>
        <w:spacing w:after="0" w:line="168" w:lineRule="exact"/>
        <w:rPr>
          <w:sz w:val="20"/>
          <w:szCs w:val="20"/>
          <w:color w:val="auto"/>
        </w:rPr>
      </w:pPr>
    </w:p>
    <w:p>
      <w:pPr>
        <w:jc w:val="both"/>
        <w:ind w:firstLine="564"/>
        <w:spacing w:after="0" w:line="235"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b w:val="1"/>
          <w:bCs w:val="1"/>
          <w:color w:val="auto"/>
        </w:rPr>
        <w:t>Code Section 409A.</w:t>
      </w:r>
      <w:r>
        <w:rPr>
          <w:rFonts w:ascii="Times New Roman" w:cs="Times New Roman" w:eastAsia="Times New Roman" w:hAnsi="Times New Roman"/>
          <w:sz w:val="19"/>
          <w:szCs w:val="19"/>
          <w:color w:val="auto"/>
        </w:rPr>
        <w:t xml:space="preserve"> It is the intent that the Phantom Common Stock shall be either exempt from or compliant with the requirements of Section 409A of the Internal Revenue Code of 1986, as amended (the “Code”), and any successor Code, and related rules, regulations and interpretations, and the Phantom Common Stock shall be interpreted, construed and operated to reflect this intent. Solely for purposes of Section 409A of the Code, each payment on (or following) a Vesting Date shall be considered a separate payment. The Company reserves the right, to the extent the Company deems necessary or advisable in its sole discretion, to unilaterally amend or modify this Phantom Common Stock Agreement as may be necessary to ensure that the Phantom Common Stock qualifies for the exemption from, or complies with the requirements of, Section 409A or to mitigate any additional tax, interest and/or penalties or other adverse tax consequences that may apply under Section 409A if compliance is not practical. Nothing in this Phantom Common Stock Agreement shall provide a basis for any person to take any action against the Company or any parent or subsidiary based on the tax treatment of any amounts paid under the Phantom Common Stock, and neither the Company nor any parent or subsidiary will have any liability under any circumstances to Grantee or any other party regarding the tax treatment of the Phantom Common Stock or for any action taken by the Committee with respect thereto.</w:t>
      </w:r>
    </w:p>
    <w:p>
      <w:pPr>
        <w:spacing w:after="0" w:line="183" w:lineRule="exact"/>
        <w:rPr>
          <w:sz w:val="20"/>
          <w:szCs w:val="20"/>
          <w:color w:val="auto"/>
        </w:rPr>
      </w:pPr>
    </w:p>
    <w:p>
      <w:pPr>
        <w:jc w:val="both"/>
        <w:ind w:firstLine="564"/>
        <w:spacing w:after="0" w:line="242"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The interpretation and enforceability of this Agreement and the rights and liabilities of the Parties as such shall be governed by the laws of the State of Delaware, without regard to conflict of law principles, and as such laws are applied in connection with agreements entered into and wholly performed upon in Delaware by residents of Delaware. To the maximum extent permitted by applicable law, the provisions of this Agreement shall supersede any contrary provisions of applicable law.</w:t>
      </w:r>
    </w:p>
    <w:p>
      <w:pPr>
        <w:spacing w:after="0" w:line="176" w:lineRule="exact"/>
        <w:rPr>
          <w:sz w:val="20"/>
          <w:szCs w:val="20"/>
          <w:color w:val="auto"/>
        </w:rPr>
      </w:pPr>
    </w:p>
    <w:p>
      <w:pPr>
        <w:jc w:val="both"/>
        <w:ind w:firstLine="564"/>
        <w:spacing w:after="0" w:line="26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b w:val="1"/>
          <w:bCs w:val="1"/>
          <w:color w:val="auto"/>
        </w:rPr>
        <w:t>Restriction on Transfers and Assignments</w:t>
      </w:r>
      <w:r>
        <w:rPr>
          <w:rFonts w:ascii="Times New Roman" w:cs="Times New Roman" w:eastAsia="Times New Roman" w:hAnsi="Times New Roman"/>
          <w:sz w:val="19"/>
          <w:szCs w:val="19"/>
          <w:color w:val="auto"/>
        </w:rPr>
        <w:t>. No Party may pledge, assign, or in any other manner transfer this Agreement or any right or interest herein or arising hereunder, and any attempted pledge, assignment, or other transfer shall be null and void.</w:t>
      </w:r>
    </w:p>
    <w:p>
      <w:pPr>
        <w:spacing w:after="0" w:line="15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[Remainder of this page intentionally left blank; signature page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43" w:name="page244"/>
    <w:bookmarkEnd w:id="243"/>
    <w:p>
      <w:pPr>
        <w:ind w:firstLine="564"/>
        <w:spacing w:after="0" w:line="260" w:lineRule="auto"/>
        <w:rPr>
          <w:sz w:val="20"/>
          <w:szCs w:val="20"/>
          <w:color w:val="auto"/>
        </w:rPr>
      </w:pPr>
      <w:r>
        <w:rPr>
          <w:rFonts w:ascii="Times New Roman" w:cs="Times New Roman" w:eastAsia="Times New Roman" w:hAnsi="Times New Roman"/>
          <w:sz w:val="19"/>
          <w:szCs w:val="19"/>
          <w:color w:val="auto"/>
        </w:rPr>
        <w:t>IN WITNESS WHEREOF, the Parties have executed this PHANTOM STOCK APPRECIATION RIGHT AGREEMENT as of the date first above written.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-113030</wp:posOffset>
            </wp:positionV>
            <wp:extent cx="3220720" cy="146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20720" cy="146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3578860" cy="146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78860" cy="1460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340995</wp:posOffset>
            </wp:positionV>
            <wp:extent cx="7150100" cy="146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10.10</w:t>
      </w: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December 29, 2022</w:t>
      </w:r>
    </w:p>
    <w:p>
      <w:pPr>
        <w:spacing w:after="0" w:line="2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Brian Piekos</w:t>
      </w:r>
    </w:p>
    <w:p>
      <w:pPr>
        <w:spacing w:after="0" w:line="200" w:lineRule="exact"/>
        <w:rPr>
          <w:sz w:val="20"/>
          <w:szCs w:val="20"/>
          <w:color w:val="auto"/>
        </w:rPr>
      </w:pPr>
    </w:p>
    <w:p>
      <w:pPr>
        <w:ind w:left="6"/>
        <w:spacing w:after="0"/>
        <w:tabs>
          <w:tab w:leader="none" w:pos="726" w:val="left"/>
        </w:tabs>
        <w:rPr>
          <w:sz w:val="20"/>
          <w:szCs w:val="20"/>
          <w:color w:val="auto"/>
        </w:rPr>
      </w:pPr>
      <w:r>
        <w:rPr>
          <w:rFonts w:ascii="Times New Roman" w:cs="Times New Roman" w:eastAsia="Times New Roman" w:hAnsi="Times New Roman"/>
          <w:sz w:val="19"/>
          <w:szCs w:val="19"/>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Notice of Termination, Separation Agreement and Release</w:t>
      </w: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Dear Brian:</w:t>
      </w:r>
    </w:p>
    <w:p>
      <w:pPr>
        <w:spacing w:after="0" w:line="199" w:lineRule="exact"/>
        <w:rPr>
          <w:sz w:val="20"/>
          <w:szCs w:val="20"/>
          <w:color w:val="auto"/>
        </w:rPr>
      </w:pPr>
    </w:p>
    <w:p>
      <w:pPr>
        <w:jc w:val="both"/>
        <w:ind w:left="6" w:firstLine="564"/>
        <w:spacing w:after="0" w:line="221" w:lineRule="auto"/>
        <w:rPr>
          <w:sz w:val="20"/>
          <w:szCs w:val="20"/>
          <w:color w:val="auto"/>
        </w:rPr>
      </w:pPr>
      <w:r>
        <w:rPr>
          <w:rFonts w:ascii="Times New Roman" w:cs="Times New Roman" w:eastAsia="Times New Roman" w:hAnsi="Times New Roman"/>
          <w:sz w:val="19"/>
          <w:szCs w:val="19"/>
          <w:color w:val="auto"/>
        </w:rPr>
        <w:t>As discussed, this letter confirms the terms of your separation from employment at Gemini Therapeutics,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9"/>
          <w:szCs w:val="19"/>
          <w:color w:val="auto"/>
        </w:rPr>
        <w:t xml:space="preserve"> As we agreed, your employment will end on December 29, 2022 (the “</w:t>
      </w: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which follows the occurrence of a Change in Control (as defined in the Employment Agreement (as defined below)). Consistent with the terms of your Employment Agreement with the Company, dated February 4, 2021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you shall be deemed to have resigned from all officer positions that you hold with the Company upon the Separation Date. Furthermore, in accordance with your Employment Agreement, the Company will provide you with certain Severance Benefits (as defined below) following the end of your employment if you sign and return this letter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by February 3, 2023 (but no earlier than the Separation Date), do not revoke the Agreement (as described below), and comply with the terms and conditions of the Agreement. As required under Section 3(f) of the Employment Agreement, this Agreement serves as a Notice of Termination pursuant to Section 3(d) of the Employment Agreement.</w:t>
      </w:r>
    </w:p>
    <w:p>
      <w:pPr>
        <w:spacing w:after="0" w:line="181" w:lineRule="exact"/>
        <w:rPr>
          <w:sz w:val="20"/>
          <w:szCs w:val="20"/>
          <w:color w:val="auto"/>
        </w:rPr>
      </w:pPr>
    </w:p>
    <w:p>
      <w:pPr>
        <w:jc w:val="both"/>
        <w:ind w:left="6" w:firstLine="564"/>
        <w:spacing w:after="0" w:line="259" w:lineRule="auto"/>
        <w:rPr>
          <w:sz w:val="20"/>
          <w:szCs w:val="20"/>
          <w:color w:val="auto"/>
        </w:rPr>
      </w:pPr>
      <w:r>
        <w:rPr>
          <w:rFonts w:ascii="Times New Roman" w:cs="Times New Roman" w:eastAsia="Times New Roman" w:hAnsi="Times New Roman"/>
          <w:sz w:val="19"/>
          <w:szCs w:val="19"/>
          <w:color w:val="auto"/>
        </w:rPr>
        <w:t>In the interest of clarity, the following terms and conditions apply in connection with the end of your employment and regardless of whether you enter into the Agreement:</w:t>
      </w:r>
    </w:p>
    <w:p>
      <w:pPr>
        <w:spacing w:after="0" w:line="169" w:lineRule="exact"/>
        <w:rPr>
          <w:sz w:val="20"/>
          <w:szCs w:val="20"/>
          <w:color w:val="auto"/>
        </w:rPr>
      </w:pPr>
    </w:p>
    <w:p>
      <w:pPr>
        <w:ind w:left="566" w:hanging="284"/>
        <w:spacing w:after="0"/>
        <w:tabs>
          <w:tab w:leader="none" w:pos="566"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your salary and any accrued but unused vacation days to which you are entitled through the Separation Date.</w:t>
      </w:r>
    </w:p>
    <w:p>
      <w:pPr>
        <w:spacing w:after="0" w:line="215" w:lineRule="exact"/>
        <w:rPr>
          <w:rFonts w:ascii="Times New Roman" w:cs="Times New Roman" w:eastAsia="Times New Roman" w:hAnsi="Times New Roman"/>
          <w:sz w:val="16"/>
          <w:szCs w:val="16"/>
          <w:color w:val="auto"/>
        </w:rPr>
      </w:pPr>
    </w:p>
    <w:p>
      <w:pPr>
        <w:ind w:left="566" w:hanging="284"/>
        <w:spacing w:after="0" w:line="270" w:lineRule="auto"/>
        <w:tabs>
          <w:tab w:leader="none" w:pos="566"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be able to continue group healthcare insurance coverage after the Separation Date under the law known as “COBRA,” subject to eligibility requirements. Any COBRA continuation will be at your own cost, except as otherwise set forth herein if this Agreement becomes effective.</w:t>
      </w:r>
    </w:p>
    <w:p>
      <w:pPr>
        <w:spacing w:after="0" w:line="17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eligibility to participate in any other employee benefit plans and programs of the Company will cease on or after the Separation Date in accordance with applicable benefit plan or program terms and practices.</w:t>
      </w:r>
    </w:p>
    <w:p>
      <w:pPr>
        <w:spacing w:after="0" w:line="173" w:lineRule="exact"/>
        <w:rPr>
          <w:rFonts w:ascii="Times New Roman" w:cs="Times New Roman" w:eastAsia="Times New Roman" w:hAnsi="Times New Roman"/>
          <w:sz w:val="16"/>
          <w:szCs w:val="16"/>
          <w:color w:val="auto"/>
        </w:rPr>
      </w:pPr>
    </w:p>
    <w:p>
      <w:pPr>
        <w:ind w:left="566" w:hanging="284"/>
        <w:spacing w:after="0" w:line="270" w:lineRule="auto"/>
        <w:tabs>
          <w:tab w:leader="none" w:pos="566"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reimburse you for any outstanding, reasonable business expenses you have incurred on the Company’s behalf through the Separation Date in accordance with the Company’s expense reimbursement policy, after the Company’s timely receipt of appropriate documentation pursuant to such policy.</w:t>
      </w:r>
    </w:p>
    <w:p>
      <w:pPr>
        <w:spacing w:after="0" w:line="173" w:lineRule="exact"/>
        <w:rPr>
          <w:rFonts w:ascii="Times New Roman" w:cs="Times New Roman" w:eastAsia="Times New Roman" w:hAnsi="Times New Roman"/>
          <w:sz w:val="16"/>
          <w:szCs w:val="16"/>
          <w:color w:val="auto"/>
        </w:rPr>
      </w:pPr>
    </w:p>
    <w:p>
      <w:pPr>
        <w:jc w:val="both"/>
        <w:ind w:left="566" w:hanging="284"/>
        <w:spacing w:after="0" w:line="257" w:lineRule="auto"/>
        <w:tabs>
          <w:tab w:leader="none" w:pos="566"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cease vesting in all of your stock options and other stock-based awards subject to vesting (the “</w:t>
      </w:r>
      <w:r>
        <w:rPr>
          <w:rFonts w:ascii="Times New Roman" w:cs="Times New Roman" w:eastAsia="Times New Roman" w:hAnsi="Times New Roman"/>
          <w:sz w:val="16"/>
          <w:szCs w:val="16"/>
          <w:u w:val="single" w:color="auto"/>
          <w:color w:val="auto"/>
        </w:rPr>
        <w:t>Equity Awards</w:t>
      </w:r>
      <w:r>
        <w:rPr>
          <w:rFonts w:ascii="Times New Roman" w:cs="Times New Roman" w:eastAsia="Times New Roman" w:hAnsi="Times New Roman"/>
          <w:sz w:val="16"/>
          <w:szCs w:val="16"/>
          <w:color w:val="auto"/>
        </w:rPr>
        <w:t>”) as of your Separation Date in accordance with the terms of the Equity Documents (as defined below), and you may exercise any vested portion of your options in accordance with the time limits and subject to the terms of the applicable Equity Award agreement and equity plan (the “</w:t>
      </w:r>
      <w:r>
        <w:rPr>
          <w:rFonts w:ascii="Times New Roman" w:cs="Times New Roman" w:eastAsia="Times New Roman" w:hAnsi="Times New Roman"/>
          <w:sz w:val="16"/>
          <w:szCs w:val="16"/>
          <w:u w:val="single" w:color="auto"/>
          <w:color w:val="auto"/>
        </w:rPr>
        <w:t>Equity Documents</w:t>
      </w:r>
      <w:r>
        <w:rPr>
          <w:rFonts w:ascii="Times New Roman" w:cs="Times New Roman" w:eastAsia="Times New Roman" w:hAnsi="Times New Roman"/>
          <w:sz w:val="16"/>
          <w:szCs w:val="16"/>
          <w:color w:val="auto"/>
        </w:rPr>
        <w:t>”) unless otherwise set forth herein if this Agreement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1431290" cy="146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369" w:lineRule="exact"/>
        <w:rPr>
          <w:sz w:val="20"/>
          <w:szCs w:val="20"/>
          <w:color w:val="auto"/>
        </w:rPr>
      </w:pPr>
    </w:p>
    <w:p>
      <w:pPr>
        <w:ind w:left="6" w:right="160" w:hanging="6"/>
        <w:spacing w:after="0" w:line="208" w:lineRule="auto"/>
        <w:tabs>
          <w:tab w:leader="none" w:pos="131" w:val="left"/>
        </w:tabs>
        <w:numPr>
          <w:ilvl w:val="0"/>
          <w:numId w:val="277"/>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9"/>
          <w:szCs w:val="19"/>
          <w:color w:val="auto"/>
        </w:rPr>
        <w:t xml:space="preserve">Except for the obligations set forth through the end of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which shall be the sole obligation of Gemini Therapeutics, whenever the term “the Company” is used in this Agreement, it shall be deemed to include Gemini Therapeutics, Inc., Gemini Therapeutics Sub, Inc., and any other related companies (including, without limitation, any divisions, affiliates, parents and subsidiaries of any of Gemini Therapeutics), and its and their respective officers, directors, employees, agents, successors and assigns.</w:t>
      </w: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3" w:right="319" w:bottom="1440" w:gutter="0" w:footer="0" w:header="0"/>
        </w:sectPr>
      </w:pPr>
    </w:p>
    <w:bookmarkStart w:id="245" w:name="page246"/>
    <w:bookmarkEnd w:id="245"/>
    <w:p>
      <w:pPr>
        <w:ind w:left="566" w:right="20" w:hanging="284"/>
        <w:spacing w:after="0" w:line="270" w:lineRule="auto"/>
        <w:tabs>
          <w:tab w:leader="none" w:pos="566"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Section 15 of the Employment Agreement, your obligations set forth in Sections 8 and 9 in the Employment Agreement will continue after the Separation Date, except as otherwise set forth herein if this Agreement becomes effective.</w:t>
      </w:r>
    </w:p>
    <w:p>
      <w:pPr>
        <w:spacing w:after="0" w:line="17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Section 30 of the Employment Agreement, your obligations with respect to confidentiality and assignment of inventions, as set forth in the agreement you signed when your employment began relating to such matters (the “</w:t>
      </w:r>
      <w:r>
        <w:rPr>
          <w:rFonts w:ascii="Times New Roman" w:cs="Times New Roman" w:eastAsia="Times New Roman" w:hAnsi="Times New Roman"/>
          <w:sz w:val="16"/>
          <w:szCs w:val="16"/>
          <w:u w:val="single" w:color="auto"/>
          <w:color w:val="auto"/>
        </w:rPr>
        <w:t>Original Confidentiality Agreement</w:t>
      </w:r>
      <w:r>
        <w:rPr>
          <w:rFonts w:ascii="Times New Roman" w:cs="Times New Roman" w:eastAsia="Times New Roman" w:hAnsi="Times New Roman"/>
          <w:sz w:val="16"/>
          <w:szCs w:val="16"/>
          <w:color w:val="auto"/>
        </w:rPr>
        <w:t>”), will continue after the Separation Date.</w:t>
      </w:r>
    </w:p>
    <w:p>
      <w:pPr>
        <w:spacing w:after="0" w:line="167" w:lineRule="exact"/>
        <w:rPr>
          <w:sz w:val="20"/>
          <w:szCs w:val="20"/>
          <w:color w:val="auto"/>
        </w:rPr>
      </w:pPr>
    </w:p>
    <w:p>
      <w:pPr>
        <w:ind w:left="6" w:firstLine="564"/>
        <w:spacing w:after="0" w:line="259" w:lineRule="auto"/>
        <w:rPr>
          <w:sz w:val="20"/>
          <w:szCs w:val="20"/>
          <w:color w:val="auto"/>
        </w:rPr>
      </w:pPr>
      <w:r>
        <w:rPr>
          <w:rFonts w:ascii="Times New Roman" w:cs="Times New Roman" w:eastAsia="Times New Roman" w:hAnsi="Times New Roman"/>
          <w:sz w:val="19"/>
          <w:szCs w:val="19"/>
          <w:color w:val="auto"/>
        </w:rPr>
        <w:t xml:space="preserve">In addition to the above-described terms, you will be eligible to receive the Severance Benefits described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2, provided you timely enter into, do not revoke, and comply with this Agreement.</w:t>
      </w:r>
    </w:p>
    <w:p>
      <w:pPr>
        <w:spacing w:after="0" w:line="162" w:lineRule="exact"/>
        <w:rPr>
          <w:sz w:val="20"/>
          <w:szCs w:val="20"/>
          <w:color w:val="auto"/>
        </w:rPr>
      </w:pPr>
    </w:p>
    <w:p>
      <w:pPr>
        <w:ind w:left="6" w:right="20" w:firstLine="564"/>
        <w:spacing w:after="0" w:line="259" w:lineRule="auto"/>
        <w:rPr>
          <w:sz w:val="20"/>
          <w:szCs w:val="20"/>
          <w:color w:val="auto"/>
        </w:rPr>
      </w:pPr>
      <w:r>
        <w:rPr>
          <w:rFonts w:ascii="Times New Roman" w:cs="Times New Roman" w:eastAsia="Times New Roman" w:hAnsi="Times New Roman"/>
          <w:sz w:val="19"/>
          <w:szCs w:val="19"/>
          <w:color w:val="auto"/>
        </w:rPr>
        <w:t>The remainder of this letter proposes the Agreement between you and the Company. With those understandings, you and the Company agree as follows:</w:t>
      </w:r>
    </w:p>
    <w:p>
      <w:pPr>
        <w:spacing w:after="0" w:line="158" w:lineRule="exact"/>
        <w:rPr>
          <w:sz w:val="20"/>
          <w:szCs w:val="20"/>
          <w:color w:val="auto"/>
        </w:rPr>
      </w:pPr>
    </w:p>
    <w:p>
      <w:pPr>
        <w:jc w:val="both"/>
        <w:ind w:left="6" w:firstLine="558"/>
        <w:spacing w:after="0" w:line="248" w:lineRule="auto"/>
        <w:tabs>
          <w:tab w:leader="none" w:pos="1239" w:val="left"/>
        </w:tabs>
        <w:numPr>
          <w:ilvl w:val="1"/>
          <w:numId w:val="2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Conditions. </w:t>
      </w:r>
      <w:r>
        <w:rPr>
          <w:rFonts w:ascii="Times New Roman" w:cs="Times New Roman" w:eastAsia="Times New Roman" w:hAnsi="Times New Roman"/>
          <w:sz w:val="19"/>
          <w:szCs w:val="19"/>
          <w:color w:val="auto"/>
        </w:rPr>
        <w:t>To receive the benefits described in this Agreement, you must (i) timely enter into, not revoke, and comply with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and (ii) between now and the Separation Date, work with the Company to ensure the professional transition and wind down of your duties (the “</w:t>
      </w:r>
      <w:r>
        <w:rPr>
          <w:rFonts w:ascii="Times New Roman" w:cs="Times New Roman" w:eastAsia="Times New Roman" w:hAnsi="Times New Roman"/>
          <w:sz w:val="19"/>
          <w:szCs w:val="19"/>
          <w:u w:val="single" w:color="auto"/>
          <w:color w:val="auto"/>
        </w:rPr>
        <w:t>Conditions</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b w:val="1"/>
          <w:bCs w:val="1"/>
          <w:color w:val="auto"/>
        </w:rPr>
      </w:pPr>
    </w:p>
    <w:p>
      <w:pPr>
        <w:ind w:left="6" w:right="20" w:firstLine="558"/>
        <w:spacing w:after="0" w:line="263" w:lineRule="auto"/>
        <w:tabs>
          <w:tab w:leader="none" w:pos="1251" w:val="left"/>
        </w:tabs>
        <w:numPr>
          <w:ilvl w:val="1"/>
          <w:numId w:val="2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Severance Benefits. </w:t>
      </w:r>
      <w:r>
        <w:rPr>
          <w:rFonts w:ascii="Times New Roman" w:cs="Times New Roman" w:eastAsia="Times New Roman" w:hAnsi="Times New Roman"/>
          <w:sz w:val="19"/>
          <w:szCs w:val="19"/>
          <w:color w:val="auto"/>
        </w:rPr>
        <w:t>If you satisfy the Conditions, then the Company will provide you with the following “</w:t>
      </w: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Separation Date:</w:t>
      </w:r>
    </w:p>
    <w:p>
      <w:pPr>
        <w:spacing w:after="0" w:line="159" w:lineRule="exact"/>
        <w:rPr>
          <w:rFonts w:ascii="Times New Roman" w:cs="Times New Roman" w:eastAsia="Times New Roman" w:hAnsi="Times New Roman"/>
          <w:sz w:val="19"/>
          <w:szCs w:val="19"/>
          <w:b w:val="1"/>
          <w:bCs w:val="1"/>
          <w:color w:val="auto"/>
        </w:rPr>
      </w:pPr>
    </w:p>
    <w:p>
      <w:pPr>
        <w:ind w:left="1866" w:hanging="739"/>
        <w:spacing w:after="0"/>
        <w:tabs>
          <w:tab w:leader="none" w:pos="1866" w:val="left"/>
        </w:tabs>
        <w:numPr>
          <w:ilvl w:val="2"/>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w:t>
      </w:r>
      <w:r>
        <w:rPr>
          <w:rFonts w:ascii="Times New Roman" w:cs="Times New Roman" w:eastAsia="Times New Roman" w:hAnsi="Times New Roman"/>
          <w:sz w:val="19"/>
          <w:szCs w:val="19"/>
          <w:color w:val="auto"/>
        </w:rPr>
        <w:t>. The Company will pay you an amount equal to the sum of (i) (12) months of your current base salary plus</w:t>
      </w:r>
    </w:p>
    <w:p>
      <w:pPr>
        <w:spacing w:after="0" w:line="12" w:lineRule="exact"/>
        <w:rPr>
          <w:rFonts w:ascii="Times New Roman" w:cs="Times New Roman" w:eastAsia="Times New Roman" w:hAnsi="Times New Roman"/>
          <w:sz w:val="19"/>
          <w:szCs w:val="19"/>
          <w:color w:val="auto"/>
        </w:rPr>
      </w:pPr>
    </w:p>
    <w:p>
      <w:pPr>
        <w:jc w:val="both"/>
        <w:ind w:left="6" w:right="20" w:hanging="6"/>
        <w:spacing w:after="0" w:line="236" w:lineRule="auto"/>
        <w:tabs>
          <w:tab w:leader="none" w:pos="313"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Target Bonus (as defined in the Employment Agreement) for the current year, less standard payroll deductions and withholdings (the “</w:t>
      </w:r>
      <w:r>
        <w:rPr>
          <w:rFonts w:ascii="Times New Roman" w:cs="Times New Roman" w:eastAsia="Times New Roman" w:hAnsi="Times New Roman"/>
          <w:sz w:val="19"/>
          <w:szCs w:val="19"/>
          <w:u w:val="single" w:color="auto"/>
          <w:color w:val="auto"/>
        </w:rPr>
        <w:t>Severance Pay</w:t>
      </w:r>
      <w:r>
        <w:rPr>
          <w:rFonts w:ascii="Times New Roman" w:cs="Times New Roman" w:eastAsia="Times New Roman" w:hAnsi="Times New Roman"/>
          <w:sz w:val="19"/>
          <w:szCs w:val="19"/>
          <w:color w:val="auto"/>
        </w:rPr>
        <w:t>”). The Severance Pay will be paid out in a lump sum within thirty (30) days after the Effective Date (as defined below) of this Agreement.</w:t>
      </w:r>
    </w:p>
    <w:p>
      <w:pPr>
        <w:spacing w:after="0" w:line="180" w:lineRule="exact"/>
        <w:rPr>
          <w:rFonts w:ascii="Times New Roman" w:cs="Times New Roman" w:eastAsia="Times New Roman" w:hAnsi="Times New Roman"/>
          <w:sz w:val="19"/>
          <w:szCs w:val="19"/>
          <w:color w:val="auto"/>
        </w:rPr>
      </w:pPr>
    </w:p>
    <w:p>
      <w:pPr>
        <w:jc w:val="both"/>
        <w:ind w:left="6" w:right="20" w:firstLine="1121"/>
        <w:spacing w:after="0" w:line="239" w:lineRule="auto"/>
        <w:tabs>
          <w:tab w:leader="none" w:pos="1822" w:val="left"/>
        </w:tabs>
        <w:numPr>
          <w:ilvl w:val="2"/>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Notwithstanding anything to the contrary in any applicable Equity Document, all unvested stock options and other stock-based awards subject to vesting held by you shall immediately accelerate and become fully exercisable or nonforfeitable as of the Effective Date of this Agreement (and any termination or forfeiture of the unvested portion of such awards that would otherwise occur on the Separation Date in the absence of this Agreement will be delayed until the Effective Date and will only occur if the vesting pursuant to this provision does not occur due to the absence of the Agreement becoming fully effective within the time period set forth herein).</w:t>
      </w:r>
    </w:p>
    <w:p>
      <w:pPr>
        <w:spacing w:after="0" w:line="180" w:lineRule="exact"/>
        <w:rPr>
          <w:rFonts w:ascii="Times New Roman" w:cs="Times New Roman" w:eastAsia="Times New Roman" w:hAnsi="Times New Roman"/>
          <w:sz w:val="19"/>
          <w:szCs w:val="19"/>
          <w:color w:val="auto"/>
        </w:rPr>
      </w:pPr>
    </w:p>
    <w:p>
      <w:pPr>
        <w:jc w:val="both"/>
        <w:ind w:left="6" w:firstLine="1121"/>
        <w:spacing w:after="0" w:line="235" w:lineRule="auto"/>
        <w:tabs>
          <w:tab w:leader="none" w:pos="1811" w:val="left"/>
        </w:tabs>
        <w:numPr>
          <w:ilvl w:val="2"/>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Health Benefits Continuation</w:t>
      </w:r>
      <w:r>
        <w:rPr>
          <w:rFonts w:ascii="Times New Roman" w:cs="Times New Roman" w:eastAsia="Times New Roman" w:hAnsi="Times New Roman"/>
          <w:sz w:val="19"/>
          <w:szCs w:val="19"/>
          <w:color w:val="auto"/>
        </w:rPr>
        <w:t>. If you timely and properly elect to receive benefits under COBRA, then the Company will pay all required premiums on a monthly basis for the same level of group healthcare coverage as in effect for you on the Separation Date until the earliest of the following: (i) the twelve (12)-month anniversary of the Separation Date; (ii) your eligibility for group healthcare coverage through other employment; or (iii) the cessation of your continuation rights under COBRA (the “</w:t>
      </w:r>
      <w:r>
        <w:rPr>
          <w:rFonts w:ascii="Times New Roman" w:cs="Times New Roman" w:eastAsia="Times New Roman" w:hAnsi="Times New Roman"/>
          <w:sz w:val="19"/>
          <w:szCs w:val="19"/>
          <w:u w:val="single" w:color="auto"/>
          <w:color w:val="auto"/>
        </w:rPr>
        <w:t>Health Benefits Continuation Period</w:t>
      </w:r>
      <w:r>
        <w:rPr>
          <w:rFonts w:ascii="Times New Roman" w:cs="Times New Roman" w:eastAsia="Times New Roman" w:hAnsi="Times New Roman"/>
          <w:sz w:val="19"/>
          <w:szCs w:val="19"/>
          <w:color w:val="auto"/>
        </w:rPr>
        <w:t>”); provided, however, if the Company determines it cannot pay such amounts without potentially violating applicable law (including, without limitation, Section 2716 of the Public Health Service Act), then the Company will convert such payments to payroll payments directly to you for the time period specified above. Such payments shall be subject to tax- related deductions and withholdings and paid on the Company’s regular payroll dates. You agree to notify the Company promptly if you become eligible for group healthcare coverage through another employer. You may continue COBRA coverage after the end of the Health Benefits Continuation Period at your own expense for the remainder of the COBRA continuation period, subject to continued eligibility.</w:t>
      </w:r>
    </w:p>
    <w:p>
      <w:pPr>
        <w:spacing w:after="0" w:line="3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246" w:name="page247"/>
    <w:bookmarkEnd w:id="246"/>
    <w:p>
      <w:pPr>
        <w:jc w:val="both"/>
        <w:ind w:firstLine="1121"/>
        <w:spacing w:after="0" w:line="246" w:lineRule="auto"/>
        <w:tabs>
          <w:tab w:leader="none" w:pos="1828" w:val="left"/>
        </w:tabs>
        <w:numPr>
          <w:ilvl w:val="1"/>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Continued Vesting and Extended Exercise Period.</w:t>
      </w:r>
      <w:r>
        <w:rPr>
          <w:rFonts w:ascii="Times New Roman" w:cs="Times New Roman" w:eastAsia="Times New Roman" w:hAnsi="Times New Roman"/>
          <w:sz w:val="19"/>
          <w:szCs w:val="19"/>
          <w:color w:val="auto"/>
        </w:rPr>
        <w:t xml:space="preserve"> The Company shall extend the exercise period with respect to your vested stock options until the earlier of (i) the original ten (10) year expiration date for such vested stock options as provided in the applicable Equity Documents, or (ii) one (1) year from the Separation Date.</w:t>
      </w:r>
    </w:p>
    <w:p>
      <w:pPr>
        <w:spacing w:after="0" w:line="170" w:lineRule="exact"/>
        <w:rPr>
          <w:rFonts w:ascii="Times New Roman" w:cs="Times New Roman" w:eastAsia="Times New Roman" w:hAnsi="Times New Roman"/>
          <w:sz w:val="19"/>
          <w:szCs w:val="19"/>
          <w:color w:val="auto"/>
        </w:rPr>
      </w:pPr>
    </w:p>
    <w:p>
      <w:pPr>
        <w:ind w:left="1160" w:hanging="602"/>
        <w:spacing w:after="0"/>
        <w:tabs>
          <w:tab w:leader="none" w:pos="1160" w:val="left"/>
        </w:tabs>
        <w:numPr>
          <w:ilvl w:val="0"/>
          <w:numId w:val="2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Restrictive Covenants.</w:t>
      </w:r>
    </w:p>
    <w:p>
      <w:pPr>
        <w:spacing w:after="0" w:line="208" w:lineRule="exact"/>
        <w:rPr>
          <w:rFonts w:ascii="Times New Roman" w:cs="Times New Roman" w:eastAsia="Times New Roman" w:hAnsi="Times New Roman"/>
          <w:sz w:val="19"/>
          <w:szCs w:val="19"/>
          <w:b w:val="1"/>
          <w:bCs w:val="1"/>
          <w:color w:val="auto"/>
        </w:rPr>
      </w:pPr>
    </w:p>
    <w:p>
      <w:pPr>
        <w:jc w:val="both"/>
        <w:ind w:right="20" w:firstLine="1121"/>
        <w:spacing w:after="0" w:line="245" w:lineRule="auto"/>
        <w:tabs>
          <w:tab w:leader="none" w:pos="1817"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Reaffirmation of Continuing Obligations.</w:t>
      </w:r>
      <w:r>
        <w:rPr>
          <w:rFonts w:ascii="Times New Roman" w:cs="Times New Roman" w:eastAsia="Times New Roman" w:hAnsi="Times New Roman"/>
          <w:sz w:val="19"/>
          <w:szCs w:val="19"/>
          <w:color w:val="auto"/>
        </w:rPr>
        <w:t xml:space="preserve"> You hereby reaffirm all of your continuing obligations to the Company as set forth in Section 8 of the Employment Agreement, including your confidentiality, invention assignment, and non-solicitation obligations, which survive your separation from employment and remain in full force and effect.</w:t>
      </w:r>
    </w:p>
    <w:p>
      <w:pPr>
        <w:spacing w:after="0" w:line="176" w:lineRule="exact"/>
        <w:rPr>
          <w:rFonts w:ascii="Times New Roman" w:cs="Times New Roman" w:eastAsia="Times New Roman" w:hAnsi="Times New Roman"/>
          <w:sz w:val="19"/>
          <w:szCs w:val="19"/>
          <w:color w:val="auto"/>
        </w:rPr>
      </w:pPr>
    </w:p>
    <w:p>
      <w:pPr>
        <w:jc w:val="both"/>
        <w:ind w:firstLine="1121"/>
        <w:spacing w:after="0" w:line="235" w:lineRule="auto"/>
        <w:tabs>
          <w:tab w:leader="none" w:pos="1863"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You and the Company acknowledge and agree that the non-competition restriction in Section 8(h)(iii) of the Employment Agreement shall not apply, and that you are not entitled to any Garden Leave Pay pursuant to the terms of Section 8(h)(iii) of the Employment Agreement. However, you agree that in connection with your separation from employment and in order to protect the Company’s Proprietary Information (as defined in the Employment Agreement), goodwill, and other legitimate business interests, for a period of: (i) one (1) year following the Separation Date, or (ii) two (2) years following the Separation Date if you breach your fiduciary duty to the Company or if you have unlawfully taken, physically or electronically, property belonging to the Company, you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target amino acid homeostasis for therapeutic and health purposes via the use of amino acid modalities, or products or services that the Company or its affiliates has under development or were the subject of active planning at any time during your employment. You acknowledge this covenant is necessary because the Company’s legitimate business interests cannot be adequately protected solely by the other covenants in this Agreement or the Employment Agreement.</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You agree that in the event you breach any of your obligations described in this Section 3 and/or the restrictions under this Section 3, the remedies set forth in Section 12 of the Employment Agreement shall be available to the Company.</w:t>
      </w:r>
    </w:p>
    <w:p>
      <w:pPr>
        <w:spacing w:after="0" w:line="158" w:lineRule="exact"/>
        <w:rPr>
          <w:sz w:val="20"/>
          <w:szCs w:val="20"/>
          <w:color w:val="auto"/>
        </w:rPr>
      </w:pPr>
    </w:p>
    <w:p>
      <w:pPr>
        <w:jc w:val="both"/>
        <w:ind w:firstLine="558"/>
        <w:spacing w:after="0" w:line="236" w:lineRule="auto"/>
        <w:tabs>
          <w:tab w:leader="none" w:pos="1409" w:val="left"/>
        </w:tabs>
        <w:numPr>
          <w:ilvl w:val="0"/>
          <w:numId w:val="2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Return of Property. </w:t>
      </w:r>
      <w:r>
        <w:rPr>
          <w:rFonts w:ascii="Times New Roman" w:cs="Times New Roman" w:eastAsia="Times New Roman" w:hAnsi="Times New Roman"/>
          <w:sz w:val="19"/>
          <w:szCs w:val="19"/>
          <w:color w:val="auto"/>
        </w:rPr>
        <w:t>You acknowledge and agree you are required to return all Company property in your possession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provided, however, you shall be permitted to keep your Company-owned laptop, monitors, keyboards, and docking stations after the Company has removed all Company materials, information and other Proprietary Information from such hardware. Accordingly, by signing below, you acknowledge and agree you will comply with Section 8(f) of the Employment Agreement by returning to the Company on or before the Separation Date (or sooner if requested by the Company) all Company property, including, without limitation, all files, reports, documents or other materials containing or pertaining to Proprietary Information (as defined in the Employment Agreement) and to your work (and all reproductions thereof). Simultaneous with your return of all of the foregoing, you commit to deleting and finally purging any duplicates of files or documents that may contain Company information from any non-Company computer or other device that remains your property after the Separation Date. In the event you discover that you continue to retain any such information or property, you shall return it to the Company immediately.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47" w:name="page248"/>
    <w:bookmarkEnd w:id="247"/>
    <w:p>
      <w:pPr>
        <w:jc w:val="both"/>
        <w:ind w:right="20" w:firstLine="558"/>
        <w:spacing w:after="0" w:line="261" w:lineRule="auto"/>
        <w:tabs>
          <w:tab w:leader="none" w:pos="1174"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 and 10 of this Agreement, you agree to take no action or make any statements, written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that are disparaging about or adverse to the business interests of the Company or its employees, directors, officers, agents, products, or services. This non-disparagement obligation shall not apply to truthful testimony in a legal proceeding or pursuant to a subpoena or to communication with any Government Agency (as defined below) or participation in any investigation or proceeding that may be conducted by any Government Agency.</w:t>
      </w:r>
    </w:p>
    <w:p>
      <w:pPr>
        <w:spacing w:after="0" w:line="157" w:lineRule="exact"/>
        <w:rPr>
          <w:rFonts w:ascii="Times New Roman" w:cs="Times New Roman" w:eastAsia="Times New Roman" w:hAnsi="Times New Roman"/>
          <w:sz w:val="18"/>
          <w:szCs w:val="18"/>
          <w:b w:val="1"/>
          <w:bCs w:val="1"/>
          <w:color w:val="auto"/>
        </w:rPr>
      </w:pPr>
    </w:p>
    <w:p>
      <w:pPr>
        <w:jc w:val="both"/>
        <w:ind w:firstLine="558"/>
        <w:spacing w:after="0" w:line="237" w:lineRule="auto"/>
        <w:tabs>
          <w:tab w:leader="none" w:pos="1327" w:val="left"/>
        </w:tabs>
        <w:numPr>
          <w:ilvl w:val="0"/>
          <w:numId w:val="2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Communications</w:t>
      </w:r>
      <w:r>
        <w:rPr>
          <w:rFonts w:ascii="Times New Roman" w:cs="Times New Roman" w:eastAsia="Times New Roman" w:hAnsi="Times New Roman"/>
          <w:sz w:val="19"/>
          <w:szCs w:val="19"/>
          <w:color w:val="auto"/>
        </w:rPr>
        <w:t>. You will not communicate about your departure with anyone until after the Board has made a public written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announcement about your departure (the “</w:t>
      </w:r>
      <w:r>
        <w:rPr>
          <w:rFonts w:ascii="Times New Roman" w:cs="Times New Roman" w:eastAsia="Times New Roman" w:hAnsi="Times New Roman"/>
          <w:sz w:val="19"/>
          <w:szCs w:val="19"/>
          <w:u w:val="single" w:color="auto"/>
          <w:color w:val="auto"/>
        </w:rPr>
        <w:t>Company Announcement</w:t>
      </w:r>
      <w:r>
        <w:rPr>
          <w:rFonts w:ascii="Times New Roman" w:cs="Times New Roman" w:eastAsia="Times New Roman" w:hAnsi="Times New Roman"/>
          <w:sz w:val="19"/>
          <w:szCs w:val="19"/>
          <w:color w:val="auto"/>
        </w:rPr>
        <w:t>”); provided that you may communicate with your tax advisors, attorneys and spouse about your departure before the Company Announcement, provided further that you first advise such persons not to reveal information about your departure and each such person agrees. The Company agrees that, unless otherwise required by applicable law or regulation as determined by the Company in its reasonable good faith discretion, the Company shall give you an opportunity to review the Company Announcement prior to its publication. Once the Company has made the Company Announcement, you agree to limit any communications regarding your departure to statements consistent with the Company Announcement.</w:t>
      </w:r>
    </w:p>
    <w:p>
      <w:pPr>
        <w:spacing w:after="0" w:line="180" w:lineRule="exact"/>
        <w:rPr>
          <w:rFonts w:ascii="Times New Roman" w:cs="Times New Roman" w:eastAsia="Times New Roman" w:hAnsi="Times New Roman"/>
          <w:sz w:val="19"/>
          <w:szCs w:val="19"/>
          <w:b w:val="1"/>
          <w:bCs w:val="1"/>
          <w:color w:val="auto"/>
        </w:rPr>
      </w:pPr>
    </w:p>
    <w:p>
      <w:pPr>
        <w:jc w:val="both"/>
        <w:ind w:right="20" w:firstLine="558"/>
        <w:spacing w:after="0" w:line="237" w:lineRule="auto"/>
        <w:tabs>
          <w:tab w:leader="none" w:pos="1397" w:val="left"/>
        </w:tabs>
        <w:numPr>
          <w:ilvl w:val="0"/>
          <w:numId w:val="2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Release of Claims. </w:t>
      </w:r>
      <w:r>
        <w:rPr>
          <w:rFonts w:ascii="Times New Roman" w:cs="Times New Roman" w:eastAsia="Times New Roman" w:hAnsi="Times New Roman"/>
          <w:sz w:val="19"/>
          <w:szCs w:val="19"/>
          <w:color w:val="auto"/>
        </w:rPr>
        <w:t>In consideration for, among other terms, the opportunity to receive the Severance Benefits, to which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acknowledge you 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 w:cs="Times New Roman" w:eastAsia="Times New Roman" w:hAnsi="Times New Roman"/>
          <w:sz w:val="19"/>
          <w:szCs w:val="19"/>
          <w:u w:val="single" w:color="auto"/>
          <w:color w:val="auto"/>
        </w:rPr>
        <w:t>Releasees</w:t>
      </w:r>
      <w:r>
        <w:rPr>
          <w:rFonts w:ascii="Times New Roman" w:cs="Times New Roman" w:eastAsia="Times New Roman" w:hAnsi="Times New Roman"/>
          <w:sz w:val="19"/>
          <w:szCs w:val="19"/>
          <w:color w:val="auto"/>
        </w:rPr>
        <w:t>”) generally from all claims, demands, debts, damages and liabilities of every name and nature, known or unknown (“</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that, as of the date when you sign this Agreement, you have, ever had, now claim to have or ever claimed to have had against any or all of the Releasees. This release includes, without limitation, all Claims:</w:t>
      </w:r>
    </w:p>
    <w:p>
      <w:pPr>
        <w:spacing w:after="0" w:line="191" w:lineRule="exact"/>
        <w:rPr>
          <w:sz w:val="20"/>
          <w:szCs w:val="20"/>
          <w:color w:val="auto"/>
        </w:rPr>
      </w:pPr>
    </w:p>
    <w:p>
      <w:pPr>
        <w:ind w:left="840" w:hanging="282"/>
        <w:spacing w:after="0"/>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relating to your employment by the Company and the end of your employment with the Company;</w:t>
      </w:r>
    </w:p>
    <w:p>
      <w:pPr>
        <w:spacing w:after="0" w:line="19"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wrongful discharge or violation of public policy;</w:t>
      </w:r>
    </w:p>
    <w:p>
      <w:pPr>
        <w:spacing w:after="0" w:line="3"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breach of contract;</w:t>
      </w:r>
    </w:p>
    <w:p>
      <w:pPr>
        <w:spacing w:after="0" w:line="3"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defamation or other torts;</w:t>
      </w:r>
    </w:p>
    <w:p>
      <w:pPr>
        <w:spacing w:after="0" w:line="3" w:lineRule="exact"/>
        <w:rPr>
          <w:rFonts w:ascii="Times New Roman" w:cs="Times New Roman" w:eastAsia="Times New Roman" w:hAnsi="Times New Roman"/>
          <w:sz w:val="16"/>
          <w:szCs w:val="16"/>
          <w:color w:val="auto"/>
        </w:rPr>
      </w:pPr>
    </w:p>
    <w:p>
      <w:pPr>
        <w:ind w:left="840" w:right="20" w:hanging="282"/>
        <w:spacing w:after="0" w:line="261" w:lineRule="auto"/>
        <w:tabs>
          <w:tab w:leader="none" w:pos="840"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retaliation or discrimination under federal, state, or local law (including, without limitation, Claims of discrimination or retaliation under the Age Discrimination in Employment Act; the Americans with Disabilities Act; Title VII of the Civil Rights Act of 1964; and the Massachusetts Fair Employment Practices Act);</w:t>
      </w:r>
    </w:p>
    <w:p>
      <w:pPr>
        <w:jc w:val="both"/>
        <w:ind w:left="840" w:right="20" w:hanging="282"/>
        <w:spacing w:after="0" w:line="245" w:lineRule="auto"/>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Massachusetts Civil Rights Act, the Massachusetts Equal Rights Act, the Massachusetts Labor and Industries Act, the Massachusetts Payment of Wages Act, the Massachusetts Privacy Act, the Massachusetts Parental Leave Act, the Massachusetts Domestic Violence Leave Act, the Massachusetts Sick Leave Act, and the Massachusetts Paid Family and Medical Leave Act;</w:t>
      </w:r>
    </w:p>
    <w:p>
      <w:pPr>
        <w:ind w:left="840" w:hanging="282"/>
        <w:spacing w:after="0"/>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any other federal or state statute (including, without limitation, Claims under the Fair Labor Standards Act);</w:t>
      </w:r>
    </w:p>
    <w:p>
      <w:pPr>
        <w:spacing w:after="0" w:line="3" w:lineRule="exact"/>
        <w:rPr>
          <w:rFonts w:ascii="Times New Roman" w:cs="Times New Roman" w:eastAsia="Times New Roman" w:hAnsi="Times New Roman"/>
          <w:sz w:val="16"/>
          <w:szCs w:val="16"/>
          <w:color w:val="auto"/>
        </w:rPr>
      </w:pPr>
    </w:p>
    <w:p>
      <w:pPr>
        <w:ind w:left="840" w:right="20" w:hanging="282"/>
        <w:spacing w:after="0" w:line="245" w:lineRule="auto"/>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wages, bonuses, incentive compensation, stock, stock options, vacation pay, or any other compensation or benefits, either under the Massachusetts Wage Act, Mass. Gen. Laws ch. 149, §§ 148-150C, or otherwise; and</w:t>
      </w:r>
    </w:p>
    <w:p>
      <w:pPr>
        <w:ind w:left="840" w:hanging="282"/>
        <w:spacing w:after="0"/>
        <w:tabs>
          <w:tab w:leader="none" w:pos="8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damages or other remedies of any sort, including, without limitation, compensatory damages, punitive damages, injunctive relief and attorney’s fees.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48" w:name="page249"/>
    <w:bookmarkEnd w:id="248"/>
    <w:p>
      <w:pPr>
        <w:ind w:left="560" w:right="20"/>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You agree and acknowledge you are waiving and releasing any claims for unpaid wages of any type you may have against the Company under the Massachusetts Payment of Wages Act, M.G.L. c. 149, § 148 </w:t>
      </w:r>
      <w:r>
        <w:rPr>
          <w:rFonts w:ascii="Times New Roman" w:cs="Times New Roman" w:eastAsia="Times New Roman" w:hAnsi="Times New Roman"/>
          <w:sz w:val="19"/>
          <w:szCs w:val="19"/>
          <w:b w:val="1"/>
          <w:bCs w:val="1"/>
          <w:u w:val="single" w:color="auto"/>
          <w:color w:val="auto"/>
        </w:rPr>
        <w:t>et seq.</w:t>
      </w:r>
    </w:p>
    <w:p>
      <w:pPr>
        <w:spacing w:after="0" w:line="157" w:lineRule="exact"/>
        <w:rPr>
          <w:sz w:val="20"/>
          <w:szCs w:val="20"/>
          <w:color w:val="auto"/>
        </w:rPr>
      </w:pPr>
    </w:p>
    <w:p>
      <w:pPr>
        <w:jc w:val="both"/>
        <w:ind w:firstLine="564"/>
        <w:spacing w:after="0" w:line="250"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Agreement: (i) you are not releasing the Company from any obligation expressly set forth in this Agreement; (ii) your right to file a claim with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National Labor Relations Board, or similar state agencies is expressly preserved, provided, however, if you file such a claim, you waive the right to recover monetary damages and any other relief personal to you in connection with such claim; (iii) you are not waiving claims that cannot be waived by law, such as claims for workers’ compensation or unemployment benefits; (iv) you retain rights to any vested benefits, such as vested equity or pension or retirement benefits, the rights to which are governed by the terms of the applicable plan documents; (v) you retain the right to participate in any investigation by any government agency charged with enforcement of any law; (vi) you are not waiving or releasing claims arising solely after the execution of this Agreement; (vii) you are not waiving or releasing non-termination related claims under the Employee Retirement Income Security Act (29 U.S.C. § 1001 et seq.), as amended; and (viii) you are not waiving or releasing any rights and/or claims you may have under COBRA.</w:t>
      </w:r>
    </w:p>
    <w:p>
      <w:pPr>
        <w:spacing w:after="0" w:line="169" w:lineRule="exact"/>
        <w:rPr>
          <w:sz w:val="20"/>
          <w:szCs w:val="20"/>
          <w:color w:val="auto"/>
        </w:rPr>
      </w:pPr>
    </w:p>
    <w:p>
      <w:pPr>
        <w:jc w:val="both"/>
        <w:ind w:firstLine="558"/>
        <w:spacing w:after="0" w:line="237" w:lineRule="auto"/>
        <w:tabs>
          <w:tab w:leader="none" w:pos="1280" w:val="left"/>
        </w:tabs>
        <w:numPr>
          <w:ilvl w:val="0"/>
          <w:numId w:val="2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Protected Disclosures and Other Protected Actions. </w:t>
      </w:r>
      <w:r>
        <w:rPr>
          <w:rFonts w:ascii="Times New Roman" w:cs="Times New Roman" w:eastAsia="Times New Roman" w:hAnsi="Times New Roman"/>
          <w:sz w:val="19"/>
          <w:szCs w:val="19"/>
          <w:color w:val="auto"/>
        </w:rPr>
        <w:t>Nothing contained in this Agreement limits your ability to file a charge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complaint with any federal, state, or local governmental agency or commission (a “</w:t>
      </w:r>
      <w:r>
        <w:rPr>
          <w:rFonts w:ascii="Times New Roman" w:cs="Times New Roman" w:eastAsia="Times New Roman" w:hAnsi="Times New Roman"/>
          <w:sz w:val="19"/>
          <w:szCs w:val="19"/>
          <w:u w:val="single" w:color="auto"/>
          <w:color w:val="auto"/>
        </w:rPr>
        <w:t>Government Agency</w:t>
      </w:r>
      <w:r>
        <w:rPr>
          <w:rFonts w:ascii="Times New Roman" w:cs="Times New Roman" w:eastAsia="Times New Roman" w:hAnsi="Times New Roman"/>
          <w:sz w:val="19"/>
          <w:szCs w:val="19"/>
          <w:color w:val="auto"/>
        </w:rPr>
        <w:t>”). In addition, nothing contained in this Agreement limits your ability to communicate with any Government Agency or otherwise participate in any investigation or proceeding that may be conducted by any Government Agency,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Nothing herein, however, limits your right to receive an award under the SEC Whistleblower Program.</w:t>
      </w:r>
    </w:p>
    <w:p>
      <w:pPr>
        <w:spacing w:after="0" w:line="180" w:lineRule="exact"/>
        <w:rPr>
          <w:rFonts w:ascii="Times New Roman" w:cs="Times New Roman" w:eastAsia="Times New Roman" w:hAnsi="Times New Roman"/>
          <w:sz w:val="19"/>
          <w:szCs w:val="19"/>
          <w:b w:val="1"/>
          <w:bCs w:val="1"/>
          <w:color w:val="auto"/>
        </w:rPr>
      </w:pPr>
    </w:p>
    <w:p>
      <w:pPr>
        <w:jc w:val="both"/>
        <w:ind w:firstLine="558"/>
        <w:spacing w:after="0" w:line="236" w:lineRule="auto"/>
        <w:tabs>
          <w:tab w:leader="none" w:pos="1315" w:val="left"/>
        </w:tabs>
        <w:numPr>
          <w:ilvl w:val="0"/>
          <w:numId w:val="2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Tax Treatment. </w:t>
      </w:r>
      <w:r>
        <w:rPr>
          <w:rFonts w:ascii="Times New Roman" w:cs="Times New Roman" w:eastAsia="Times New Roman" w:hAnsi="Times New Roman"/>
          <w:sz w:val="19"/>
          <w:szCs w:val="19"/>
          <w:color w:val="auto"/>
        </w:rPr>
        <w:t>The Company shall undertake to make deductions, withholdings and tax reports with respect to payments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under this Agreement to the extent it reasonably and in good faith determines it is required to make such deductions, withholdings and tax reports. Nothing in this Agreement shall be construed to require the Company to make any payments to compensate you for any adverse tax effect associated with any payments or benefits or for any deduction or withholding from any payment or benefit. The parties intend that payments under this Agreement will be exempt from or comply with Section 409A of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To the extent that any provision of this Agreement is ambiguous as to its exemption from or compliance with Section 409A of the Code, the provision shall be read in such a manner so that all payments hereunder are exempt from or comply with Section 409A of the Code. Each payment pursuant to this Agreement is intended to constitute a separate payment for purposes of Treasury Regulation Section 1.409A 2(b)(2).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6" w:lineRule="exact"/>
        <w:rPr>
          <w:rFonts w:ascii="Times New Roman" w:cs="Times New Roman" w:eastAsia="Times New Roman" w:hAnsi="Times New Roman"/>
          <w:sz w:val="19"/>
          <w:szCs w:val="19"/>
          <w:b w:val="1"/>
          <w:bCs w:val="1"/>
          <w:color w:val="auto"/>
        </w:rPr>
      </w:pPr>
    </w:p>
    <w:p>
      <w:pPr>
        <w:jc w:val="both"/>
        <w:ind w:firstLine="558"/>
        <w:spacing w:after="0" w:line="237" w:lineRule="auto"/>
        <w:tabs>
          <w:tab w:leader="none" w:pos="1174" w:val="left"/>
        </w:tabs>
        <w:numPr>
          <w:ilvl w:val="0"/>
          <w:numId w:val="2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Consideration Period and OWBPA. </w:t>
      </w:r>
      <w:r>
        <w:rPr>
          <w:rFonts w:ascii="Times New Roman" w:cs="Times New Roman" w:eastAsia="Times New Roman" w:hAnsi="Times New Roman"/>
          <w:sz w:val="19"/>
          <w:szCs w:val="19"/>
          <w:color w:val="auto"/>
        </w:rPr>
        <w:t>It is the Company’s desire and intent to make certain you fully understand the provisions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effects of this Agreement. To that end, the Company hereby advises you in writing to consult with legal counsel for the purpose of reviewing the terms of this Agreement, and you are being given the opportunity to do so. Because you are over 40 years of age, you are granted specific rights under the Older Workers Benefit Protection Act (“</w:t>
      </w:r>
      <w:r>
        <w:rPr>
          <w:rFonts w:ascii="Times New Roman" w:cs="Times New Roman" w:eastAsia="Times New Roman" w:hAnsi="Times New Roman"/>
          <w:sz w:val="19"/>
          <w:szCs w:val="19"/>
          <w:u w:val="single" w:color="auto"/>
          <w:color w:val="auto"/>
        </w:rPr>
        <w:t>OWBPA</w:t>
      </w:r>
      <w:r>
        <w:rPr>
          <w:rFonts w:ascii="Times New Roman" w:cs="Times New Roman" w:eastAsia="Times New Roman" w:hAnsi="Times New Roman"/>
          <w:sz w:val="19"/>
          <w:szCs w:val="19"/>
          <w:color w:val="auto"/>
        </w:rPr>
        <w:t xml:space="preserve">”), which prohibits discrimination on the basis of age. Among other things, the release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7 is intended to release any rights you may have against the Company alleging discrimination on the basis of age under the Age Discrimination in Employment Act (“</w:t>
      </w:r>
      <w:r>
        <w:rPr>
          <w:rFonts w:ascii="Times New Roman" w:cs="Times New Roman" w:eastAsia="Times New Roman" w:hAnsi="Times New Roman"/>
          <w:sz w:val="19"/>
          <w:szCs w:val="19"/>
          <w:u w:val="single" w:color="auto"/>
          <w:color w:val="auto"/>
        </w:rPr>
        <w:t>ADEA</w:t>
      </w:r>
      <w:r>
        <w:rPr>
          <w:rFonts w:ascii="Times New Roman" w:cs="Times New Roman" w:eastAsia="Times New Roman" w:hAnsi="Times New Roman"/>
          <w:sz w:val="19"/>
          <w:szCs w:val="19"/>
          <w:color w:val="auto"/>
        </w:rPr>
        <w:t xml:space="preserve">”), the OWBPA and state and local laws. You acknowledge and understand the release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7 does not cover rights or claims under the ADEA that may arise after the date you sign this Agreement.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49" w:name="page250"/>
    <w:bookmarkEnd w:id="249"/>
    <w:p>
      <w:pPr>
        <w:jc w:val="both"/>
        <w:ind w:firstLine="564"/>
        <w:spacing w:after="0" w:line="217" w:lineRule="auto"/>
        <w:rPr>
          <w:sz w:val="20"/>
          <w:szCs w:val="20"/>
          <w:color w:val="auto"/>
        </w:rPr>
      </w:pPr>
      <w:r>
        <w:rPr>
          <w:rFonts w:ascii="Times New Roman" w:cs="Times New Roman" w:eastAsia="Times New Roman" w:hAnsi="Times New Roman"/>
          <w:sz w:val="19"/>
          <w:szCs w:val="19"/>
          <w:color w:val="auto"/>
        </w:rPr>
        <w:t>Consistent with the provisions of OWBPA, you have been provided the opportunity to consider this Agreement for at least forty-five (45) days from your receipt of this Agreement before signing it (the “</w:t>
      </w:r>
      <w:r>
        <w:rPr>
          <w:rFonts w:ascii="Times New Roman" w:cs="Times New Roman" w:eastAsia="Times New Roman" w:hAnsi="Times New Roman"/>
          <w:sz w:val="19"/>
          <w:szCs w:val="19"/>
          <w:u w:val="single" w:color="auto"/>
          <w:color w:val="auto"/>
        </w:rPr>
        <w:t>Consideration Period</w:t>
      </w:r>
      <w:r>
        <w:rPr>
          <w:rFonts w:ascii="Times New Roman" w:cs="Times New Roman" w:eastAsia="Times New Roman" w:hAnsi="Times New Roman"/>
          <w:sz w:val="19"/>
          <w:szCs w:val="19"/>
          <w:color w:val="auto"/>
        </w:rPr>
        <w:t>”). You and the Company agree that any changes to this Agreement, whether material or immaterial, following your receipt of this Agreement do not restart or otherwise affect the Consideration Period. Furthermore, consistent with OWBPA and M.G.L. c. 149, s. 24L, you may revoke your assent to this Agreement if, within seven (7) business days after the date you sign this Agreement, you deliver a written notice of revocation to the Company. To be effective, such notice of revocation must be emailed within the seven (7)-business day period to the Vice President of Legal Affairs. On the eighth (8</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business day following your execution of this Agreement without your revocation, it will become final and binding on all parties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564"/>
        <w:spacing w:after="0" w:line="241" w:lineRule="auto"/>
        <w:rPr>
          <w:sz w:val="20"/>
          <w:szCs w:val="20"/>
          <w:color w:val="auto"/>
        </w:rPr>
      </w:pPr>
      <w:r>
        <w:rPr>
          <w:rFonts w:ascii="Times New Roman" w:cs="Times New Roman" w:eastAsia="Times New Roman" w:hAnsi="Times New Roman"/>
          <w:sz w:val="19"/>
          <w:szCs w:val="19"/>
          <w:color w:val="auto"/>
        </w:rPr>
        <w:t>In accordance with the provisions of OWBPA, attached to this Agreement as Attachment A is a description of (i) any class, unit or group of individuals covered by the program of severance benefits that the Company has offered to you, and any applicable time limits regarding such severance benefit program; and (ii) the job titles and ages of all individuals selected for such severance benefit program, and the job titles and ages of all individuals in the same job classification or organizational unit who were not selected for such severance benefit program.</w:t>
      </w:r>
    </w:p>
    <w:p>
      <w:pPr>
        <w:spacing w:after="0" w:line="179" w:lineRule="exact"/>
        <w:rPr>
          <w:sz w:val="20"/>
          <w:szCs w:val="20"/>
          <w:color w:val="auto"/>
        </w:rPr>
      </w:pPr>
    </w:p>
    <w:p>
      <w:pPr>
        <w:jc w:val="both"/>
        <w:ind w:firstLine="564"/>
        <w:spacing w:after="0" w:line="250" w:lineRule="auto"/>
        <w:rPr>
          <w:sz w:val="20"/>
          <w:szCs w:val="20"/>
          <w:color w:val="auto"/>
        </w:rPr>
      </w:pPr>
      <w:r>
        <w:rPr>
          <w:rFonts w:ascii="Times New Roman" w:cs="Times New Roman" w:eastAsia="Times New Roman" w:hAnsi="Times New Roman"/>
          <w:sz w:val="18"/>
          <w:szCs w:val="18"/>
          <w:color w:val="auto"/>
        </w:rPr>
        <w:t xml:space="preserve">Also, consistent with the provisions of the OWBPA and other federal discrimination laws, nothing in the release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shall be deemed to prohibit you from challenging the validity of this release under the federal age or other discrimination laws (the “</w:t>
      </w:r>
      <w:r>
        <w:rPr>
          <w:rFonts w:ascii="Times New Roman" w:cs="Times New Roman" w:eastAsia="Times New Roman" w:hAnsi="Times New Roman"/>
          <w:sz w:val="18"/>
          <w:szCs w:val="18"/>
          <w:u w:val="single" w:color="auto"/>
          <w:color w:val="auto"/>
        </w:rPr>
        <w:t>Federal Discrimination Laws</w:t>
      </w:r>
      <w:r>
        <w:rPr>
          <w:rFonts w:ascii="Times New Roman" w:cs="Times New Roman" w:eastAsia="Times New Roman" w:hAnsi="Times New Roman"/>
          <w:sz w:val="18"/>
          <w:szCs w:val="18"/>
          <w:color w:val="auto"/>
        </w:rPr>
        <w:t xml:space="preserve">”) or from filing a charge or complaint of age or other employment related discrimination with the EEOC, or from participating in any investigation or proceeding conducted by the EEOC. However, the release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does prohibit you from seeking or receiving monetary damages or other individual-specific relief in connection with any such charge or complaint of age or other employment-related discrimination. Further, nothing in the release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this Agreement shall be deemed to limit the Company’s right to seek immediate dismissal of such charge or complaint on the basis that your signing of this Agreement constitutes a full release of any individual rights under the Federal Discrimination Laws, or the Company’s right to seek restitution or other legal remedies to the extent permitted by law of the economic benefits provided to you under this Agreement in the event that you successfully challenge the validity of this release and prevail in any claim under the Federal Discrimination Laws.</w:t>
      </w:r>
    </w:p>
    <w:p>
      <w:pPr>
        <w:spacing w:after="0" w:line="173" w:lineRule="exact"/>
        <w:rPr>
          <w:sz w:val="20"/>
          <w:szCs w:val="20"/>
          <w:color w:val="auto"/>
        </w:rPr>
      </w:pPr>
    </w:p>
    <w:p>
      <w:pPr>
        <w:jc w:val="both"/>
        <w:ind w:right="20" w:firstLine="564"/>
        <w:spacing w:after="0" w:line="241" w:lineRule="auto"/>
        <w:rPr>
          <w:sz w:val="20"/>
          <w:szCs w:val="20"/>
          <w:color w:val="auto"/>
        </w:rPr>
      </w:pPr>
      <w:r>
        <w:rPr>
          <w:rFonts w:ascii="Times New Roman" w:cs="Times New Roman" w:eastAsia="Times New Roman" w:hAnsi="Times New Roman"/>
          <w:sz w:val="19"/>
          <w:szCs w:val="19"/>
          <w:color w:val="auto"/>
        </w:rPr>
        <w:t xml:space="preserve">By signing this Agreement, you acknowledge and agree: (i) but for providing the waiver and release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you would not be receiving the Severance Benefits being provided to you under the terms of this Agreement; (ii) you understand the various claims you are entitled to assert under the laws set forth above; (iii) you have read this Agreement carefully and understand all its provisions; and (iv) the Company is hereby advising you to consult with an attorney before signing this Agreement and to the extent you desired, you availed yourself of this right.</w:t>
      </w:r>
    </w:p>
    <w:p>
      <w:pPr>
        <w:spacing w:after="0" w:line="175" w:lineRule="exact"/>
        <w:rPr>
          <w:sz w:val="20"/>
          <w:szCs w:val="20"/>
          <w:color w:val="auto"/>
        </w:rPr>
      </w:pPr>
    </w:p>
    <w:p>
      <w:pPr>
        <w:ind w:left="1260" w:hanging="702"/>
        <w:spacing w:after="0"/>
        <w:tabs>
          <w:tab w:leader="none" w:pos="1260" w:val="left"/>
        </w:tabs>
        <w:numPr>
          <w:ilvl w:val="0"/>
          <w:numId w:val="2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Other Provisions</w:t>
      </w:r>
    </w:p>
    <w:p>
      <w:pPr>
        <w:spacing w:after="0" w:line="208" w:lineRule="exact"/>
        <w:rPr>
          <w:rFonts w:ascii="Times New Roman" w:cs="Times New Roman" w:eastAsia="Times New Roman" w:hAnsi="Times New Roman"/>
          <w:sz w:val="19"/>
          <w:szCs w:val="19"/>
          <w:b w:val="1"/>
          <w:bCs w:val="1"/>
          <w:color w:val="auto"/>
        </w:rPr>
      </w:pPr>
    </w:p>
    <w:p>
      <w:pPr>
        <w:jc w:val="both"/>
        <w:ind w:firstLine="1121"/>
        <w:spacing w:after="0" w:line="241" w:lineRule="auto"/>
        <w:tabs>
          <w:tab w:leader="none" w:pos="1852"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Payments</w:t>
      </w:r>
      <w:r>
        <w:rPr>
          <w:rFonts w:ascii="Times New Roman" w:cs="Times New Roman" w:eastAsia="Times New Roman" w:hAnsi="Times New Roman"/>
          <w:sz w:val="19"/>
          <w:szCs w:val="19"/>
          <w:color w:val="auto"/>
        </w:rPr>
        <w:t>. In the event you fail to comply with any of your obligations under this Agreement, in addition to any other legal or equitable remedies it may have for such breach, the Company shall have the right to discontinue providing you with the Severance Benefits. Any such consequences of a breach by you will not affect the release or your continuing obligations under this Agreement or the Employment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50" w:name="page251"/>
    <w:bookmarkEnd w:id="250"/>
    <w:p>
      <w:pPr>
        <w:ind w:firstLine="1121"/>
        <w:spacing w:after="0" w:line="260" w:lineRule="auto"/>
        <w:tabs>
          <w:tab w:leader="none" w:pos="1863"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Absence of Reliance</w:t>
      </w:r>
      <w:r>
        <w:rPr>
          <w:rFonts w:ascii="Times New Roman" w:cs="Times New Roman" w:eastAsia="Times New Roman" w:hAnsi="Times New Roman"/>
          <w:sz w:val="19"/>
          <w:szCs w:val="19"/>
          <w:color w:val="auto"/>
        </w:rPr>
        <w:t>. In signing this Agreement, you are not relying upon any promises or representations made by anyone at or on behalf of the Company, except as set forth in this Agreement.</w:t>
      </w:r>
    </w:p>
    <w:p>
      <w:pPr>
        <w:spacing w:after="0" w:line="161" w:lineRule="exact"/>
        <w:rPr>
          <w:rFonts w:ascii="Times New Roman" w:cs="Times New Roman" w:eastAsia="Times New Roman" w:hAnsi="Times New Roman"/>
          <w:sz w:val="19"/>
          <w:szCs w:val="19"/>
          <w:color w:val="auto"/>
        </w:rPr>
      </w:pPr>
    </w:p>
    <w:p>
      <w:pPr>
        <w:jc w:val="both"/>
        <w:ind w:firstLine="1121"/>
        <w:spacing w:after="0" w:line="266" w:lineRule="auto"/>
        <w:tabs>
          <w:tab w:leader="none" w:pos="188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You and the Company hereby agree the state and federal courts in the Commonwealth of Massachusetts shall have the exclusive jurisdiction to consider any matters related to this Agreement, including without limitation any claim of a violation of this Agreement. With respect to any such court action, you submit to the jurisdiction of such courts and you acknowledge venue in such courts is proper.</w:t>
      </w:r>
    </w:p>
    <w:p>
      <w:pPr>
        <w:spacing w:after="0" w:line="157" w:lineRule="exact"/>
        <w:rPr>
          <w:rFonts w:ascii="Times New Roman" w:cs="Times New Roman" w:eastAsia="Times New Roman" w:hAnsi="Times New Roman"/>
          <w:sz w:val="18"/>
          <w:szCs w:val="18"/>
          <w:color w:val="auto"/>
        </w:rPr>
      </w:pPr>
    </w:p>
    <w:p>
      <w:pPr>
        <w:jc w:val="both"/>
        <w:ind w:firstLine="1121"/>
        <w:spacing w:after="0" w:line="241" w:lineRule="auto"/>
        <w:tabs>
          <w:tab w:leader="none" w:pos="1886"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Interpretation</w:t>
      </w:r>
      <w:r>
        <w:rPr>
          <w:rFonts w:ascii="Times New Roman" w:cs="Times New Roman" w:eastAsia="Times New Roman" w:hAnsi="Times New Roman"/>
          <w:sz w:val="19"/>
          <w:szCs w:val="19"/>
          <w:color w:val="auto"/>
        </w:rPr>
        <w:t>. This Agreement shall be interpreted and enforced under the laws of the Commonwealth of Massachusetts,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79" w:lineRule="exact"/>
        <w:rPr>
          <w:rFonts w:ascii="Times New Roman" w:cs="Times New Roman" w:eastAsia="Times New Roman" w:hAnsi="Times New Roman"/>
          <w:sz w:val="19"/>
          <w:szCs w:val="19"/>
          <w:color w:val="auto"/>
        </w:rPr>
      </w:pPr>
    </w:p>
    <w:p>
      <w:pPr>
        <w:jc w:val="both"/>
        <w:ind w:firstLine="1121"/>
        <w:spacing w:after="0" w:line="241" w:lineRule="auto"/>
        <w:tabs>
          <w:tab w:leader="none" w:pos="1852"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Enforceability</w:t>
      </w:r>
      <w:r>
        <w:rPr>
          <w:rFonts w:ascii="Times New Roman" w:cs="Times New Roman" w:eastAsia="Times New Roman" w:hAnsi="Times New Roman"/>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9"/>
          <w:szCs w:val="19"/>
          <w:color w:val="auto"/>
        </w:rPr>
      </w:pPr>
    </w:p>
    <w:p>
      <w:pPr>
        <w:jc w:val="both"/>
        <w:ind w:firstLine="1121"/>
        <w:spacing w:after="0" w:line="241" w:lineRule="auto"/>
        <w:tabs>
          <w:tab w:leader="none" w:pos="182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Amendment</w:t>
      </w:r>
      <w:r>
        <w:rPr>
          <w:rFonts w:ascii="Times New Roman" w:cs="Times New Roman" w:eastAsia="Times New Roman" w:hAnsi="Times New Roman"/>
          <w:sz w:val="19"/>
          <w:szCs w:val="19"/>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This Agreement may not be modified or amended except in a writing signed by both you and a duly authorized officer of the Company.</w:t>
      </w:r>
    </w:p>
    <w:p>
      <w:pPr>
        <w:spacing w:after="0" w:line="179" w:lineRule="exact"/>
        <w:rPr>
          <w:rFonts w:ascii="Times New Roman" w:cs="Times New Roman" w:eastAsia="Times New Roman" w:hAnsi="Times New Roman"/>
          <w:sz w:val="19"/>
          <w:szCs w:val="19"/>
          <w:color w:val="auto"/>
        </w:rPr>
      </w:pPr>
    </w:p>
    <w:p>
      <w:pPr>
        <w:jc w:val="both"/>
        <w:ind w:firstLine="1121"/>
        <w:spacing w:after="0" w:line="239" w:lineRule="auto"/>
        <w:tabs>
          <w:tab w:leader="none" w:pos="2004"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between you and the Company with respect to the subject matter hereof, and supersedes all prior agreements or understandings, both written and oral, between you and the Company with respect to the subject matter hereof, but does not in any way merge with or supersede the surviving provisions of the Original Confidentiality Agreement, the Employment Agreement, or the Equity Documents, which agreements and obligations shall supplement, and shall not limit or be limited by, this Agreement.</w:t>
      </w:r>
    </w:p>
    <w:p>
      <w:pPr>
        <w:spacing w:after="0" w:line="180" w:lineRule="exact"/>
        <w:rPr>
          <w:rFonts w:ascii="Times New Roman" w:cs="Times New Roman" w:eastAsia="Times New Roman" w:hAnsi="Times New Roman"/>
          <w:sz w:val="19"/>
          <w:szCs w:val="19"/>
          <w:color w:val="auto"/>
        </w:rPr>
      </w:pPr>
    </w:p>
    <w:p>
      <w:pPr>
        <w:jc w:val="both"/>
        <w:ind w:firstLine="1121"/>
        <w:spacing w:after="0" w:line="245" w:lineRule="auto"/>
        <w:tabs>
          <w:tab w:leader="none" w:pos="203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counterparts, each of which when so executed and delivered shall be taken to be an original, but all of which together shall constitute one and the same document. Electronic and pdf signatures shall be deemed to have the same legal effect as originals.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51" w:name="page252"/>
    <w:bookmarkEnd w:id="251"/>
    <w:p>
      <w:pPr>
        <w:jc w:val="both"/>
        <w:spacing w:after="0" w:line="259" w:lineRule="auto"/>
        <w:rPr>
          <w:sz w:val="20"/>
          <w:szCs w:val="20"/>
          <w:color w:val="auto"/>
        </w:rPr>
      </w:pPr>
      <w:r>
        <w:rPr>
          <w:rFonts w:ascii="Times New Roman" w:cs="Times New Roman" w:eastAsia="Times New Roman" w:hAnsi="Times New Roman"/>
          <w:sz w:val="19"/>
          <w:szCs w:val="19"/>
          <w:color w:val="auto"/>
        </w:rPr>
        <w:t>Please indicate your agreement to the terms of this Agreement by signing and returning to the Vice President of Legal Affairs via PDF by the date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Gemini Therapeutics,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Georges Gemaye</w:t>
            </w: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December 29, 2022</w:t>
            </w:r>
          </w:p>
        </w:tc>
      </w:tr>
      <w:tr>
        <w:trPr>
          <w:trHeight w:val="171"/>
        </w:trPr>
        <w:tc>
          <w:tcPr>
            <w:tcW w:w="5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Georges Gemayel, Ph.D.</w:t>
            </w:r>
          </w:p>
        </w:tc>
        <w:tc>
          <w:tcPr>
            <w:tcW w:w="1140" w:type="dxa"/>
            <w:vAlign w:val="bottom"/>
          </w:tcPr>
          <w:p>
            <w:pPr>
              <w:spacing w:after="0"/>
              <w:rPr>
                <w:sz w:val="14"/>
                <w:szCs w:val="14"/>
                <w:color w:val="auto"/>
              </w:rPr>
            </w:pPr>
          </w:p>
        </w:tc>
        <w:tc>
          <w:tcPr>
            <w:tcW w:w="25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Date</w:t>
            </w:r>
          </w:p>
        </w:tc>
      </w:tr>
      <w:tr>
        <w:trPr>
          <w:trHeight w:val="203"/>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Chair</w:t>
            </w:r>
          </w:p>
        </w:tc>
        <w:tc>
          <w:tcPr>
            <w:tcW w:w="2580" w:type="dxa"/>
            <w:vAlign w:val="bottom"/>
          </w:tcPr>
          <w:p>
            <w:pPr>
              <w:spacing w:after="0"/>
              <w:rPr>
                <w:sz w:val="17"/>
                <w:szCs w:val="17"/>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Enclosure (Employment Agreement)</w:t>
      </w:r>
    </w:p>
    <w:p>
      <w:pPr>
        <w:spacing w:after="0" w:line="20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This is a legal document. Your signature will commit you to its terms. By signing below, you acknowledge the Company has advised you to consult with counsel prior to entering into this Agreement, you have carefully read and fully understand all of the provisions of this Agreement, and you are knowingly and voluntarily entering into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Brian Piekos</w:t>
            </w:r>
          </w:p>
        </w:tc>
        <w:tc>
          <w:tcPr>
            <w:tcW w:w="1140" w:type="dxa"/>
            <w:vAlign w:val="bottom"/>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December 29, 2022</w:t>
            </w:r>
          </w:p>
        </w:tc>
        <w:tc>
          <w:tcPr>
            <w:tcW w:w="2480" w:type="dxa"/>
            <w:vAlign w:val="bottom"/>
          </w:tcPr>
          <w:p>
            <w:pPr>
              <w:spacing w:after="0"/>
              <w:rPr>
                <w:sz w:val="19"/>
                <w:szCs w:val="19"/>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Brian Piekos</w:t>
            </w:r>
          </w:p>
        </w:tc>
        <w:tc>
          <w:tcPr>
            <w:tcW w:w="114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480" w:type="dxa"/>
            <w:vAlign w:val="bottom"/>
          </w:tcPr>
          <w:p>
            <w:pPr>
              <w:spacing w:after="0"/>
              <w:rPr>
                <w:sz w:val="17"/>
                <w:szCs w:val="17"/>
                <w:color w:val="auto"/>
              </w:rPr>
            </w:pPr>
          </w:p>
        </w:tc>
      </w:tr>
      <w:tr>
        <w:trPr>
          <w:trHeight w:val="551"/>
        </w:trPr>
        <w:tc>
          <w:tcPr>
            <w:tcW w:w="5060" w:type="dxa"/>
            <w:vAlign w:val="bottom"/>
          </w:tcPr>
          <w:p>
            <w:pPr>
              <w:spacing w:after="0"/>
              <w:rPr>
                <w:sz w:val="24"/>
                <w:szCs w:val="24"/>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8</w:t>
            </w:r>
          </w:p>
        </w:tc>
        <w:tc>
          <w:tcPr>
            <w:tcW w:w="2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83"/>
        </w:trPr>
        <w:tc>
          <w:tcPr>
            <w:tcW w:w="50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r>
    </w:tbl>
    <w:p>
      <w:pPr>
        <w:sectPr>
          <w:pgSz w:w="11900" w:h="16838" w:orient="portrait"/>
          <w:cols w:equalWidth="0" w:num="1">
            <w:col w:w="11260"/>
          </w:cols>
          <w:pgMar w:left="320" w:top="328" w:right="319" w:bottom="1440" w:gutter="0" w:footer="0" w:header="0"/>
        </w:sectPr>
      </w:pPr>
    </w:p>
    <w:bookmarkStart w:id="252" w:name="page253"/>
    <w:bookmarkEnd w:id="252"/>
    <w:p>
      <w:pPr>
        <w:ind w:left="1028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14.1</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DISC MEDICINE, INC.</w:t>
      </w:r>
    </w:p>
    <w:p>
      <w:pPr>
        <w:spacing w:after="0" w:line="20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Code of Business Conduct and Ethics</w:t>
      </w:r>
    </w:p>
    <w:p>
      <w:pPr>
        <w:spacing w:after="0" w:line="213" w:lineRule="exact"/>
        <w:rPr>
          <w:sz w:val="20"/>
          <w:szCs w:val="20"/>
          <w:color w:val="auto"/>
        </w:rPr>
      </w:pPr>
    </w:p>
    <w:p>
      <w:pPr>
        <w:ind w:left="566" w:hanging="566"/>
        <w:spacing w:after="0"/>
        <w:tabs>
          <w:tab w:leader="none" w:pos="566" w:val="left"/>
        </w:tabs>
        <w:numPr>
          <w:ilvl w:val="0"/>
          <w:numId w:val="2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Purpose and Scope</w:t>
      </w:r>
    </w:p>
    <w:p>
      <w:pPr>
        <w:spacing w:after="0" w:line="211" w:lineRule="exact"/>
        <w:rPr>
          <w:sz w:val="20"/>
          <w:szCs w:val="20"/>
          <w:color w:val="auto"/>
        </w:rPr>
      </w:pPr>
    </w:p>
    <w:p>
      <w:pPr>
        <w:jc w:val="both"/>
        <w:ind w:left="6" w:firstLine="564"/>
        <w:spacing w:after="0" w:line="245" w:lineRule="auto"/>
        <w:rPr>
          <w:sz w:val="20"/>
          <w:szCs w:val="20"/>
          <w:color w:val="auto"/>
        </w:rPr>
      </w:pPr>
      <w:r>
        <w:rPr>
          <w:rFonts w:ascii="Times New Roman" w:cs="Times New Roman" w:eastAsia="Times New Roman" w:hAnsi="Times New Roman"/>
          <w:sz w:val="19"/>
          <w:szCs w:val="19"/>
          <w:color w:val="auto"/>
        </w:rPr>
        <w:t>The Board of Directors of Disc Medicine, Inc. (together with its subsidiaries, the “Company”) has adopted this Code of Business Conduct and Ethics (this “Code”) to aid the Company’s directors, officers, employees and designated agents in making ethical and legal decisions when conducting the Company’s business and performing their day-to-day duties.</w:t>
      </w:r>
    </w:p>
    <w:p>
      <w:pPr>
        <w:spacing w:after="0" w:line="176" w:lineRule="exact"/>
        <w:rPr>
          <w:sz w:val="20"/>
          <w:szCs w:val="20"/>
          <w:color w:val="auto"/>
        </w:rPr>
      </w:pPr>
    </w:p>
    <w:p>
      <w:pPr>
        <w:jc w:val="both"/>
        <w:ind w:left="6" w:firstLine="564"/>
        <w:spacing w:after="0" w:line="259" w:lineRule="auto"/>
        <w:rPr>
          <w:sz w:val="20"/>
          <w:szCs w:val="20"/>
          <w:color w:val="auto"/>
        </w:rPr>
      </w:pPr>
      <w:r>
        <w:rPr>
          <w:rFonts w:ascii="Times New Roman" w:cs="Times New Roman" w:eastAsia="Times New Roman" w:hAnsi="Times New Roman"/>
          <w:sz w:val="19"/>
          <w:szCs w:val="19"/>
          <w:color w:val="auto"/>
        </w:rPr>
        <w:t>The Company’s Board of Directors (the “Board”) or a committee of the Board is responsible for administering the Code. The Board has delegated day-to-day responsibility for administering and interpreting the Code to a Compliance Officer.</w:t>
      </w:r>
    </w:p>
    <w:p>
      <w:pPr>
        <w:spacing w:after="0" w:line="162" w:lineRule="exact"/>
        <w:rPr>
          <w:sz w:val="20"/>
          <w:szCs w:val="20"/>
          <w:color w:val="auto"/>
        </w:rPr>
      </w:pPr>
    </w:p>
    <w:p>
      <w:pPr>
        <w:jc w:val="both"/>
        <w:ind w:left="6" w:firstLine="564"/>
        <w:spacing w:after="0" w:line="238" w:lineRule="auto"/>
        <w:rPr>
          <w:sz w:val="20"/>
          <w:szCs w:val="20"/>
          <w:color w:val="auto"/>
        </w:rPr>
      </w:pPr>
      <w:r>
        <w:rPr>
          <w:rFonts w:ascii="Times New Roman" w:cs="Times New Roman" w:eastAsia="Times New Roman" w:hAnsi="Times New Roman"/>
          <w:sz w:val="19"/>
          <w:szCs w:val="19"/>
          <w:color w:val="auto"/>
        </w:rPr>
        <w:t>The Company expects its directors, officers, employees and designated agents to exercise reasonable judgment when conducting the Company’s business. The Company encourages its directors, officers, employees and designated agents to refer to this Code frequently to ensure that they are acting within both the letter and spirit of this Code. The Company also understands that this Code will not answer every problem you may encounter or address every concern you may have about conducting the Company’s business ethically and legally. In these situations, or if you otherwise have questions or concerns about this Code, the Company encourages you to speak with your supervisor (if applicable) or, if you are uncomfortable doing that, with the Compliance Officer.</w:t>
      </w:r>
    </w:p>
    <w:p>
      <w:pPr>
        <w:spacing w:after="0" w:line="180" w:lineRule="exact"/>
        <w:rPr>
          <w:sz w:val="20"/>
          <w:szCs w:val="20"/>
          <w:color w:val="auto"/>
        </w:rPr>
      </w:pPr>
    </w:p>
    <w:p>
      <w:pPr>
        <w:jc w:val="both"/>
        <w:ind w:left="6" w:right="20" w:firstLine="564"/>
        <w:spacing w:after="0" w:line="245" w:lineRule="auto"/>
        <w:rPr>
          <w:sz w:val="20"/>
          <w:szCs w:val="20"/>
          <w:color w:val="auto"/>
        </w:rPr>
      </w:pPr>
      <w:r>
        <w:rPr>
          <w:rFonts w:ascii="Times New Roman" w:cs="Times New Roman" w:eastAsia="Times New Roman" w:hAnsi="Times New Roman"/>
          <w:sz w:val="19"/>
          <w:szCs w:val="19"/>
          <w:color w:val="auto"/>
        </w:rPr>
        <w:t xml:space="preserve">The Company’s directors, officers, employees and designated agents generally have other legal and contractual obligations to the Company. This Code is not intended to reduce or limit the other obligations you may have to the Company. Instead, this Code should be viewed as imposing the </w:t>
      </w:r>
      <w:r>
        <w:rPr>
          <w:rFonts w:ascii="Times New Roman" w:cs="Times New Roman" w:eastAsia="Times New Roman" w:hAnsi="Times New Roman"/>
          <w:sz w:val="19"/>
          <w:szCs w:val="19"/>
          <w:i w:val="1"/>
          <w:iCs w:val="1"/>
          <w:color w:val="auto"/>
        </w:rPr>
        <w:t xml:space="preserve">minimum standards </w:t>
      </w:r>
      <w:r>
        <w:rPr>
          <w:rFonts w:ascii="Times New Roman" w:cs="Times New Roman" w:eastAsia="Times New Roman" w:hAnsi="Times New Roman"/>
          <w:sz w:val="19"/>
          <w:szCs w:val="19"/>
          <w:color w:val="auto"/>
        </w:rPr>
        <w:t>the Company expects from its directors, officers and employees in the conduct of the Company’s business.</w:t>
      </w:r>
    </w:p>
    <w:p>
      <w:pPr>
        <w:spacing w:after="0" w:line="181" w:lineRule="exact"/>
        <w:rPr>
          <w:sz w:val="20"/>
          <w:szCs w:val="20"/>
          <w:color w:val="auto"/>
        </w:rPr>
      </w:pPr>
    </w:p>
    <w:p>
      <w:pPr>
        <w:ind w:left="566" w:hanging="566"/>
        <w:spacing w:after="0"/>
        <w:tabs>
          <w:tab w:leader="none" w:pos="566" w:val="left"/>
        </w:tabs>
        <w:numPr>
          <w:ilvl w:val="0"/>
          <w:numId w:val="2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Standards of Conduct</w:t>
      </w:r>
    </w:p>
    <w:p>
      <w:pPr>
        <w:spacing w:after="0" w:line="215" w:lineRule="exact"/>
        <w:rPr>
          <w:rFonts w:ascii="Times New Roman" w:cs="Times New Roman" w:eastAsia="Times New Roman" w:hAnsi="Times New Roman"/>
          <w:sz w:val="16"/>
          <w:szCs w:val="16"/>
          <w:b w:val="1"/>
          <w:bCs w:val="1"/>
          <w:color w:val="auto"/>
        </w:rPr>
      </w:pPr>
    </w:p>
    <w:p>
      <w:pPr>
        <w:ind w:left="566"/>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5"/>
          <w:szCs w:val="15"/>
          <w:b w:val="1"/>
          <w:bCs w:val="1"/>
          <w:color w:val="auto"/>
        </w:rPr>
        <w:t>Compliance with Laws, Rules and Regulations</w:t>
      </w:r>
    </w:p>
    <w:p>
      <w:pPr>
        <w:spacing w:after="0" w:line="211" w:lineRule="exact"/>
        <w:rPr>
          <w:sz w:val="20"/>
          <w:szCs w:val="20"/>
          <w:color w:val="auto"/>
        </w:rPr>
      </w:pPr>
    </w:p>
    <w:p>
      <w:pPr>
        <w:ind w:left="566" w:right="120" w:firstLine="564"/>
        <w:spacing w:after="0" w:line="245" w:lineRule="auto"/>
        <w:rPr>
          <w:sz w:val="20"/>
          <w:szCs w:val="20"/>
          <w:color w:val="auto"/>
        </w:rPr>
      </w:pPr>
      <w:r>
        <w:rPr>
          <w:rFonts w:ascii="Times New Roman" w:cs="Times New Roman" w:eastAsia="Times New Roman" w:hAnsi="Times New Roman"/>
          <w:sz w:val="19"/>
          <w:szCs w:val="19"/>
          <w:color w:val="auto"/>
        </w:rPr>
        <w:t>The Company requires that all employees, officers, directors and designated agents comply with all laws, rules and regulations applicable to the Company wherever it does business. You are expected to use good judgment and common sense in seeking to comply with all applicable laws, rules and regulations and to ask for advice when you are uncertain about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50100" cy="146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3" w:right="319" w:bottom="1440" w:gutter="0" w:footer="0" w:header="0"/>
        </w:sectPr>
      </w:pPr>
    </w:p>
    <w:bookmarkStart w:id="253" w:name="page254"/>
    <w:bookmarkEnd w:id="253"/>
    <w:p>
      <w:pPr>
        <w:ind w:left="2" w:right="60" w:firstLine="564"/>
        <w:spacing w:after="0" w:line="251" w:lineRule="auto"/>
        <w:rPr>
          <w:sz w:val="20"/>
          <w:szCs w:val="20"/>
          <w:color w:val="auto"/>
        </w:rPr>
      </w:pPr>
      <w:r>
        <w:rPr>
          <w:rFonts w:ascii="Times New Roman" w:cs="Times New Roman" w:eastAsia="Times New Roman" w:hAnsi="Times New Roman"/>
          <w:sz w:val="18"/>
          <w:szCs w:val="18"/>
          <w:color w:val="auto"/>
        </w:rPr>
        <w:t>If you become aware of the violation of any law, rule or regulation by the Company, whether by its officers, employees, directors, or any third party doing business on behalf of the Company, it is your responsibility to promptly report the matter to your supervisor or to the General Counsel. While it is the Company’s desire to address matters internally, nothing in this Code should discourage you from reporting any illegal activity, including any violation of the securities laws, antitrust laws, environmental laws or any other federal, state or foreign law, rule or regulation, to the appropriate regulatory authority. Employees, officers, directors and designated agents shall not discharge, demote, suspend, threaten, harass or in any other manner discriminate or retaliate against an employee because he or she reports any such violation, unless it is determined that the report was made with knowledge that it was false. This Code should not be construed to prohibit you from testifying, participating or otherwise assisting in any state or federal administrative, judicial or legislative proceeding or investigation.</w:t>
      </w:r>
    </w:p>
    <w:p>
      <w:pPr>
        <w:spacing w:after="0" w:line="176" w:lineRule="exact"/>
        <w:rPr>
          <w:sz w:val="20"/>
          <w:szCs w:val="20"/>
          <w:color w:val="auto"/>
        </w:rPr>
      </w:pPr>
    </w:p>
    <w:p>
      <w:pPr>
        <w:ind w:left="562" w:hanging="562"/>
        <w:spacing w:after="0"/>
        <w:tabs>
          <w:tab w:leader="none" w:pos="562" w:val="left"/>
        </w:tabs>
        <w:numPr>
          <w:ilvl w:val="0"/>
          <w:numId w:val="2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Conflicts of Interest</w:t>
      </w:r>
    </w:p>
    <w:p>
      <w:pPr>
        <w:spacing w:after="0" w:line="211" w:lineRule="exact"/>
        <w:rPr>
          <w:sz w:val="20"/>
          <w:szCs w:val="20"/>
          <w:color w:val="auto"/>
        </w:rPr>
      </w:pPr>
    </w:p>
    <w:p>
      <w:pPr>
        <w:ind w:left="2" w:right="20" w:firstLine="564"/>
        <w:spacing w:after="0" w:line="259" w:lineRule="auto"/>
        <w:rPr>
          <w:sz w:val="20"/>
          <w:szCs w:val="20"/>
          <w:color w:val="auto"/>
        </w:rPr>
      </w:pPr>
      <w:r>
        <w:rPr>
          <w:rFonts w:ascii="Times New Roman" w:cs="Times New Roman" w:eastAsia="Times New Roman" w:hAnsi="Times New Roman"/>
          <w:sz w:val="18"/>
          <w:szCs w:val="18"/>
          <w:color w:val="auto"/>
        </w:rPr>
        <w:t>The Company recognizes and respects the right of its directors, officers, employees and designated agents to engage in outside activities that they may deem proper and desirable, provided that these activities do not impair or interfere with the performance of their duties to the Company or their ability to act in the Company’s best interests. In most, if not all, cases this will mean that our directors, officers and employees must avoid situations that present a potential or actual conflict between their personal interests and the Company’s interests.</w:t>
      </w:r>
    </w:p>
    <w:p>
      <w:pPr>
        <w:spacing w:after="0" w:line="163" w:lineRule="exact"/>
        <w:rPr>
          <w:sz w:val="20"/>
          <w:szCs w:val="20"/>
          <w:color w:val="auto"/>
        </w:rPr>
      </w:pPr>
    </w:p>
    <w:p>
      <w:pPr>
        <w:ind w:left="2" w:firstLine="564"/>
        <w:spacing w:after="0" w:line="237" w:lineRule="auto"/>
        <w:rPr>
          <w:sz w:val="20"/>
          <w:szCs w:val="20"/>
          <w:color w:val="auto"/>
        </w:rPr>
      </w:pPr>
      <w:r>
        <w:rPr>
          <w:rFonts w:ascii="Times New Roman" w:cs="Times New Roman" w:eastAsia="Times New Roman" w:hAnsi="Times New Roman"/>
          <w:sz w:val="19"/>
          <w:szCs w:val="19"/>
          <w:color w:val="auto"/>
        </w:rPr>
        <w:t>A “conflict of interest” occurs when a director’s, officer’s, employee’s or designated agent’s personal interest interferes with the Company’s interests. Conflicts of interest can arise in many situations. For example, conflicts of interest can arise when a director, officer or employee takes an action or has an outside interest, responsibility or obligation that can make it difficult for him or her to perform the responsibilities of his or her position objectively or effectively in the Company’s best interests. Conflicts of interest can also occur when a director, officer, employee or designated agent or his or her immediate family member receives some personal benefit (whether improper or not) as a result of the director’s, officer’s, employee’s or designated agent’s position with the Company. Each individual’s situation is different and in evaluating his or her own situation, a director, officer or employee will have to consider many factors.</w:t>
      </w:r>
    </w:p>
    <w:p>
      <w:pPr>
        <w:spacing w:after="0" w:line="181" w:lineRule="exact"/>
        <w:rPr>
          <w:sz w:val="20"/>
          <w:szCs w:val="20"/>
          <w:color w:val="auto"/>
        </w:rPr>
      </w:pPr>
    </w:p>
    <w:p>
      <w:pPr>
        <w:ind w:left="2" w:right="260" w:firstLine="564"/>
        <w:spacing w:after="0" w:line="239" w:lineRule="auto"/>
        <w:rPr>
          <w:sz w:val="20"/>
          <w:szCs w:val="20"/>
          <w:color w:val="auto"/>
        </w:rPr>
      </w:pPr>
      <w:r>
        <w:rPr>
          <w:rFonts w:ascii="Times New Roman" w:cs="Times New Roman" w:eastAsia="Times New Roman" w:hAnsi="Times New Roman"/>
          <w:sz w:val="19"/>
          <w:szCs w:val="19"/>
          <w:color w:val="auto"/>
        </w:rPr>
        <w:t>Any material transaction, responsibility, obligation, or relationship that reasonably could be expected to give rise to a conflict of interest should be reported promptly to the Compliance Officer, who may notify the Board or a committee of the Board as he or she deems appropriate. Actual or potential conflicts of interest involving a director or executive officer other than the Compliance Officer should be disclosed directly to the Compliance Officer. Actual or potential conflicts of interest involving the Compliance Officer should be disclosed directly to the Chief Executive Officer.</w:t>
      </w:r>
    </w:p>
    <w:p>
      <w:pPr>
        <w:spacing w:after="0" w:line="185" w:lineRule="exact"/>
        <w:rPr>
          <w:sz w:val="20"/>
          <w:szCs w:val="20"/>
          <w:color w:val="auto"/>
        </w:rPr>
      </w:pPr>
    </w:p>
    <w:p>
      <w:pPr>
        <w:ind w:left="562" w:hanging="562"/>
        <w:spacing w:after="0"/>
        <w:tabs>
          <w:tab w:leader="none" w:pos="562" w:val="left"/>
        </w:tabs>
        <w:numPr>
          <w:ilvl w:val="0"/>
          <w:numId w:val="2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Insider Trading</w:t>
      </w:r>
    </w:p>
    <w:p>
      <w:pPr>
        <w:spacing w:after="0" w:line="211" w:lineRule="exact"/>
        <w:rPr>
          <w:sz w:val="20"/>
          <w:szCs w:val="20"/>
          <w:color w:val="auto"/>
        </w:rPr>
      </w:pPr>
    </w:p>
    <w:p>
      <w:pPr>
        <w:ind w:left="2" w:right="280" w:firstLine="564"/>
        <w:spacing w:after="0" w:line="238" w:lineRule="auto"/>
        <w:rPr>
          <w:sz w:val="20"/>
          <w:szCs w:val="20"/>
          <w:color w:val="auto"/>
        </w:rPr>
      </w:pPr>
      <w:r>
        <w:rPr>
          <w:rFonts w:ascii="Times New Roman" w:cs="Times New Roman" w:eastAsia="Times New Roman" w:hAnsi="Times New Roman"/>
          <w:sz w:val="19"/>
          <w:szCs w:val="19"/>
          <w:color w:val="auto"/>
        </w:rPr>
        <w:t>Employees, officers, directors and designated agents who have material non-public information about the Company or other companies, including our suppliers and customers, as a result of their relationship with the Company are prohibited by law and Company policy from trading in securities of the Company or such other companies, as well as from communicating such information to others who might trade on the basis of that information. To help ensure that you do not engage in prohibited insider trading and avoid even the appearance of an improper transaction, the Company has adopted an Insider Trading Policy, which is distributed to employees and is also available from the Legal Department.</w:t>
      </w:r>
    </w:p>
    <w:p>
      <w:pPr>
        <w:spacing w:after="0" w:line="335" w:lineRule="exact"/>
        <w:rPr>
          <w:sz w:val="20"/>
          <w:szCs w:val="20"/>
          <w:color w:val="auto"/>
        </w:rPr>
      </w:pPr>
    </w:p>
    <w:p>
      <w:pPr>
        <w:jc w:val="center"/>
        <w:ind w:right="538"/>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7150100" cy="146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2"/>
          </w:cols>
          <w:pgMar w:left="878" w:top="116" w:right="339" w:bottom="1440" w:gutter="0" w:footer="0" w:header="0"/>
        </w:sectPr>
      </w:pPr>
    </w:p>
    <w:bookmarkStart w:id="254" w:name="page255"/>
    <w:bookmarkEnd w:id="254"/>
    <w:p>
      <w:pPr>
        <w:jc w:val="both"/>
        <w:ind w:left="2" w:right="180" w:firstLine="564"/>
        <w:spacing w:after="0" w:line="246" w:lineRule="auto"/>
        <w:rPr>
          <w:sz w:val="20"/>
          <w:szCs w:val="20"/>
          <w:color w:val="auto"/>
        </w:rPr>
      </w:pPr>
      <w:r>
        <w:rPr>
          <w:rFonts w:ascii="Times New Roman" w:cs="Times New Roman" w:eastAsia="Times New Roman" w:hAnsi="Times New Roman"/>
          <w:sz w:val="19"/>
          <w:szCs w:val="19"/>
          <w:color w:val="auto"/>
        </w:rPr>
        <w:t>If you are uncertain about the constraints on your purchase or sale of any Company securities or the securities of any other company that you are familiar with by virtue of your relationship with the Company, you should consult with the General Counsel before making any such purchase or sale.</w:t>
      </w:r>
    </w:p>
    <w:p>
      <w:pPr>
        <w:spacing w:after="0" w:line="179" w:lineRule="exact"/>
        <w:rPr>
          <w:sz w:val="20"/>
          <w:szCs w:val="20"/>
          <w:color w:val="auto"/>
        </w:rPr>
      </w:pPr>
    </w:p>
    <w:p>
      <w:pPr>
        <w:ind w:left="562" w:hanging="562"/>
        <w:spacing w:after="0"/>
        <w:tabs>
          <w:tab w:leader="none" w:pos="562" w:val="left"/>
        </w:tabs>
        <w:numPr>
          <w:ilvl w:val="0"/>
          <w:numId w:val="2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Confidentiality</w:t>
      </w:r>
    </w:p>
    <w:p>
      <w:pPr>
        <w:spacing w:after="0" w:line="211" w:lineRule="exact"/>
        <w:rPr>
          <w:sz w:val="20"/>
          <w:szCs w:val="20"/>
          <w:color w:val="auto"/>
        </w:rPr>
      </w:pPr>
    </w:p>
    <w:p>
      <w:pPr>
        <w:ind w:left="2" w:right="20" w:firstLine="564"/>
        <w:spacing w:after="0" w:line="236" w:lineRule="auto"/>
        <w:rPr>
          <w:sz w:val="20"/>
          <w:szCs w:val="20"/>
          <w:color w:val="auto"/>
        </w:rPr>
      </w:pPr>
      <w:r>
        <w:rPr>
          <w:rFonts w:ascii="Times New Roman" w:cs="Times New Roman" w:eastAsia="Times New Roman" w:hAnsi="Times New Roman"/>
          <w:sz w:val="19"/>
          <w:szCs w:val="19"/>
          <w:color w:val="auto"/>
        </w:rPr>
        <w:t>Employees, officers, directors and designated agents must maintain the confidentiality of confidential information entrusted to them by the Company or other companies, including our suppliers and customers, except when disclosure is authorized by a supervisor or legally mandated. Unauthorized disclosure of any confidential information is prohibited. Additionally, directors, officers, employees and designated agents should take appropriate precautions to ensure that confidential or sensitive business information, whether it is proprietary to the Company or another company, is not communicated within the Company except to directors, officers, employees and designated agents who have a need to know such information to perform their responsibilities for the Company. Directors that are affiliated with our current stockholders may disclose information to such stockholders, subject in all respects to those directors’ duties to the Company and all stockholders under Delaware law as well as those directors’ and affiliates stockholders’ compliance with applicable securities laws and our Insider Trading Policy.</w:t>
      </w:r>
    </w:p>
    <w:p>
      <w:pPr>
        <w:spacing w:after="0" w:line="180" w:lineRule="exact"/>
        <w:rPr>
          <w:sz w:val="20"/>
          <w:szCs w:val="20"/>
          <w:color w:val="auto"/>
        </w:rPr>
      </w:pPr>
    </w:p>
    <w:p>
      <w:pPr>
        <w:ind w:left="2" w:firstLine="564"/>
        <w:spacing w:after="0" w:line="236" w:lineRule="auto"/>
        <w:rPr>
          <w:sz w:val="20"/>
          <w:szCs w:val="20"/>
          <w:color w:val="auto"/>
        </w:rPr>
      </w:pPr>
      <w:r>
        <w:rPr>
          <w:rFonts w:ascii="Times New Roman" w:cs="Times New Roman" w:eastAsia="Times New Roman" w:hAnsi="Times New Roman"/>
          <w:sz w:val="19"/>
          <w:szCs w:val="19"/>
          <w:color w:val="auto"/>
        </w:rPr>
        <w:t>Third parties may ask you for information concerning the Company. Subject to the exceptions noted in the preceding paragraph, employees, officers, directors and designated agents (other than the Company’s authorized spokespersons) must not discuss internal Company matters with, or disseminate internal Company information to, anyone outside the Company, except as required in the performance of their Company duties and, if appropriate, after a confidentiality agreement is in place. This prohibition applies particularly to inquiries concerning the Company from the media, market professionals (such as securities analysts, institutional investors, investment advisers, brokers and dealers) and security holders. All responses to inquiries on behalf of the Company must be made only by the Company’s authorized spokespersons. If you receive any inquiries of this nature, you must decline to comment and refer the inquirer to your supervisor or one of the Company’s authorized spokespersons. The Company’s policies with respect to public disclosure of internal matters are described more fully in the Company’s Disclosure Policy, which is available on the Company’s Intranet.</w:t>
      </w:r>
    </w:p>
    <w:p>
      <w:pPr>
        <w:spacing w:after="0" w:line="180" w:lineRule="exact"/>
        <w:rPr>
          <w:sz w:val="20"/>
          <w:szCs w:val="20"/>
          <w:color w:val="auto"/>
        </w:rPr>
      </w:pPr>
    </w:p>
    <w:p>
      <w:pPr>
        <w:ind w:left="2" w:right="140" w:firstLine="564"/>
        <w:spacing w:after="0" w:line="245" w:lineRule="auto"/>
        <w:rPr>
          <w:sz w:val="20"/>
          <w:szCs w:val="20"/>
          <w:color w:val="auto"/>
        </w:rPr>
      </w:pPr>
      <w:r>
        <w:rPr>
          <w:rFonts w:ascii="Times New Roman" w:cs="Times New Roman" w:eastAsia="Times New Roman" w:hAnsi="Times New Roman"/>
          <w:sz w:val="19"/>
          <w:szCs w:val="19"/>
          <w:color w:val="auto"/>
        </w:rPr>
        <w:t>You also must abide by any lawful obligations that you have to your former employer. These obligations may include restrictions on the use and disclosure of confidential information, restrictions on the solicitation of former colleagues to work at the Company and non-competition obligations.</w:t>
      </w:r>
    </w:p>
    <w:p>
      <w:pPr>
        <w:spacing w:after="0" w:line="332" w:lineRule="exact"/>
        <w:rPr>
          <w:sz w:val="20"/>
          <w:szCs w:val="20"/>
          <w:color w:val="auto"/>
        </w:rPr>
      </w:pPr>
    </w:p>
    <w:p>
      <w:pPr>
        <w:jc w:val="center"/>
        <w:ind w:right="538"/>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7150100" cy="146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2"/>
          </w:cols>
          <w:pgMar w:left="878" w:top="116" w:right="339" w:bottom="1440" w:gutter="0" w:footer="0" w:header="0"/>
        </w:sectPr>
      </w:pPr>
    </w:p>
    <w:bookmarkStart w:id="255" w:name="page256"/>
    <w:bookmarkEnd w:id="255"/>
    <w:p>
      <w:pPr>
        <w:ind w:left="562" w:hanging="562"/>
        <w:spacing w:after="0"/>
        <w:tabs>
          <w:tab w:leader="none" w:pos="562" w:val="left"/>
        </w:tabs>
        <w:numPr>
          <w:ilvl w:val="0"/>
          <w:numId w:val="2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Honest and Ethical Conduct and Fair Dealing</w:t>
      </w:r>
    </w:p>
    <w:p>
      <w:pPr>
        <w:spacing w:after="0" w:line="211" w:lineRule="exact"/>
        <w:rPr>
          <w:sz w:val="20"/>
          <w:szCs w:val="20"/>
          <w:color w:val="auto"/>
        </w:rPr>
      </w:pPr>
    </w:p>
    <w:p>
      <w:pPr>
        <w:ind w:left="2" w:firstLine="564"/>
        <w:spacing w:after="0" w:line="241" w:lineRule="auto"/>
        <w:rPr>
          <w:sz w:val="20"/>
          <w:szCs w:val="20"/>
          <w:color w:val="auto"/>
        </w:rPr>
      </w:pPr>
      <w:r>
        <w:rPr>
          <w:rFonts w:ascii="Times New Roman" w:cs="Times New Roman" w:eastAsia="Times New Roman" w:hAnsi="Times New Roman"/>
          <w:sz w:val="19"/>
          <w:szCs w:val="19"/>
          <w:color w:val="auto"/>
        </w:rPr>
        <w:t>Employees, officers, directors and designated agents should endeavor to deal honestly, ethically and fairly with the Company’s suppliers, customers, competitors and employees. Statements regarding the Company’s products and services must not be untrue, misleading, deceptive or fraudulent. You must not take unfair advantage of anyone through manipulation, concealment, abuse of privileged information, misrepresentation of material facts or any other unfair-dealing practice.</w:t>
      </w:r>
    </w:p>
    <w:p>
      <w:pPr>
        <w:spacing w:after="0" w:line="184" w:lineRule="exact"/>
        <w:rPr>
          <w:sz w:val="20"/>
          <w:szCs w:val="20"/>
          <w:color w:val="auto"/>
        </w:rPr>
      </w:pPr>
    </w:p>
    <w:p>
      <w:pPr>
        <w:ind w:left="562" w:hanging="562"/>
        <w:spacing w:after="0"/>
        <w:tabs>
          <w:tab w:leader="none" w:pos="562" w:val="left"/>
        </w:tabs>
        <w:numPr>
          <w:ilvl w:val="0"/>
          <w:numId w:val="2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Protection and Proper Use of Corporate Assets</w:t>
      </w:r>
    </w:p>
    <w:p>
      <w:pPr>
        <w:spacing w:after="0" w:line="211" w:lineRule="exact"/>
        <w:rPr>
          <w:sz w:val="20"/>
          <w:szCs w:val="20"/>
          <w:color w:val="auto"/>
        </w:rPr>
      </w:pPr>
    </w:p>
    <w:p>
      <w:pPr>
        <w:ind w:left="2" w:right="60" w:firstLine="564"/>
        <w:spacing w:after="0" w:line="245" w:lineRule="auto"/>
        <w:rPr>
          <w:sz w:val="20"/>
          <w:szCs w:val="20"/>
          <w:color w:val="auto"/>
        </w:rPr>
      </w:pPr>
      <w:r>
        <w:rPr>
          <w:rFonts w:ascii="Times New Roman" w:cs="Times New Roman" w:eastAsia="Times New Roman" w:hAnsi="Times New Roman"/>
          <w:sz w:val="19"/>
          <w:szCs w:val="19"/>
          <w:color w:val="auto"/>
        </w:rPr>
        <w:t>Employees, officers, directors and designated agents should seek to protect the Company’s assets. Theft, carelessness and waste have a direct impact on the Company’s financial performance. Employees, officers and directors must use the Company’s assets and services solely for legitimate business purposes of the Company and not for any personal benefit or the personal benefit of anyone else.</w:t>
      </w:r>
    </w:p>
    <w:p>
      <w:pPr>
        <w:spacing w:after="0" w:line="181" w:lineRule="exact"/>
        <w:rPr>
          <w:sz w:val="20"/>
          <w:szCs w:val="20"/>
          <w:color w:val="auto"/>
        </w:rPr>
      </w:pPr>
    </w:p>
    <w:p>
      <w:pPr>
        <w:ind w:left="562" w:hanging="562"/>
        <w:spacing w:after="0"/>
        <w:tabs>
          <w:tab w:leader="none" w:pos="562" w:val="left"/>
        </w:tabs>
        <w:numPr>
          <w:ilvl w:val="0"/>
          <w:numId w:val="2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Opportunities</w:t>
      </w:r>
    </w:p>
    <w:p>
      <w:pPr>
        <w:spacing w:after="0" w:line="211" w:lineRule="exact"/>
        <w:rPr>
          <w:sz w:val="20"/>
          <w:szCs w:val="20"/>
          <w:color w:val="auto"/>
        </w:rPr>
      </w:pPr>
    </w:p>
    <w:p>
      <w:pPr>
        <w:ind w:left="2" w:right="80" w:firstLine="564"/>
        <w:spacing w:after="0" w:line="259" w:lineRule="auto"/>
        <w:rPr>
          <w:sz w:val="20"/>
          <w:szCs w:val="20"/>
          <w:color w:val="auto"/>
        </w:rPr>
      </w:pPr>
      <w:r>
        <w:rPr>
          <w:rFonts w:ascii="Times New Roman" w:cs="Times New Roman" w:eastAsia="Times New Roman" w:hAnsi="Times New Roman"/>
          <w:sz w:val="19"/>
          <w:szCs w:val="19"/>
          <w:color w:val="auto"/>
        </w:rPr>
        <w:t>Directors, officers, employees and designated agents owe a duty to the Company to advance its legitimate business interests when the opportunity to do so arises. Each employee, officer and director is prohibited from:</w:t>
      </w:r>
    </w:p>
    <w:p>
      <w:pPr>
        <w:spacing w:after="0" w:line="162" w:lineRule="exact"/>
        <w:rPr>
          <w:sz w:val="20"/>
          <w:szCs w:val="20"/>
          <w:color w:val="auto"/>
        </w:rPr>
      </w:pPr>
    </w:p>
    <w:p>
      <w:pPr>
        <w:ind w:left="562" w:right="160" w:firstLine="565"/>
        <w:spacing w:after="0" w:line="245" w:lineRule="auto"/>
        <w:tabs>
          <w:tab w:leader="none" w:pos="1661"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diverting to himself or herself or to others any opportunities that are discovered through the use of the Company’s property or information or as a result of his or her position with the Company unless that opportunity has first been presented to, and rejected by, the Company;</w:t>
      </w:r>
    </w:p>
    <w:p>
      <w:pPr>
        <w:spacing w:after="0" w:line="176" w:lineRule="exact"/>
        <w:rPr>
          <w:rFonts w:ascii="Times New Roman" w:cs="Times New Roman" w:eastAsia="Times New Roman" w:hAnsi="Times New Roman"/>
          <w:sz w:val="19"/>
          <w:szCs w:val="19"/>
          <w:color w:val="auto"/>
        </w:rPr>
      </w:pPr>
    </w:p>
    <w:p>
      <w:pPr>
        <w:ind w:left="1662" w:hanging="535"/>
        <w:spacing w:after="0"/>
        <w:tabs>
          <w:tab w:leader="none" w:pos="1662"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the Company’s property or information or his or her position for improper personal gain; or</w:t>
      </w:r>
    </w:p>
    <w:p>
      <w:pPr>
        <w:spacing w:after="0" w:line="204" w:lineRule="exact"/>
        <w:rPr>
          <w:rFonts w:ascii="Times New Roman" w:cs="Times New Roman" w:eastAsia="Times New Roman" w:hAnsi="Times New Roman"/>
          <w:sz w:val="19"/>
          <w:szCs w:val="19"/>
          <w:color w:val="auto"/>
        </w:rPr>
      </w:pPr>
    </w:p>
    <w:p>
      <w:pPr>
        <w:ind w:left="1662" w:hanging="535"/>
        <w:spacing w:after="0"/>
        <w:tabs>
          <w:tab w:leader="none" w:pos="1662"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competing with the Company.</w:t>
      </w:r>
    </w:p>
    <w:p>
      <w:pPr>
        <w:spacing w:after="0" w:line="204" w:lineRule="exact"/>
        <w:rPr>
          <w:sz w:val="20"/>
          <w:szCs w:val="20"/>
          <w:color w:val="auto"/>
        </w:rPr>
      </w:pPr>
    </w:p>
    <w:p>
      <w:pPr>
        <w:ind w:left="2" w:right="140" w:firstLine="564"/>
        <w:spacing w:after="0" w:line="239" w:lineRule="auto"/>
        <w:rPr>
          <w:sz w:val="20"/>
          <w:szCs w:val="20"/>
          <w:color w:val="auto"/>
        </w:rPr>
      </w:pPr>
      <w:r>
        <w:rPr>
          <w:rFonts w:ascii="Times New Roman" w:cs="Times New Roman" w:eastAsia="Times New Roman" w:hAnsi="Times New Roman"/>
          <w:sz w:val="19"/>
          <w:szCs w:val="19"/>
          <w:color w:val="auto"/>
        </w:rPr>
        <w:t>Notwithstanding the foregoing, nothing in this Code will preclude or in any way restrict a member of the Board who is serving as a member of the Board at the request or direction of a venture capital fund or other entity and/or certain of its affiliates from conducting the business of venture capital investing (including, but not limited to, reviewing business plans and other materials containing proprietary information of many enterprises, including enterprises which may have products or services that compete directly or indirectly with those of the Company).</w:t>
      </w:r>
    </w:p>
    <w:p>
      <w:pPr>
        <w:spacing w:after="0" w:line="185" w:lineRule="exact"/>
        <w:rPr>
          <w:sz w:val="20"/>
          <w:szCs w:val="20"/>
          <w:color w:val="auto"/>
        </w:rPr>
      </w:pPr>
    </w:p>
    <w:p>
      <w:pPr>
        <w:ind w:left="562" w:hanging="562"/>
        <w:spacing w:after="0"/>
        <w:tabs>
          <w:tab w:leader="none" w:pos="562" w:val="left"/>
        </w:tabs>
        <w:numPr>
          <w:ilvl w:val="0"/>
          <w:numId w:val="2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Political Contributions</w:t>
      </w:r>
    </w:p>
    <w:p>
      <w:pPr>
        <w:spacing w:after="0" w:line="211" w:lineRule="exact"/>
        <w:rPr>
          <w:sz w:val="20"/>
          <w:szCs w:val="20"/>
          <w:color w:val="auto"/>
        </w:rPr>
      </w:pPr>
    </w:p>
    <w:p>
      <w:pPr>
        <w:ind w:left="2" w:right="60" w:firstLine="564"/>
        <w:spacing w:after="0" w:line="238" w:lineRule="auto"/>
        <w:rPr>
          <w:sz w:val="20"/>
          <w:szCs w:val="20"/>
          <w:color w:val="auto"/>
        </w:rPr>
      </w:pPr>
      <w:r>
        <w:rPr>
          <w:rFonts w:ascii="Times New Roman" w:cs="Times New Roman" w:eastAsia="Times New Roman" w:hAnsi="Times New Roman"/>
          <w:sz w:val="19"/>
          <w:szCs w:val="19"/>
          <w:color w:val="auto"/>
        </w:rPr>
        <w:t>Business contributions to political campaigns are strictly regulated by federal, state, provincial and local law in the U.S. and many other jurisdictions. Accordingly, all political contributions proposed to be made with the Company’s funds must be coordinated through and approved by the Compliance Officer. Directors, officers, employees and designated agents may not, without the approval of the Compliance Officer, use any Company funds for political contributions of any kind to any political candidate or holder of any national, state or local government office. Directors, officers, employees and designated agents may make personal contributions, but should not represent that they are making contributions on the Company’s behalf. Specific questions should be directed to the Compliance Officer.</w:t>
      </w:r>
    </w:p>
    <w:p>
      <w:pPr>
        <w:spacing w:after="0" w:line="335" w:lineRule="exact"/>
        <w:rPr>
          <w:sz w:val="20"/>
          <w:szCs w:val="20"/>
          <w:color w:val="auto"/>
        </w:rPr>
      </w:pPr>
    </w:p>
    <w:p>
      <w:pPr>
        <w:jc w:val="center"/>
        <w:ind w:right="538"/>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7150100" cy="146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2"/>
          </w:cols>
          <w:pgMar w:left="878" w:top="121" w:right="339" w:bottom="1440" w:gutter="0" w:footer="0" w:header="0"/>
        </w:sectPr>
      </w:pPr>
    </w:p>
    <w:bookmarkStart w:id="256" w:name="page257"/>
    <w:bookmarkEnd w:id="256"/>
    <w:p>
      <w:pPr>
        <w:ind w:left="1120" w:hanging="562"/>
        <w:spacing w:after="0"/>
        <w:tabs>
          <w:tab w:leader="none" w:pos="1120" w:val="left"/>
        </w:tabs>
        <w:numPr>
          <w:ilvl w:val="0"/>
          <w:numId w:val="2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Gifts</w:t>
      </w:r>
    </w:p>
    <w:p>
      <w:pPr>
        <w:spacing w:after="0" w:line="211" w:lineRule="exact"/>
        <w:rPr>
          <w:sz w:val="20"/>
          <w:szCs w:val="20"/>
          <w:color w:val="auto"/>
        </w:rPr>
      </w:pPr>
    </w:p>
    <w:p>
      <w:pPr>
        <w:ind w:right="520" w:firstLine="564"/>
        <w:spacing w:after="0" w:line="259" w:lineRule="auto"/>
        <w:rPr>
          <w:sz w:val="20"/>
          <w:szCs w:val="20"/>
          <w:color w:val="auto"/>
        </w:rPr>
      </w:pPr>
      <w:r>
        <w:rPr>
          <w:rFonts w:ascii="Times New Roman" w:cs="Times New Roman" w:eastAsia="Times New Roman" w:hAnsi="Times New Roman"/>
          <w:sz w:val="19"/>
          <w:szCs w:val="19"/>
          <w:color w:val="auto"/>
        </w:rPr>
        <w:t>Generally, giving or receiving gifts (including discounts, coupons, and other offers not available to the public in general), meals, travel, lodging, or entertainment involving the Company’s external business relationships should meet all of the following criteria:</w:t>
      </w:r>
    </w:p>
    <w:p>
      <w:pPr>
        <w:spacing w:after="0" w:line="169" w:lineRule="exact"/>
        <w:rPr>
          <w:sz w:val="20"/>
          <w:szCs w:val="20"/>
          <w:color w:val="auto"/>
        </w:rPr>
      </w:pPr>
    </w:p>
    <w:p>
      <w:pPr>
        <w:ind w:left="1120" w:hanging="281"/>
        <w:spacing w:after="0"/>
        <w:tabs>
          <w:tab w:leader="none" w:pos="112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do not violate applicable law or the Company’s policies;</w:t>
      </w:r>
    </w:p>
    <w:p>
      <w:pPr>
        <w:spacing w:after="0" w:line="215"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do not constitute a bribe, kickback, or other improper payment;</w:t>
      </w:r>
    </w:p>
    <w:p>
      <w:pPr>
        <w:spacing w:after="0" w:line="215"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have a valid business purpose;</w:t>
      </w:r>
    </w:p>
    <w:p>
      <w:pPr>
        <w:spacing w:after="0" w:line="215"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are appropriate as to time, place, value (modest; not lavish or extravagant);</w:t>
      </w:r>
    </w:p>
    <w:p>
      <w:pPr>
        <w:spacing w:after="0" w:line="215"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are infrequent; and</w:t>
      </w:r>
    </w:p>
    <w:p>
      <w:pPr>
        <w:spacing w:after="0" w:line="215" w:lineRule="exact"/>
        <w:rPr>
          <w:rFonts w:ascii="Times New Roman" w:cs="Times New Roman" w:eastAsia="Times New Roman" w:hAnsi="Times New Roman"/>
          <w:sz w:val="16"/>
          <w:szCs w:val="16"/>
          <w:color w:val="auto"/>
        </w:rPr>
      </w:pPr>
    </w:p>
    <w:p>
      <w:pPr>
        <w:ind w:left="1120" w:hanging="281"/>
        <w:spacing w:after="0"/>
        <w:tabs>
          <w:tab w:leader="none" w:pos="112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do not influence or appear to influence the behavior of the recipient.</w:t>
      </w:r>
    </w:p>
    <w:p>
      <w:pPr>
        <w:spacing w:after="0" w:line="21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J.</w:t>
      </w:r>
      <w:r>
        <w:rPr>
          <w:rFonts w:ascii="Times New Roman" w:cs="Times New Roman" w:eastAsia="Times New Roman" w:hAnsi="Times New Roman"/>
          <w:sz w:val="15"/>
          <w:szCs w:val="15"/>
          <w:b w:val="1"/>
          <w:bCs w:val="1"/>
          <w:color w:val="auto"/>
        </w:rPr>
        <w:t>Bribes, Kickbacks and Other Improper Payments</w:t>
      </w:r>
    </w:p>
    <w:p>
      <w:pPr>
        <w:spacing w:after="0" w:line="211" w:lineRule="exact"/>
        <w:rPr>
          <w:sz w:val="20"/>
          <w:szCs w:val="20"/>
          <w:color w:val="auto"/>
        </w:rPr>
      </w:pPr>
    </w:p>
    <w:p>
      <w:pPr>
        <w:ind w:left="560" w:right="80" w:firstLine="564"/>
        <w:spacing w:after="0" w:line="245" w:lineRule="auto"/>
        <w:rPr>
          <w:sz w:val="20"/>
          <w:szCs w:val="20"/>
          <w:color w:val="auto"/>
        </w:rPr>
      </w:pPr>
      <w:r>
        <w:rPr>
          <w:rFonts w:ascii="Times New Roman" w:cs="Times New Roman" w:eastAsia="Times New Roman" w:hAnsi="Times New Roman"/>
          <w:sz w:val="19"/>
          <w:szCs w:val="19"/>
          <w:color w:val="auto"/>
        </w:rPr>
        <w:t>The Company does not permit or condone bribes, kickbacks or other improper payments, transfers or receipts. No director, officer, employee or designated agent should offer, give, solicit or receive any money or other item of value for the purpose of obtaining, retaining or directing business or bestowing or receiving any kind of favored treatment.</w:t>
      </w:r>
    </w:p>
    <w:p>
      <w:pPr>
        <w:spacing w:after="0" w:line="181" w:lineRule="exact"/>
        <w:rPr>
          <w:sz w:val="20"/>
          <w:szCs w:val="20"/>
          <w:color w:val="auto"/>
        </w:rPr>
      </w:pPr>
    </w:p>
    <w:p>
      <w:pPr>
        <w:ind w:left="1120" w:hanging="562"/>
        <w:spacing w:after="0"/>
        <w:tabs>
          <w:tab w:leader="none" w:pos="1120" w:val="left"/>
        </w:tabs>
        <w:numPr>
          <w:ilvl w:val="0"/>
          <w:numId w:val="3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International Trade Controls</w:t>
      </w:r>
    </w:p>
    <w:p>
      <w:pPr>
        <w:spacing w:after="0" w:line="211" w:lineRule="exact"/>
        <w:rPr>
          <w:sz w:val="20"/>
          <w:szCs w:val="20"/>
          <w:color w:val="auto"/>
        </w:rPr>
      </w:pPr>
    </w:p>
    <w:p>
      <w:pPr>
        <w:ind w:left="560" w:firstLine="564"/>
        <w:spacing w:after="0" w:line="241" w:lineRule="auto"/>
        <w:rPr>
          <w:sz w:val="20"/>
          <w:szCs w:val="20"/>
          <w:color w:val="auto"/>
        </w:rPr>
      </w:pPr>
      <w:r>
        <w:rPr>
          <w:rFonts w:ascii="Times New Roman" w:cs="Times New Roman" w:eastAsia="Times New Roman" w:hAnsi="Times New Roman"/>
          <w:sz w:val="19"/>
          <w:szCs w:val="19"/>
          <w:color w:val="auto"/>
        </w:rPr>
        <w:t>Many countries regulate international trade transactions, such as imports, exports and international financial transactions and prohibit boycotts against countries or firms that may be “blacklisted” by certain groups or countries. The Company’s policy is to comply with these regulations and prohibitions even if compliance may result in the loss of some business opportunities. Employees should learn and understand the extent to which international trade controls apply to transactions conducted by the Company.</w:t>
      </w:r>
    </w:p>
    <w:p>
      <w:pPr>
        <w:spacing w:after="0" w:line="184" w:lineRule="exact"/>
        <w:rPr>
          <w:sz w:val="20"/>
          <w:szCs w:val="20"/>
          <w:color w:val="auto"/>
        </w:rPr>
      </w:pPr>
    </w:p>
    <w:p>
      <w:pPr>
        <w:ind w:left="1120" w:hanging="562"/>
        <w:spacing w:after="0"/>
        <w:tabs>
          <w:tab w:leader="none" w:pos="1120" w:val="left"/>
        </w:tabs>
        <w:numPr>
          <w:ilvl w:val="0"/>
          <w:numId w:val="3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Accuracy of Records</w:t>
      </w:r>
    </w:p>
    <w:p>
      <w:pPr>
        <w:spacing w:after="0" w:line="211" w:lineRule="exact"/>
        <w:rPr>
          <w:sz w:val="20"/>
          <w:szCs w:val="20"/>
          <w:color w:val="auto"/>
        </w:rPr>
      </w:pPr>
    </w:p>
    <w:p>
      <w:pPr>
        <w:ind w:left="560" w:right="640" w:firstLine="564"/>
        <w:spacing w:after="0" w:line="245" w:lineRule="auto"/>
        <w:rPr>
          <w:sz w:val="20"/>
          <w:szCs w:val="20"/>
          <w:color w:val="auto"/>
        </w:rPr>
      </w:pPr>
      <w:r>
        <w:rPr>
          <w:rFonts w:ascii="Times New Roman" w:cs="Times New Roman" w:eastAsia="Times New Roman" w:hAnsi="Times New Roman"/>
          <w:sz w:val="19"/>
          <w:szCs w:val="19"/>
          <w:color w:val="auto"/>
        </w:rPr>
        <w:t>Employees, officers, directors and designated agents must honestly and accurately report all business transactions. You are responsible for the accuracy of your records and reports. Accurate information is essential to the Company’s ability to meet legal and regulatory obligations.</w:t>
      </w:r>
    </w:p>
    <w:p>
      <w:pPr>
        <w:spacing w:after="0" w:line="176" w:lineRule="exact"/>
        <w:rPr>
          <w:sz w:val="20"/>
          <w:szCs w:val="20"/>
          <w:color w:val="auto"/>
        </w:rPr>
      </w:pPr>
    </w:p>
    <w:p>
      <w:pPr>
        <w:ind w:left="560" w:right="20" w:firstLine="564"/>
        <w:spacing w:after="0" w:line="239" w:lineRule="auto"/>
        <w:rPr>
          <w:sz w:val="20"/>
          <w:szCs w:val="20"/>
          <w:color w:val="auto"/>
        </w:rPr>
      </w:pPr>
      <w:r>
        <w:rPr>
          <w:rFonts w:ascii="Times New Roman" w:cs="Times New Roman" w:eastAsia="Times New Roman" w:hAnsi="Times New Roman"/>
          <w:sz w:val="19"/>
          <w:szCs w:val="19"/>
          <w:color w:val="auto"/>
        </w:rPr>
        <w:t>All Company books, records and accounts shall be maintained in accordance with all applicable regulations and standards and accurately reflect the true nature of the transactions they record. The financial statements of the Company shall conform to generally accepted accounting 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ind w:left="1126" w:hanging="562"/>
        <w:spacing w:after="0"/>
        <w:tabs>
          <w:tab w:leader="none" w:pos="1126" w:val="left"/>
        </w:tabs>
        <w:numPr>
          <w:ilvl w:val="0"/>
          <w:numId w:val="3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Quality of Public Disclosures</w:t>
      </w:r>
    </w:p>
    <w:p>
      <w:pPr>
        <w:spacing w:after="0" w:line="211" w:lineRule="exact"/>
        <w:rPr>
          <w:sz w:val="20"/>
          <w:szCs w:val="20"/>
          <w:color w:val="auto"/>
        </w:rPr>
      </w:pPr>
    </w:p>
    <w:p>
      <w:pPr>
        <w:ind w:left="566" w:right="400" w:firstLine="564"/>
        <w:spacing w:after="0" w:line="259" w:lineRule="auto"/>
        <w:rPr>
          <w:sz w:val="20"/>
          <w:szCs w:val="20"/>
          <w:color w:val="auto"/>
        </w:rPr>
      </w:pPr>
      <w:r>
        <w:rPr>
          <w:rFonts w:ascii="Times New Roman" w:cs="Times New Roman" w:eastAsia="Times New Roman" w:hAnsi="Times New Roman"/>
          <w:sz w:val="19"/>
          <w:szCs w:val="19"/>
          <w:color w:val="auto"/>
        </w:rPr>
        <w:t>It is the policy of the Company to provide full, fair, accurate, timely and understandable disclosure in reports and documents filed with, or submitted to, the Securities and Exchange Commission and in other public communications.</w:t>
      </w:r>
    </w:p>
    <w:p>
      <w:pPr>
        <w:spacing w:after="0" w:line="167" w:lineRule="exact"/>
        <w:rPr>
          <w:sz w:val="20"/>
          <w:szCs w:val="20"/>
          <w:color w:val="auto"/>
        </w:rPr>
      </w:pPr>
    </w:p>
    <w:p>
      <w:pPr>
        <w:ind w:left="566" w:hanging="566"/>
        <w:spacing w:after="0"/>
        <w:tabs>
          <w:tab w:leader="none" w:pos="566" w:val="left"/>
        </w:tabs>
        <w:numPr>
          <w:ilvl w:val="0"/>
          <w:numId w:val="3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Compliance Procedures</w:t>
      </w:r>
    </w:p>
    <w:p>
      <w:pPr>
        <w:spacing w:after="0" w:line="215" w:lineRule="exact"/>
        <w:rPr>
          <w:rFonts w:ascii="Times New Roman" w:cs="Times New Roman" w:eastAsia="Times New Roman" w:hAnsi="Times New Roman"/>
          <w:sz w:val="16"/>
          <w:szCs w:val="16"/>
          <w:b w:val="1"/>
          <w:bCs w:val="1"/>
          <w:color w:val="auto"/>
        </w:rPr>
      </w:pPr>
    </w:p>
    <w:p>
      <w:pPr>
        <w:ind w:left="566"/>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5"/>
          <w:szCs w:val="15"/>
          <w:b w:val="1"/>
          <w:bCs w:val="1"/>
          <w:color w:val="auto"/>
        </w:rPr>
        <w:t>Communication of Code</w:t>
      </w:r>
    </w:p>
    <w:p>
      <w:pPr>
        <w:spacing w:after="0" w:line="211" w:lineRule="exact"/>
        <w:rPr>
          <w:sz w:val="20"/>
          <w:szCs w:val="20"/>
          <w:color w:val="auto"/>
        </w:rPr>
      </w:pPr>
    </w:p>
    <w:p>
      <w:pPr>
        <w:ind w:left="566" w:right="200" w:firstLine="564"/>
        <w:spacing w:after="0" w:line="239" w:lineRule="auto"/>
        <w:rPr>
          <w:sz w:val="20"/>
          <w:szCs w:val="20"/>
          <w:color w:val="auto"/>
        </w:rPr>
      </w:pPr>
      <w:r>
        <w:rPr>
          <w:rFonts w:ascii="Times New Roman" w:cs="Times New Roman" w:eastAsia="Times New Roman" w:hAnsi="Times New Roman"/>
          <w:sz w:val="19"/>
          <w:szCs w:val="19"/>
          <w:color w:val="auto"/>
        </w:rPr>
        <w:t>All current directors, officers, employees and designated agents are being supplied a copy of the Code. Future directors, officers and employees will be supplied a copy of the Code when beginning service at the Company. All directors, officers and employees will be expected to review and sign an acknowledgment regarding the Code on a periodic basis. Updates of the Code, when adopted, will be promptly supplied to directors, officers and employees. Directors, officers and employees also can obtain a copy of the Code by requesting one from the human resources department or by accessing the Company’s website at https://www.discmedicine.com/.</w:t>
      </w:r>
    </w:p>
    <w:p>
      <w:pPr>
        <w:spacing w:after="0" w:line="185" w:lineRule="exact"/>
        <w:rPr>
          <w:sz w:val="20"/>
          <w:szCs w:val="20"/>
          <w:color w:val="auto"/>
        </w:rPr>
      </w:pPr>
    </w:p>
    <w:p>
      <w:pPr>
        <w:ind w:left="1126" w:hanging="562"/>
        <w:spacing w:after="0"/>
        <w:tabs>
          <w:tab w:leader="none" w:pos="1126" w:val="left"/>
        </w:tabs>
        <w:numPr>
          <w:ilvl w:val="0"/>
          <w:numId w:val="3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Monitoring Compliance and Disciplinary Action</w:t>
      </w:r>
    </w:p>
    <w:p>
      <w:pPr>
        <w:spacing w:after="0" w:line="211" w:lineRule="exact"/>
        <w:rPr>
          <w:sz w:val="20"/>
          <w:szCs w:val="20"/>
          <w:color w:val="auto"/>
        </w:rPr>
      </w:pPr>
    </w:p>
    <w:p>
      <w:pPr>
        <w:jc w:val="both"/>
        <w:ind w:left="566" w:right="240" w:firstLine="564"/>
        <w:spacing w:after="0" w:line="245" w:lineRule="auto"/>
        <w:rPr>
          <w:sz w:val="20"/>
          <w:szCs w:val="20"/>
          <w:color w:val="auto"/>
        </w:rPr>
      </w:pPr>
      <w:r>
        <w:rPr>
          <w:rFonts w:ascii="Times New Roman" w:cs="Times New Roman" w:eastAsia="Times New Roman" w:hAnsi="Times New Roman"/>
          <w:sz w:val="19"/>
          <w:szCs w:val="19"/>
          <w:color w:val="auto"/>
        </w:rPr>
        <w:t>The Company’s management, under the supervision of its Board or a committee of the Board or, in the case of accounting, internal accounting controls, auditing or securities law matters, the Audit Committee, shall take reasonable steps to (i) monitor compliance with the Code, and (ii) when appropriate, impose and enforce appropriate disciplinary measures for violations of the Code.</w:t>
      </w:r>
    </w:p>
    <w:p>
      <w:pPr>
        <w:spacing w:after="0" w:line="176" w:lineRule="exact"/>
        <w:rPr>
          <w:sz w:val="20"/>
          <w:szCs w:val="20"/>
          <w:color w:val="auto"/>
        </w:rPr>
      </w:pPr>
    </w:p>
    <w:p>
      <w:pPr>
        <w:jc w:val="both"/>
        <w:ind w:left="566" w:right="340" w:firstLine="564"/>
        <w:spacing w:after="0" w:line="245" w:lineRule="auto"/>
        <w:rPr>
          <w:sz w:val="20"/>
          <w:szCs w:val="20"/>
          <w:color w:val="auto"/>
        </w:rPr>
      </w:pPr>
      <w:r>
        <w:rPr>
          <w:rFonts w:ascii="Times New Roman" w:cs="Times New Roman" w:eastAsia="Times New Roman" w:hAnsi="Times New Roman"/>
          <w:sz w:val="19"/>
          <w:szCs w:val="19"/>
          <w:color w:val="auto"/>
        </w:rPr>
        <w:t>Disciplinary measures for violations of the Code will be determined in the Company’s sole discretion and may include, but are not limited to, counseling, oral or written reprimands, warnings, probation or suspension with or without pay, demotions, reductions in salary, termination of employment or service, and restitution.</w:t>
      </w:r>
    </w:p>
    <w:p>
      <w:pPr>
        <w:spacing w:after="0" w:line="176" w:lineRule="exact"/>
        <w:rPr>
          <w:sz w:val="20"/>
          <w:szCs w:val="20"/>
          <w:color w:val="auto"/>
        </w:rPr>
      </w:pPr>
    </w:p>
    <w:p>
      <w:pPr>
        <w:ind w:left="566" w:right="40" w:firstLine="564"/>
        <w:spacing w:after="0" w:line="259" w:lineRule="auto"/>
        <w:rPr>
          <w:sz w:val="20"/>
          <w:szCs w:val="20"/>
          <w:color w:val="auto"/>
        </w:rPr>
      </w:pPr>
      <w:r>
        <w:rPr>
          <w:rFonts w:ascii="Times New Roman" w:cs="Times New Roman" w:eastAsia="Times New Roman" w:hAnsi="Times New Roman"/>
          <w:sz w:val="19"/>
          <w:szCs w:val="19"/>
          <w:color w:val="auto"/>
        </w:rPr>
        <w:t>The Company’s management shall periodically report to the Board or a committee of the Board on these compliance efforts including, without limitation, alleged violations of the Code and the actions taken with respect to violations.</w:t>
      </w:r>
    </w:p>
    <w:p>
      <w:pPr>
        <w:spacing w:after="0" w:line="167" w:lineRule="exact"/>
        <w:rPr>
          <w:sz w:val="20"/>
          <w:szCs w:val="20"/>
          <w:color w:val="auto"/>
        </w:rPr>
      </w:pPr>
    </w:p>
    <w:p>
      <w:pPr>
        <w:ind w:left="1126" w:hanging="562"/>
        <w:spacing w:after="0"/>
        <w:tabs>
          <w:tab w:leader="none" w:pos="1126" w:val="left"/>
        </w:tabs>
        <w:numPr>
          <w:ilvl w:val="0"/>
          <w:numId w:val="3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Communication Channels</w:t>
      </w:r>
    </w:p>
    <w:p>
      <w:pPr>
        <w:spacing w:after="0" w:line="215" w:lineRule="exact"/>
        <w:rPr>
          <w:sz w:val="20"/>
          <w:szCs w:val="20"/>
          <w:color w:val="auto"/>
        </w:rPr>
      </w:pPr>
    </w:p>
    <w:p>
      <w:pPr>
        <w:ind w:left="566" w:firstLine="564"/>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Be Proactive. </w:t>
      </w:r>
      <w:r>
        <w:rPr>
          <w:rFonts w:ascii="Times New Roman" w:cs="Times New Roman" w:eastAsia="Times New Roman" w:hAnsi="Times New Roman"/>
          <w:sz w:val="16"/>
          <w:szCs w:val="16"/>
          <w:color w:val="auto"/>
        </w:rPr>
        <w:t>Every director, officer, employee and designated agent is encouraged to act proactively by asking questions, seeking guidance and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suspected violations of the Code and other policies and procedures of the Company, as well as any violation or suspected violation of law, rule or regulation resulting from the conduct of the Company’s business or occurring on the Company’s property. </w:t>
      </w:r>
      <w:r>
        <w:rPr>
          <w:rFonts w:ascii="Times New Roman" w:cs="Times New Roman" w:eastAsia="Times New Roman" w:hAnsi="Times New Roman"/>
          <w:sz w:val="16"/>
          <w:szCs w:val="16"/>
          <w:b w:val="1"/>
          <w:bCs w:val="1"/>
          <w:color w:val="auto"/>
        </w:rPr>
        <w:t>If any director, officer, employee or designated agent believes that actions have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taken place, may be taking place, or may be about to take place that violate or would violate the Code or any law, rule or regulation applicable to the Company, he or she is obligated to bring the matter to the attention of the Company. </w:t>
      </w:r>
      <w:r>
        <w:rPr>
          <w:rFonts w:ascii="Times New Roman" w:cs="Times New Roman" w:eastAsia="Times New Roman" w:hAnsi="Times New Roman"/>
          <w:sz w:val="16"/>
          <w:szCs w:val="16"/>
          <w:color w:val="auto"/>
        </w:rPr>
        <w:t>Our Compliance Hotline number is (833) 869-0478. An online reporting option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https://www.whistleblowerservices.com/DiscMedicine.</w:t>
      </w:r>
    </w:p>
    <w:p>
      <w:pPr>
        <w:spacing w:after="0" w:line="34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258" w:name="page259"/>
    <w:bookmarkEnd w:id="258"/>
    <w:p>
      <w:pPr>
        <w:jc w:val="both"/>
        <w:ind w:right="80" w:firstLine="564"/>
        <w:spacing w:after="0" w:line="198" w:lineRule="exact"/>
        <w:rPr>
          <w:sz w:val="20"/>
          <w:szCs w:val="20"/>
          <w:color w:val="auto"/>
        </w:rPr>
      </w:pPr>
      <w:r>
        <w:rPr>
          <w:rFonts w:ascii="Times New Roman" w:cs="Times New Roman" w:eastAsia="Times New Roman" w:hAnsi="Times New Roman"/>
          <w:sz w:val="16"/>
          <w:szCs w:val="16"/>
          <w:i w:val="1"/>
          <w:iCs w:val="1"/>
          <w:color w:val="auto"/>
        </w:rPr>
        <w:t xml:space="preserve">Seeking Guidance. </w:t>
      </w:r>
      <w:r>
        <w:rPr>
          <w:rFonts w:ascii="Times New Roman" w:cs="Times New Roman" w:eastAsia="Times New Roman" w:hAnsi="Times New Roman"/>
          <w:sz w:val="16"/>
          <w:szCs w:val="16"/>
          <w:color w:val="auto"/>
        </w:rPr>
        <w:t>The best starting point for officers or employees seeking advice on ethics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issues or wishing to report potential violations of the Code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usually be their supervisor. However, if the conduct in question involves an officer’s or employee’s supervisor, if the officer or employee has reported the conduct in question to the supervisor and does not believe that the supervisor has dealt with it properly, or if the officer or employee does not feel comfortable discussing the matter with the supervisor, the officer or employee may raise the matter with the Compliance Officer.</w:t>
      </w:r>
    </w:p>
    <w:p>
      <w:pPr>
        <w:spacing w:after="0" w:line="196" w:lineRule="exact"/>
        <w:rPr>
          <w:sz w:val="20"/>
          <w:szCs w:val="20"/>
          <w:color w:val="auto"/>
        </w:rPr>
      </w:pPr>
    </w:p>
    <w:p>
      <w:pPr>
        <w:ind w:right="140" w:firstLine="56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Communication Alternatives. </w:t>
      </w:r>
      <w:r>
        <w:rPr>
          <w:rFonts w:ascii="Times New Roman" w:cs="Times New Roman" w:eastAsia="Times New Roman" w:hAnsi="Times New Roman"/>
          <w:sz w:val="16"/>
          <w:szCs w:val="16"/>
          <w:color w:val="auto"/>
        </w:rPr>
        <w:t>Any officer or employee may communicate with the Compliance Officer, or report potential violations of the Code, by any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methods:</w:t>
      </w:r>
    </w:p>
    <w:p>
      <w:pPr>
        <w:spacing w:after="0" w:line="164" w:lineRule="exact"/>
        <w:rPr>
          <w:sz w:val="20"/>
          <w:szCs w:val="20"/>
          <w:color w:val="auto"/>
        </w:rPr>
      </w:pPr>
    </w:p>
    <w:p>
      <w:pPr>
        <w:ind w:left="1660" w:hanging="535"/>
        <w:spacing w:after="0"/>
        <w:tabs>
          <w:tab w:leader="none" w:pos="1660"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e-mail to the Compliance Officer at compliance@discmedicine.com (anonymity cannot be maintained);</w:t>
      </w:r>
    </w:p>
    <w:p>
      <w:pPr>
        <w:spacing w:after="0" w:line="204" w:lineRule="exact"/>
        <w:rPr>
          <w:rFonts w:ascii="Times New Roman" w:cs="Times New Roman" w:eastAsia="Times New Roman" w:hAnsi="Times New Roman"/>
          <w:sz w:val="19"/>
          <w:szCs w:val="19"/>
          <w:color w:val="auto"/>
        </w:rPr>
      </w:pPr>
    </w:p>
    <w:p>
      <w:pPr>
        <w:ind w:left="560" w:right="440" w:firstLine="565"/>
        <w:spacing w:after="0" w:line="259" w:lineRule="auto"/>
        <w:tabs>
          <w:tab w:leader="none" w:pos="165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writing (which can be done anonymously as set forth below under “Anonymity”), addressed to the Compliance Officer, by mail to 321 Arsenal Street, Suite 101, Watertown, MA 02472;</w:t>
      </w:r>
    </w:p>
    <w:p>
      <w:pPr>
        <w:spacing w:after="0" w:line="162" w:lineRule="exact"/>
        <w:rPr>
          <w:rFonts w:ascii="Times New Roman" w:cs="Times New Roman" w:eastAsia="Times New Roman" w:hAnsi="Times New Roman"/>
          <w:sz w:val="19"/>
          <w:szCs w:val="19"/>
          <w:color w:val="auto"/>
        </w:rPr>
      </w:pPr>
    </w:p>
    <w:p>
      <w:pPr>
        <w:ind w:left="560" w:right="140" w:firstLine="565"/>
        <w:spacing w:after="0" w:line="259" w:lineRule="auto"/>
        <w:tabs>
          <w:tab w:leader="none" w:pos="165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Online at https://www.whistleblowerservices.com/DiscMedicine (which may be done anonymously as set forth below under “Anonymity”); or</w:t>
      </w:r>
    </w:p>
    <w:p>
      <w:pPr>
        <w:spacing w:after="0" w:line="162" w:lineRule="exact"/>
        <w:rPr>
          <w:rFonts w:ascii="Times New Roman" w:cs="Times New Roman" w:eastAsia="Times New Roman" w:hAnsi="Times New Roman"/>
          <w:sz w:val="19"/>
          <w:szCs w:val="19"/>
          <w:color w:val="auto"/>
        </w:rPr>
      </w:pPr>
    </w:p>
    <w:p>
      <w:pPr>
        <w:ind w:left="560" w:right="640" w:firstLine="565"/>
        <w:spacing w:after="0" w:line="259" w:lineRule="auto"/>
        <w:tabs>
          <w:tab w:leader="none" w:pos="165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phoning and leaving a voicemail. The voicemail can be reached at (833) 869-0478 and messages can be left anonymously as set forth below under “Anonymity.”</w:t>
      </w:r>
    </w:p>
    <w:p>
      <w:pPr>
        <w:spacing w:after="0" w:line="167" w:lineRule="exact"/>
        <w:rPr>
          <w:sz w:val="20"/>
          <w:szCs w:val="20"/>
          <w:color w:val="auto"/>
        </w:rPr>
      </w:pPr>
    </w:p>
    <w:p>
      <w:pPr>
        <w:ind w:firstLine="564"/>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Reporting Accounting and Similar Concerns. </w:t>
      </w:r>
      <w:r>
        <w:rPr>
          <w:rFonts w:ascii="Times New Roman" w:cs="Times New Roman" w:eastAsia="Times New Roman" w:hAnsi="Times New Roman"/>
          <w:sz w:val="16"/>
          <w:szCs w:val="16"/>
          <w:color w:val="auto"/>
        </w:rPr>
        <w:t>Concerns or questions regarding potential violations of the Code, a Company policy or procedure or laws, rules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regulations relating to accounting, internal accounting controls, or auditing or securities law matters will be directed to the Audit Committee of the Board (the “Audit Committee”) or a designee of the Audit Committee in accordance with the procedures established by the Audit Committee for receiving, retaining and treating complaints regarding accounting, internal accounting controls or auditing matters. Officers and employees can also communicate directly with the Audit Committee or its designee regarding such matters by the following methods (which can be done anonymously as set forth below under “Anonymity”):</w:t>
      </w:r>
    </w:p>
    <w:p>
      <w:pPr>
        <w:spacing w:after="0" w:line="3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7150100" cy="146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60"/>
          </w:cols>
          <w:pgMar w:left="880" w:top="100" w:right="359" w:bottom="1440" w:gutter="0" w:footer="0" w:header="0"/>
        </w:sectPr>
      </w:pPr>
    </w:p>
    <w:bookmarkStart w:id="259" w:name="page260"/>
    <w:bookmarkEnd w:id="259"/>
    <w:p>
      <w:pPr>
        <w:ind w:left="1662" w:hanging="535"/>
        <w:spacing w:after="0"/>
        <w:tabs>
          <w:tab w:leader="none" w:pos="1662"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e-mail to the Compliance Officer at compliance@discmedicine.com (anonymity cannot be maintained);</w:t>
      </w:r>
    </w:p>
    <w:p>
      <w:pPr>
        <w:spacing w:after="0" w:line="205" w:lineRule="exact"/>
        <w:rPr>
          <w:rFonts w:ascii="Times New Roman" w:cs="Times New Roman" w:eastAsia="Times New Roman" w:hAnsi="Times New Roman"/>
          <w:sz w:val="19"/>
          <w:szCs w:val="19"/>
          <w:color w:val="auto"/>
        </w:rPr>
      </w:pPr>
    </w:p>
    <w:p>
      <w:pPr>
        <w:ind w:left="562" w:right="460" w:firstLine="565"/>
        <w:spacing w:after="0" w:line="259" w:lineRule="auto"/>
        <w:tabs>
          <w:tab w:leader="none" w:pos="1661"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writing (which can be done anonymously as set forth below under “Anonymity”), addressed to the Compliance Officer, by mail to 321 Arsenal Street, Suite 101, Watertown, MA 02472;</w:t>
      </w:r>
    </w:p>
    <w:p>
      <w:pPr>
        <w:spacing w:after="0" w:line="162" w:lineRule="exact"/>
        <w:rPr>
          <w:rFonts w:ascii="Times New Roman" w:cs="Times New Roman" w:eastAsia="Times New Roman" w:hAnsi="Times New Roman"/>
          <w:sz w:val="19"/>
          <w:szCs w:val="19"/>
          <w:color w:val="auto"/>
        </w:rPr>
      </w:pPr>
    </w:p>
    <w:p>
      <w:pPr>
        <w:ind w:left="562" w:right="160" w:firstLine="565"/>
        <w:spacing w:after="0" w:line="259" w:lineRule="auto"/>
        <w:tabs>
          <w:tab w:leader="none" w:pos="1661"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Online at https://www.whistleblowerservices.com/DiscMedicine (which may be done anonymously as set forth below under “Anonymity”); or</w:t>
      </w:r>
    </w:p>
    <w:p>
      <w:pPr>
        <w:spacing w:after="0" w:line="162" w:lineRule="exact"/>
        <w:rPr>
          <w:rFonts w:ascii="Times New Roman" w:cs="Times New Roman" w:eastAsia="Times New Roman" w:hAnsi="Times New Roman"/>
          <w:sz w:val="19"/>
          <w:szCs w:val="19"/>
          <w:color w:val="auto"/>
        </w:rPr>
      </w:pPr>
    </w:p>
    <w:p>
      <w:pPr>
        <w:ind w:left="562" w:right="660" w:firstLine="565"/>
        <w:spacing w:after="0" w:line="259" w:lineRule="auto"/>
        <w:tabs>
          <w:tab w:leader="none" w:pos="1661"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phoning and leaving a voicemail. The voicemail can be reached at (833) 869-0478 and messages can be left anonymously as set forth below under “Anonymity.”</w:t>
      </w:r>
    </w:p>
    <w:p>
      <w:pPr>
        <w:spacing w:after="0" w:line="167" w:lineRule="exact"/>
        <w:rPr>
          <w:sz w:val="20"/>
          <w:szCs w:val="20"/>
          <w:color w:val="auto"/>
        </w:rPr>
      </w:pPr>
    </w:p>
    <w:p>
      <w:pPr>
        <w:ind w:left="2" w:firstLine="564"/>
        <w:spacing w:after="0" w:line="273" w:lineRule="auto"/>
        <w:rPr>
          <w:sz w:val="20"/>
          <w:szCs w:val="20"/>
          <w:color w:val="auto"/>
        </w:rPr>
      </w:pPr>
      <w:r>
        <w:rPr>
          <w:rFonts w:ascii="Times New Roman" w:cs="Times New Roman" w:eastAsia="Times New Roman" w:hAnsi="Times New Roman"/>
          <w:sz w:val="16"/>
          <w:szCs w:val="16"/>
          <w:i w:val="1"/>
          <w:iCs w:val="1"/>
          <w:color w:val="auto"/>
        </w:rPr>
        <w:t>Cooperation</w:t>
      </w:r>
      <w:r>
        <w:rPr>
          <w:rFonts w:ascii="Times New Roman" w:cs="Times New Roman" w:eastAsia="Times New Roman" w:hAnsi="Times New Roman"/>
          <w:sz w:val="16"/>
          <w:szCs w:val="16"/>
          <w:color w:val="auto"/>
        </w:rPr>
        <w:t>. Employees, officers, directors and designated agents are expected to cooperate with the Company in any investigation of a potential violation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Code, any other Company policy or procedure, or any law, rule or regulation.</w:t>
      </w:r>
    </w:p>
    <w:p>
      <w:pPr>
        <w:spacing w:after="0" w:line="169" w:lineRule="exact"/>
        <w:rPr>
          <w:sz w:val="20"/>
          <w:szCs w:val="20"/>
          <w:color w:val="auto"/>
        </w:rPr>
      </w:pPr>
    </w:p>
    <w:p>
      <w:pPr>
        <w:ind w:left="2" w:right="60" w:firstLine="56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Misuse of Reporting Channels. </w:t>
      </w:r>
      <w:r>
        <w:rPr>
          <w:rFonts w:ascii="Times New Roman" w:cs="Times New Roman" w:eastAsia="Times New Roman" w:hAnsi="Times New Roman"/>
          <w:sz w:val="16"/>
          <w:szCs w:val="16"/>
          <w:color w:val="auto"/>
        </w:rPr>
        <w:t>Employees, officers, directors and designated agents should not use these reporting channels in bad faith or in a false or frivolous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manner or to report grievances that do not involve the Code or other ethics-related issues.</w:t>
      </w:r>
    </w:p>
    <w:p>
      <w:pPr>
        <w:spacing w:after="0" w:line="169" w:lineRule="exact"/>
        <w:rPr>
          <w:sz w:val="20"/>
          <w:szCs w:val="20"/>
          <w:color w:val="auto"/>
        </w:rPr>
      </w:pPr>
    </w:p>
    <w:p>
      <w:pPr>
        <w:ind w:left="2" w:firstLine="56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Director Communications. </w:t>
      </w:r>
      <w:r>
        <w:rPr>
          <w:rFonts w:ascii="Times New Roman" w:cs="Times New Roman" w:eastAsia="Times New Roman" w:hAnsi="Times New Roman"/>
          <w:sz w:val="16"/>
          <w:szCs w:val="16"/>
          <w:color w:val="auto"/>
        </w:rPr>
        <w:t>In addition to the foregoing methods, a director also can communicate concerns or seek advice with respect to this Code by contacting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Board through its Chair or the Audit Committee.</w:t>
      </w:r>
    </w:p>
    <w:p>
      <w:pPr>
        <w:spacing w:after="0" w:line="169" w:lineRule="exact"/>
        <w:rPr>
          <w:sz w:val="20"/>
          <w:szCs w:val="20"/>
          <w:color w:val="auto"/>
        </w:rPr>
      </w:pPr>
    </w:p>
    <w:p>
      <w:pPr>
        <w:ind w:left="562" w:hanging="562"/>
        <w:spacing w:after="0"/>
        <w:tabs>
          <w:tab w:leader="none" w:pos="562" w:val="left"/>
        </w:tabs>
        <w:numPr>
          <w:ilvl w:val="0"/>
          <w:numId w:val="3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Anonymity</w:t>
      </w:r>
    </w:p>
    <w:p>
      <w:pPr>
        <w:spacing w:after="0" w:line="211" w:lineRule="exact"/>
        <w:rPr>
          <w:sz w:val="20"/>
          <w:szCs w:val="20"/>
          <w:color w:val="auto"/>
        </w:rPr>
      </w:pPr>
    </w:p>
    <w:p>
      <w:pPr>
        <w:ind w:left="2" w:right="180" w:firstLine="564"/>
        <w:spacing w:after="0" w:line="245" w:lineRule="auto"/>
        <w:rPr>
          <w:sz w:val="20"/>
          <w:szCs w:val="20"/>
          <w:color w:val="auto"/>
        </w:rPr>
      </w:pPr>
      <w:r>
        <w:rPr>
          <w:rFonts w:ascii="Times New Roman" w:cs="Times New Roman" w:eastAsia="Times New Roman" w:hAnsi="Times New Roman"/>
          <w:sz w:val="19"/>
          <w:szCs w:val="19"/>
          <w:color w:val="auto"/>
        </w:rPr>
        <w:t>The Company prefers that officers and employees, when reporting suspected violations of the Code, identify themselves to facilitate the Company’s ability to take steps to address the suspected violation, including conducting an investigation. However, the Company also recognizes that some people may feel more comfortable reporting a suspected violation anonymously.</w:t>
      </w:r>
    </w:p>
    <w:p>
      <w:pPr>
        <w:spacing w:after="0" w:line="176" w:lineRule="exact"/>
        <w:rPr>
          <w:sz w:val="20"/>
          <w:szCs w:val="20"/>
          <w:color w:val="auto"/>
        </w:rPr>
      </w:pPr>
    </w:p>
    <w:p>
      <w:pPr>
        <w:ind w:left="2" w:right="20" w:firstLine="564"/>
        <w:spacing w:after="0" w:line="241" w:lineRule="auto"/>
        <w:rPr>
          <w:sz w:val="20"/>
          <w:szCs w:val="20"/>
          <w:color w:val="auto"/>
        </w:rPr>
      </w:pPr>
      <w:r>
        <w:rPr>
          <w:rFonts w:ascii="Times New Roman" w:cs="Times New Roman" w:eastAsia="Times New Roman" w:hAnsi="Times New Roman"/>
          <w:sz w:val="19"/>
          <w:szCs w:val="19"/>
          <w:color w:val="auto"/>
        </w:rPr>
        <w:t>An officer, employee, director or designated agent who wishes to remain anonymous may do so, and the Company will use reasonable efforts to protect confidentiality. If a report is made anonymously, however, the Company may not have sufficient information to investigate or evaluate the allegations. Accordingly, persons who report suspected violations anonymously should provide as much detail as they can to permit the Company to evaluate the allegation and, if it deems appropriate, conduct an investigation.</w:t>
      </w:r>
    </w:p>
    <w:p>
      <w:pPr>
        <w:spacing w:after="0" w:line="184" w:lineRule="exact"/>
        <w:rPr>
          <w:sz w:val="20"/>
          <w:szCs w:val="20"/>
          <w:color w:val="auto"/>
        </w:rPr>
      </w:pPr>
    </w:p>
    <w:p>
      <w:pPr>
        <w:ind w:left="562" w:hanging="562"/>
        <w:spacing w:after="0"/>
        <w:tabs>
          <w:tab w:leader="none" w:pos="562" w:val="left"/>
        </w:tabs>
        <w:numPr>
          <w:ilvl w:val="0"/>
          <w:numId w:val="3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Retaliation</w:t>
      </w:r>
    </w:p>
    <w:p>
      <w:pPr>
        <w:spacing w:after="0" w:line="211" w:lineRule="exact"/>
        <w:rPr>
          <w:sz w:val="20"/>
          <w:szCs w:val="20"/>
          <w:color w:val="auto"/>
        </w:rPr>
      </w:pPr>
    </w:p>
    <w:p>
      <w:pPr>
        <w:ind w:left="2" w:right="280" w:firstLine="564"/>
        <w:spacing w:after="0" w:line="241" w:lineRule="auto"/>
        <w:rPr>
          <w:sz w:val="20"/>
          <w:szCs w:val="20"/>
          <w:color w:val="auto"/>
        </w:rPr>
      </w:pPr>
      <w:r>
        <w:rPr>
          <w:rFonts w:ascii="Times New Roman" w:cs="Times New Roman" w:eastAsia="Times New Roman" w:hAnsi="Times New Roman"/>
          <w:sz w:val="19"/>
          <w:szCs w:val="19"/>
          <w:color w:val="auto"/>
        </w:rPr>
        <w:t>The Company forbids any retaliation against an officer or employee who, acting in good faith on the basis of a reasonable belief, reports suspected misconduct. Specifically, the Company will not discharge, demote, suspend, threaten, harass or in any other manner discriminate against, such an officer or employee. Anyone who participates in any such conduct is subject to disciplinary action, including termination.</w:t>
      </w:r>
    </w:p>
    <w:p>
      <w:pPr>
        <w:spacing w:after="0" w:line="335" w:lineRule="exact"/>
        <w:rPr>
          <w:sz w:val="20"/>
          <w:szCs w:val="20"/>
          <w:color w:val="auto"/>
        </w:rPr>
      </w:pPr>
    </w:p>
    <w:p>
      <w:pPr>
        <w:jc w:val="center"/>
        <w:ind w:right="538"/>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7150100" cy="146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682"/>
          </w:cols>
          <w:pgMar w:left="878" w:top="116" w:right="339" w:bottom="1440" w:gutter="0" w:footer="0" w:header="0"/>
        </w:sectPr>
      </w:pPr>
    </w:p>
    <w:bookmarkStart w:id="260" w:name="page261"/>
    <w:bookmarkEnd w:id="260"/>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IV.</w:t>
      </w:r>
      <w:r>
        <w:rPr>
          <w:sz w:val="20"/>
          <w:szCs w:val="20"/>
          <w:color w:val="auto"/>
        </w:rPr>
        <w:tab/>
      </w:r>
      <w:r>
        <w:rPr>
          <w:rFonts w:ascii="Times New Roman" w:cs="Times New Roman" w:eastAsia="Times New Roman" w:hAnsi="Times New Roman"/>
          <w:sz w:val="16"/>
          <w:szCs w:val="16"/>
          <w:b w:val="1"/>
          <w:bCs w:val="1"/>
          <w:color w:val="auto"/>
        </w:rPr>
        <w:t>Waivers and Amendments</w:t>
      </w:r>
    </w:p>
    <w:p>
      <w:pPr>
        <w:spacing w:after="0" w:line="211" w:lineRule="exact"/>
        <w:rPr>
          <w:sz w:val="20"/>
          <w:szCs w:val="20"/>
          <w:color w:val="auto"/>
        </w:rPr>
      </w:pPr>
    </w:p>
    <w:p>
      <w:pPr>
        <w:jc w:val="both"/>
        <w:ind w:firstLine="564"/>
        <w:spacing w:after="0" w:line="241" w:lineRule="auto"/>
        <w:rPr>
          <w:sz w:val="20"/>
          <w:szCs w:val="20"/>
          <w:color w:val="auto"/>
        </w:rPr>
      </w:pPr>
      <w:r>
        <w:rPr>
          <w:rFonts w:ascii="Times New Roman" w:cs="Times New Roman" w:eastAsia="Times New Roman" w:hAnsi="Times New Roman"/>
          <w:sz w:val="19"/>
          <w:szCs w:val="19"/>
          <w:color w:val="auto"/>
        </w:rPr>
        <w:t>No waiver of any provisions of the Code for the benefit of a director or an executive officer (which includes, without limitation, the Company’s principal executive, financial and accounting officers) shall be effective unless (i) approved by the Board or, if permitted, the Audit Committee, and (ii) if required, the waiver is promptly disclosed to the Company’s securityholders in accordance with applicable U.S. securities laws and the rules and regulations of the exchange or system on which the Company’s shares are traded or quoted, as the case may be.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Any waivers of the Code for other employees may be made by the Compliance Officer, the Board or, if permitted, the Audit Committee.</w:t>
      </w:r>
    </w:p>
    <w:p>
      <w:pPr>
        <w:spacing w:after="0" w:line="204" w:lineRule="exact"/>
        <w:rPr>
          <w:sz w:val="20"/>
          <w:szCs w:val="20"/>
          <w:color w:val="auto"/>
        </w:rPr>
      </w:pPr>
    </w:p>
    <w:p>
      <w:pPr>
        <w:jc w:val="both"/>
        <w:ind w:firstLine="564"/>
        <w:spacing w:after="0" w:line="259" w:lineRule="auto"/>
        <w:rPr>
          <w:sz w:val="20"/>
          <w:szCs w:val="20"/>
          <w:color w:val="auto"/>
        </w:rPr>
      </w:pPr>
      <w:r>
        <w:rPr>
          <w:rFonts w:ascii="Times New Roman" w:cs="Times New Roman" w:eastAsia="Times New Roman" w:hAnsi="Times New Roman"/>
          <w:sz w:val="19"/>
          <w:szCs w:val="19"/>
          <w:color w:val="auto"/>
        </w:rPr>
        <w:t>All amendments to the Code must be approved by the Board and, if required, must be promptly disclosed to the Company’s securityholders in accordance with United States securities laws and NASDAQ rules and regulations.</w:t>
      </w:r>
    </w:p>
    <w:p>
      <w:pPr>
        <w:spacing w:after="0" w:line="200" w:lineRule="exact"/>
        <w:rPr>
          <w:sz w:val="20"/>
          <w:szCs w:val="20"/>
          <w:color w:val="auto"/>
        </w:rPr>
      </w:pPr>
    </w:p>
    <w:p>
      <w:pPr>
        <w:spacing w:after="0" w:line="3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Adopted December 29, 2022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150100" cy="146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23.1</w:t>
      </w:r>
    </w:p>
    <w:p>
      <w:pPr>
        <w:spacing w:after="0" w:line="192" w:lineRule="exact"/>
        <w:rPr>
          <w:sz w:val="20"/>
          <w:szCs w:val="20"/>
          <w:color w:val="auto"/>
        </w:rPr>
      </w:pPr>
    </w:p>
    <w:p>
      <w:pPr>
        <w:ind w:left="3626"/>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15" w:lineRule="exact"/>
        <w:rPr>
          <w:sz w:val="20"/>
          <w:szCs w:val="20"/>
          <w:color w:val="auto"/>
        </w:rPr>
      </w:pPr>
    </w:p>
    <w:p>
      <w:pPr>
        <w:ind w:left="226" w:hanging="226"/>
        <w:spacing w:after="0"/>
        <w:tabs>
          <w:tab w:leader="none" w:pos="226"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333-263410) pertaining to the Gemini Therapeutics, Inc. 2021 Stock Option and Incentive Plan,</w:t>
      </w:r>
    </w:p>
    <w:p>
      <w:pPr>
        <w:spacing w:after="0" w:line="215" w:lineRule="exact"/>
        <w:rPr>
          <w:rFonts w:ascii="Times New Roman" w:cs="Times New Roman" w:eastAsia="Times New Roman" w:hAnsi="Times New Roman"/>
          <w:sz w:val="16"/>
          <w:szCs w:val="16"/>
          <w:color w:val="auto"/>
        </w:rPr>
      </w:pPr>
    </w:p>
    <w:p>
      <w:pPr>
        <w:ind w:left="226" w:hanging="226"/>
        <w:spacing w:after="0"/>
        <w:tabs>
          <w:tab w:leader="none" w:pos="226"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333-260243) pertaining to the Gemini Therapeutics, Inc. 2021 Employee Stock Purchase Plan, and</w:t>
      </w:r>
    </w:p>
    <w:p>
      <w:pPr>
        <w:spacing w:after="0" w:line="215" w:lineRule="exact"/>
        <w:rPr>
          <w:rFonts w:ascii="Times New Roman" w:cs="Times New Roman" w:eastAsia="Times New Roman" w:hAnsi="Times New Roman"/>
          <w:sz w:val="16"/>
          <w:szCs w:val="16"/>
          <w:color w:val="auto"/>
        </w:rPr>
      </w:pPr>
    </w:p>
    <w:p>
      <w:pPr>
        <w:ind w:left="6" w:hanging="6"/>
        <w:spacing w:after="0" w:line="270" w:lineRule="auto"/>
        <w:tabs>
          <w:tab w:leader="none" w:pos="232"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333-255194) pertaining to the Gemini Therapeutics, Inc. 2021 Stock Option and Incentive Plan and the Gemini Therapeutics, Inc. 2021 Inducement Plan;</w:t>
      </w:r>
    </w:p>
    <w:p>
      <w:pPr>
        <w:spacing w:after="0" w:line="173" w:lineRule="exact"/>
        <w:rPr>
          <w:sz w:val="20"/>
          <w:szCs w:val="20"/>
          <w:color w:val="auto"/>
        </w:rPr>
      </w:pPr>
    </w:p>
    <w:p>
      <w:pPr>
        <w:ind w:left="6" w:right="20"/>
        <w:spacing w:after="0" w:line="270" w:lineRule="auto"/>
        <w:rPr>
          <w:sz w:val="20"/>
          <w:szCs w:val="20"/>
          <w:color w:val="auto"/>
        </w:rPr>
      </w:pPr>
      <w:r>
        <w:rPr>
          <w:rFonts w:ascii="Times New Roman" w:cs="Times New Roman" w:eastAsia="Times New Roman" w:hAnsi="Times New Roman"/>
          <w:sz w:val="16"/>
          <w:szCs w:val="16"/>
          <w:color w:val="auto"/>
        </w:rPr>
        <w:t>of our report dated March 25, 2022, relating to the consolidated financial statements of Disc Medicine, Inc. as of and for the years ended December 31, 2021 and 2020 appearing in this Current Report on Form 8-K of Disc Medicine, Inc. (f/k/a Gemini Therapeutics, Inc.).</w:t>
      </w:r>
    </w:p>
    <w:p>
      <w:pPr>
        <w:spacing w:after="0" w:line="17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50100" cy="146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62"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960880" cy="3054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960880"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Disc Medicine Announces Completion of Merger with Gemini Therapeutics</w:t>
      </w:r>
    </w:p>
    <w:p>
      <w:pPr>
        <w:spacing w:after="0" w:line="215" w:lineRule="exact"/>
        <w:rPr>
          <w:sz w:val="20"/>
          <w:szCs w:val="20"/>
          <w:color w:val="auto"/>
        </w:rPr>
      </w:pPr>
    </w:p>
    <w:p>
      <w:pPr>
        <w:ind w:left="286" w:hanging="286"/>
        <w:spacing w:after="0"/>
        <w:tabs>
          <w:tab w:leader="none" w:pos="286" w:val="left"/>
        </w:tabs>
        <w:numPr>
          <w:ilvl w:val="0"/>
          <w:numId w:val="3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combined company will operate as Disc Medicine and will trade on the Nasdaq Global Market under the ticker symbol “IRON”</w:t>
      </w:r>
    </w:p>
    <w:p>
      <w:pPr>
        <w:spacing w:after="0" w:line="21" w:lineRule="exact"/>
        <w:rPr>
          <w:rFonts w:ascii="Times New Roman" w:cs="Times New Roman" w:eastAsia="Times New Roman" w:hAnsi="Times New Roman"/>
          <w:sz w:val="16"/>
          <w:szCs w:val="16"/>
          <w:i w:val="1"/>
          <w:iCs w:val="1"/>
          <w:color w:val="auto"/>
        </w:rPr>
      </w:pPr>
    </w:p>
    <w:p>
      <w:pPr>
        <w:ind w:left="286" w:hanging="286"/>
        <w:spacing w:after="0"/>
        <w:tabs>
          <w:tab w:leader="none" w:pos="286" w:val="left"/>
        </w:tabs>
        <w:numPr>
          <w:ilvl w:val="0"/>
          <w:numId w:val="3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Approximately $175 million of cash and cash equivalents to provide operating runway into 2025</w:t>
      </w:r>
    </w:p>
    <w:p>
      <w:pPr>
        <w:spacing w:after="0" w:line="200" w:lineRule="exact"/>
        <w:rPr>
          <w:sz w:val="20"/>
          <w:szCs w:val="20"/>
          <w:color w:val="auto"/>
        </w:rPr>
      </w:pPr>
    </w:p>
    <w:p>
      <w:pPr>
        <w:ind w:left="6" w:right="100"/>
        <w:spacing w:after="0" w:line="251" w:lineRule="auto"/>
        <w:rPr>
          <w:sz w:val="20"/>
          <w:szCs w:val="20"/>
          <w:color w:val="auto"/>
        </w:rPr>
      </w:pPr>
      <w:r>
        <w:rPr>
          <w:rFonts w:ascii="Times New Roman" w:cs="Times New Roman" w:eastAsia="Times New Roman" w:hAnsi="Times New Roman"/>
          <w:sz w:val="16"/>
          <w:szCs w:val="16"/>
          <w:color w:val="auto"/>
        </w:rPr>
        <w:t>WATERTOWN, Mass. (December 29, 2022) – Disc Medicine, Inc. (“Disc”), a clinical-stage biopharmaceutical company focused on the discovery, development, and commercialization of novel treatments for patients suffering from serious hematologic diseases, announced today that its previously-announced merger with Gemini Therapeutics, Inc. (“Gemini”) closed on December 29, 2022, following the approval of Gemini shareholders. The combined company, focused on advancing Disc’s pipeline of hematology programs, will operate under the name Disc Medicine, Inc. and its shares will commence trading on a 1-10 reverse split adjusted basis effective with the open of business on December 30, 2022 on the Nasdaq Global Market under the ticker symbol IRON.</w:t>
      </w:r>
    </w:p>
    <w:p>
      <w:pPr>
        <w:spacing w:after="0" w:line="189" w:lineRule="exact"/>
        <w:rPr>
          <w:sz w:val="20"/>
          <w:szCs w:val="20"/>
          <w:color w:val="auto"/>
        </w:rPr>
      </w:pPr>
    </w:p>
    <w:p>
      <w:pPr>
        <w:ind w:left="6" w:right="140"/>
        <w:spacing w:after="0" w:line="257" w:lineRule="auto"/>
        <w:rPr>
          <w:sz w:val="20"/>
          <w:szCs w:val="20"/>
          <w:color w:val="auto"/>
        </w:rPr>
      </w:pPr>
      <w:r>
        <w:rPr>
          <w:rFonts w:ascii="Times New Roman" w:cs="Times New Roman" w:eastAsia="Times New Roman" w:hAnsi="Times New Roman"/>
          <w:sz w:val="16"/>
          <w:szCs w:val="16"/>
          <w:color w:val="auto"/>
        </w:rPr>
        <w:t>Concurrent with the closing of the merger, Disc completed a financing of $53.5 million from a syndicate of healthcare investors led by Access Biotechnology and including OrbiMed, Atlas Venture, 5AM Ventures, Novo Holdings A/S, Arix Bioscience, Rock Springs Capital, and Janus Henderson Investors. The projected cash and cash equivalents as of the close of the business combination are expected to be approximately $175 million, providing operating runway into 2025.</w:t>
      </w:r>
    </w:p>
    <w:p>
      <w:pPr>
        <w:spacing w:after="0" w:line="184" w:lineRule="exact"/>
        <w:rPr>
          <w:sz w:val="20"/>
          <w:szCs w:val="20"/>
          <w:color w:val="auto"/>
        </w:rPr>
      </w:pPr>
    </w:p>
    <w:p>
      <w:pPr>
        <w:ind w:left="6" w:right="220"/>
        <w:spacing w:after="0" w:line="253" w:lineRule="auto"/>
        <w:rPr>
          <w:sz w:val="20"/>
          <w:szCs w:val="20"/>
          <w:color w:val="auto"/>
        </w:rPr>
      </w:pPr>
      <w:r>
        <w:rPr>
          <w:rFonts w:ascii="Times New Roman" w:cs="Times New Roman" w:eastAsia="Times New Roman" w:hAnsi="Times New Roman"/>
          <w:sz w:val="16"/>
          <w:szCs w:val="16"/>
          <w:color w:val="auto"/>
        </w:rPr>
        <w:t>“The completion of this merger and concurrent financing marks a transformative moment in Disc’s growth and ensures we are well-positioned to advance our portfolio of innovative, potentially first-in-class therapeutic candidates through key development milestones,” said John Quisel, J.D., Ph.D., Chief Executive Officer and President of Disc. “We’re excited to enter the new year with multiple programs already in the clinic, a robust development pipeline and the financial strength from this merger. We look forward to maintaining this momentum and reporting on interim data read-outs from several patient studies in 2023.”</w:t>
      </w:r>
    </w:p>
    <w:p>
      <w:pPr>
        <w:spacing w:after="0" w:line="187" w:lineRule="exact"/>
        <w:rPr>
          <w:sz w:val="20"/>
          <w:szCs w:val="20"/>
          <w:color w:val="auto"/>
        </w:rPr>
      </w:pPr>
    </w:p>
    <w:p>
      <w:pPr>
        <w:ind w:left="6" w:right="420"/>
        <w:spacing w:after="0" w:line="270" w:lineRule="auto"/>
        <w:rPr>
          <w:sz w:val="20"/>
          <w:szCs w:val="20"/>
          <w:color w:val="auto"/>
        </w:rPr>
      </w:pPr>
      <w:r>
        <w:rPr>
          <w:rFonts w:ascii="Times New Roman" w:cs="Times New Roman" w:eastAsia="Times New Roman" w:hAnsi="Times New Roman"/>
          <w:sz w:val="16"/>
          <w:szCs w:val="16"/>
          <w:color w:val="auto"/>
        </w:rPr>
        <w:t>The combined company will be led by John Quisel, J.D., Ph.D., the current CEO and president of Disc, and other members of the Disc management team. Disc will focus on advancing its development pipeline of investigational product candidates for hematologic diseases, including:</w:t>
      </w:r>
    </w:p>
    <w:p>
      <w:pPr>
        <w:spacing w:after="0" w:line="173" w:lineRule="exact"/>
        <w:rPr>
          <w:sz w:val="20"/>
          <w:szCs w:val="20"/>
          <w:color w:val="auto"/>
        </w:rPr>
      </w:pPr>
    </w:p>
    <w:p>
      <w:pPr>
        <w:ind w:left="286" w:right="300" w:hanging="286"/>
        <w:spacing w:after="0" w:line="255" w:lineRule="auto"/>
        <w:tabs>
          <w:tab w:leader="none" w:pos="28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phase 2 BEACON and AURORA clinical trials of bitopertin, an investigational, orally administered inhibitor of glycine transporter 1 (GlyT1) that modulates heme biosynthesis, in patients with erythropoietic protoporphyria (EPP)</w:t>
      </w:r>
    </w:p>
    <w:p>
      <w:pPr>
        <w:ind w:left="286" w:right="160" w:hanging="286"/>
        <w:spacing w:after="0" w:line="245" w:lineRule="auto"/>
        <w:tabs>
          <w:tab w:leader="none" w:pos="28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phase 1b/2 clinical trial of DISC-0974, a monoclonal antibody designed to suppress hepcidin by inhibiting the hemojuvelin (HJV) co-receptor, in myelofibrosis patients with anemia</w:t>
      </w:r>
    </w:p>
    <w:p>
      <w:pPr>
        <w:ind w:left="286" w:hanging="286"/>
        <w:spacing w:after="0"/>
        <w:tabs>
          <w:tab w:leader="none" w:pos="28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planned phase 1b/2 clinical trial of DISC-0974 in patients with anemia of chronic kidney disease (CKD) who are non-dialysis dependent</w:t>
      </w:r>
    </w:p>
    <w:p>
      <w:pPr>
        <w:spacing w:after="0" w:line="3" w:lineRule="exact"/>
        <w:rPr>
          <w:rFonts w:ascii="Times New Roman" w:cs="Times New Roman" w:eastAsia="Times New Roman" w:hAnsi="Times New Roman"/>
          <w:sz w:val="16"/>
          <w:szCs w:val="16"/>
          <w:color w:val="auto"/>
        </w:rPr>
      </w:pPr>
    </w:p>
    <w:p>
      <w:pPr>
        <w:ind w:left="286" w:right="380" w:hanging="286"/>
        <w:spacing w:after="0" w:line="250" w:lineRule="auto"/>
        <w:tabs>
          <w:tab w:leader="none" w:pos="28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studies of bitopertin and DISC-0974 to additional indications of interest and advancing several preclinical-stage programs in development designed to address hematologic diseases</w:t>
      </w:r>
    </w:p>
    <w:p>
      <w:pPr>
        <w:spacing w:after="0" w:line="188" w:lineRule="exact"/>
        <w:rPr>
          <w:sz w:val="20"/>
          <w:szCs w:val="20"/>
          <w:color w:val="auto"/>
        </w:rPr>
      </w:pPr>
    </w:p>
    <w:p>
      <w:pPr>
        <w:ind w:left="6" w:right="200"/>
        <w:spacing w:after="0" w:line="282" w:lineRule="auto"/>
        <w:rPr>
          <w:sz w:val="20"/>
          <w:szCs w:val="20"/>
          <w:color w:val="auto"/>
        </w:rPr>
      </w:pPr>
      <w:r>
        <w:rPr>
          <w:rFonts w:ascii="Times New Roman" w:cs="Times New Roman" w:eastAsia="Times New Roman" w:hAnsi="Times New Roman"/>
          <w:sz w:val="15"/>
          <w:szCs w:val="15"/>
          <w:color w:val="auto"/>
        </w:rPr>
        <w:t>As part of the closing of the merger, Gemini effected a 1 for 10 reverse split of its common stock. Following the reverse stock split and closing of the merger, there will be approximately 17 million shares of the combined company’s common stock outstanding with prior Disc shareholders owning approximately 74% and prior Gemini shareholders owning 26%. The Board of Directors of the combined company will be composed of nine members, including eight Disc board members and one board member from Gemini.</w:t>
      </w:r>
    </w:p>
    <w:p>
      <w:pPr>
        <w:spacing w:after="0" w:line="160" w:lineRule="exact"/>
        <w:rPr>
          <w:sz w:val="20"/>
          <w:szCs w:val="20"/>
          <w:color w:val="auto"/>
        </w:rPr>
      </w:pPr>
    </w:p>
    <w:p>
      <w:pPr>
        <w:ind w:left="6" w:right="60"/>
        <w:spacing w:after="0" w:line="245" w:lineRule="auto"/>
        <w:rPr>
          <w:sz w:val="20"/>
          <w:szCs w:val="20"/>
          <w:color w:val="auto"/>
        </w:rPr>
      </w:pPr>
      <w:r>
        <w:rPr>
          <w:rFonts w:ascii="Times New Roman" w:cs="Times New Roman" w:eastAsia="Times New Roman" w:hAnsi="Times New Roman"/>
          <w:sz w:val="19"/>
          <w:szCs w:val="19"/>
          <w:color w:val="auto"/>
        </w:rPr>
        <w:t>SVB Securities served as the exclusive financial advisor to Gemini and Wilmer Cutler Pickering Hale and Dorr LLP served as Gemini’s legal counsel. Morgan Stanley served as the lead financial advisor to Disc along with Wedbush PacGrow, and Goodwin Procter LLP served as Disc’s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50100" cy="146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4" w:right="319" w:bottom="1440" w:gutter="0" w:footer="0" w:header="0"/>
        </w:sectPr>
      </w:pPr>
    </w:p>
    <w:bookmarkStart w:id="263" w:name="page264"/>
    <w:bookmarkEnd w:id="263"/>
    <w:p>
      <w:pPr>
        <w:ind w:left="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960880" cy="3054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960880" cy="305435"/>
                    </a:xfrm>
                    <a:prstGeom prst="rect">
                      <a:avLst/>
                    </a:prstGeom>
                    <a:noFill/>
                  </pic:spPr>
                </pic:pic>
              </a:graphicData>
            </a:graphic>
          </wp:anchor>
        </w:drawing>
        <w:t>About Disc</w:t>
      </w:r>
    </w:p>
    <w:p>
      <w:pPr>
        <w:spacing w:after="0" w:line="217" w:lineRule="exact"/>
        <w:rPr>
          <w:sz w:val="20"/>
          <w:szCs w:val="20"/>
          <w:color w:val="auto"/>
        </w:rPr>
      </w:pPr>
    </w:p>
    <w:p>
      <w:pPr>
        <w:ind w:left="6" w:right="240"/>
        <w:spacing w:after="0" w:line="282" w:lineRule="auto"/>
        <w:rPr>
          <w:sz w:val="20"/>
          <w:szCs w:val="20"/>
          <w:color w:val="auto"/>
        </w:rPr>
      </w:pPr>
      <w:r>
        <w:rPr>
          <w:rFonts w:ascii="Times New Roman" w:cs="Times New Roman" w:eastAsia="Times New Roman" w:hAnsi="Times New Roman"/>
          <w:sz w:val="15"/>
          <w:szCs w:val="15"/>
          <w:color w:val="auto"/>
        </w:rPr>
        <w:t>Disc Medicine is a clinical-stage biopharmaceutical company committed to discovering, developing, and commercializing novel treatments for patients who suffer from serious hematologic diseases. We are building a portfolio of innovative,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Disc Cautionary Statement Regarding Forward-Looking Statements</w:t>
      </w:r>
    </w:p>
    <w:p>
      <w:pPr>
        <w:spacing w:after="0" w:line="217" w:lineRule="exact"/>
        <w:rPr>
          <w:sz w:val="20"/>
          <w:szCs w:val="20"/>
          <w:color w:val="auto"/>
        </w:rPr>
      </w:pPr>
    </w:p>
    <w:p>
      <w:pPr>
        <w:ind w:left="6"/>
        <w:spacing w:after="0" w:line="266" w:lineRule="auto"/>
        <w:rPr>
          <w:sz w:val="20"/>
          <w:szCs w:val="20"/>
          <w:color w:val="auto"/>
        </w:rPr>
      </w:pPr>
      <w:r>
        <w:rPr>
          <w:rFonts w:ascii="Times New Roman" w:cs="Times New Roman" w:eastAsia="Times New Roman" w:hAnsi="Times New Roman"/>
          <w:sz w:val="15"/>
          <w:szCs w:val="15"/>
          <w:color w:val="auto"/>
        </w:rPr>
        <w:t>This press release contains “forward-looking statements” within the meaning of the Private Securities Litigation Reform Act of 1995, including, but not limited to, express or implied statements regarding: future product development plans and projected timelines for the initiation and completion of preclinical and clinical trials and other activities; the potential for the results of ongoing preclinical or clinical trials and the efficacy of Disc’s product candidates; future product development and regulatory strategies, including with respect to specific indications; Disc’s plans for Gemini’s assets; Disc’s plans for its hematology portfolio; interactions with regulatory authorities; and Disc’s financial position.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2" w:lineRule="exact"/>
        <w:rPr>
          <w:sz w:val="20"/>
          <w:szCs w:val="20"/>
          <w:color w:val="auto"/>
        </w:rPr>
      </w:pPr>
    </w:p>
    <w:p>
      <w:pPr>
        <w:ind w:left="6"/>
        <w:spacing w:after="0" w:line="263" w:lineRule="auto"/>
        <w:rPr>
          <w:sz w:val="20"/>
          <w:szCs w:val="20"/>
          <w:color w:val="auto"/>
        </w:rPr>
      </w:pPr>
      <w:r>
        <w:rPr>
          <w:rFonts w:ascii="Times New Roman" w:cs="Times New Roman" w:eastAsia="Times New Roman" w:hAnsi="Times New Roman"/>
          <w:sz w:val="15"/>
          <w:szCs w:val="15"/>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(i) the outcome of any legal proceedings that may be instituted against the parties and others related to the merger agreement; (ii) unanticipated difficulties or expenditures relating to the merger, the response of business partners and competitors to the announcement or completion of the merger, and/or potential difficulties in employee retention as a result of the announcement or completion of the merger; (iii) Disc’s listing on the Nasdaq Capital Market and operating as a public company; (iv) the adequacy of Disc’s capital to support its future operations and its ability to successfully initiate and complete clinical trials; (v) the nature, strategy and focus of Disc; (vi) the difficulty in predicting the time and cost of development of Disc’s product candidates; (vii) Disc’s plans to research, develop and commercialize its current and future product candidates; (viii) the timing of initiation of Disc’s planned preclinical studies and clinical trials; (ix) the timing of the availability of data from Disc’s clinical trials; (x) the timing of any planned investigational new drug application or new drug application; (xi) the risk of cessation or delay of any ongoing or planned clinical trials of Disc or its collaborators; (xii) the clinical utility, potential benefits and market acceptance of Disc’s product candidates; (xiii) Disc’s commercialization, marketing and manufacturing capabilities and strategy; (xiv) Disc’s ability to identify additional product candidates with significant commercial potential and to expand its pipeline in hematological diseases;</w:t>
      </w:r>
    </w:p>
    <w:p>
      <w:pPr>
        <w:spacing w:after="0" w:line="3" w:lineRule="exact"/>
        <w:rPr>
          <w:sz w:val="20"/>
          <w:szCs w:val="20"/>
          <w:color w:val="auto"/>
        </w:rPr>
      </w:pPr>
    </w:p>
    <w:p>
      <w:pPr>
        <w:ind w:left="6" w:right="40" w:hanging="6"/>
        <w:spacing w:after="0" w:line="245" w:lineRule="auto"/>
        <w:tabs>
          <w:tab w:leader="none" w:pos="306"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Disc may not realize the intended benefits of its drug discovery platform; (xvi) developments and projections relating to Disc’s competitors and its industry; (xvii) the impact of government laws and regulations; (xviii) the impact of public health epidemics affecting countries or regions in which Disc has operations or does business, such as the COVID-19 pandemic, (xix)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(xx) the timing and outcome of Disc’s planned interactions with regulatory authorities; (xxi) findings from investigational review boards at clinical trial sites and publication review bodies; (xxii) Disc’s ability to protect its intellectual property position; (xxiii) Disc’s estimates regarding future revenue, expenses, capital requirements and need for additional financing; (xxiv) the other risks and uncertainties described in the “Risk Factors” section of the definitive proxy statement/prospectus dated December 2, 2022 and filed with the SEC under Rule 424(b) and other documents filed by Disc from time to time with the SEC, as well as discussions of potential risks, uncertainties, and other important factors in Disc’s subsequent filings with the Securities and Exchange Commission; and (xxv) the post-closing integration of Disc and Gemini.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50100" cy="146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814" w:right="3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960880" cy="3054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960880" cy="305435"/>
                    </a:xfrm>
                    <a:prstGeom prst="rect">
                      <a:avLst/>
                    </a:prstGeom>
                    <a:noFill/>
                  </pic:spPr>
                </pic:pic>
              </a:graphicData>
            </a:graphic>
          </wp:anchor>
        </w:drawing>
        <w:t>Media Contact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Peg Rusconi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Verge Scientific 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prusconi@vergescientific.com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12529"/>
        </w:rPr>
        <w:t>Investor Relations Contact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Christina Tartaglia (Investor)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Stern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christina.tartaglia@sternir.com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150100" cy="146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99.2</w:t>
      </w: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RISK FACTORS</w:t>
      </w: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Investing in our securities involves a high degree of risk. You should carefully consider the risk factors set forth below and under “Risk Factors” in</w:t>
      </w:r>
    </w:p>
    <w:p>
      <w:pPr>
        <w:spacing w:after="0" w:line="13" w:lineRule="exact"/>
        <w:rPr>
          <w:sz w:val="20"/>
          <w:szCs w:val="20"/>
          <w:color w:val="auto"/>
        </w:rPr>
      </w:pPr>
    </w:p>
    <w:p>
      <w:pPr>
        <w:jc w:val="both"/>
        <w:ind w:left="6" w:hanging="6"/>
        <w:spacing w:after="0" w:line="234" w:lineRule="auto"/>
        <w:tabs>
          <w:tab w:leader="none" w:pos="234"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Annual Report on Form 10-K for the year ended December 31, 2021 and (ii) our Quarterly Reports on Form 10-Q for the three months ended March 31, 2022, June 30, 2022 and September 30, 2022 as updated by our subsequent filings under the Securities Exchange Act of 1934, as amended, before deciding whether to purchase our securities. The risks and uncertainties we describe below and in the documents mentioned above are not the only ones we face. Additional risks and uncertainties not presently known to us could adversely affect our business, operating results and financial condition, as well as adversely affect the value of an investment in our securities, and the occurrence of any of these risks might cause you to lose all or part of your investment.</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Summary of Risk Factors</w:t>
      </w:r>
    </w:p>
    <w:p>
      <w:pPr>
        <w:spacing w:after="0" w:line="215" w:lineRule="exact"/>
        <w:rPr>
          <w:sz w:val="20"/>
          <w:szCs w:val="20"/>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limited operating history may make it difficult for you to evaluate the success of Disc’s business to date and to assess Disc’s future viability;</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has no products approved for commercial sale and has not generated any revenue from product sales;</w:t>
      </w:r>
    </w:p>
    <w:p>
      <w:pPr>
        <w:spacing w:after="0" w:line="215"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has only successfully completed one Phase 1 clinical trial, and may be unable to successfully complete any additional clinical trials for any product candidates it develops. Certain of Disc’s programs are still in preclinical development and may never advance to clinical development;</w:t>
      </w:r>
    </w:p>
    <w:p>
      <w:pPr>
        <w:spacing w:after="0" w:line="17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programs are focused on the development of therapeutics for patients with hematologic diseases, which is a rapidly evolving area of science, and the approach Disc is taking to discover and develop product candidates is novel and may never lead to approved or marketable products;</w:t>
      </w:r>
    </w:p>
    <w:p>
      <w:pPr>
        <w:spacing w:after="0" w:line="17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incur additional costs or experience delays in initiating or completing, or ultimately be unable to complete, the development and commercialization of its product candidates;</w:t>
      </w:r>
    </w:p>
    <w:p>
      <w:pPr>
        <w:spacing w:after="0" w:line="173"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faces substantial competition, which may result in others discovering, developing, or commercializing products before or more successfully than Disc does;</w:t>
      </w:r>
    </w:p>
    <w:p>
      <w:pPr>
        <w:spacing w:after="0" w:line="215" w:lineRule="exact"/>
        <w:rPr>
          <w:rFonts w:ascii="Times New Roman" w:cs="Times New Roman" w:eastAsia="Times New Roman" w:hAnsi="Times New Roman"/>
          <w:sz w:val="16"/>
          <w:szCs w:val="16"/>
          <w:color w:val="auto"/>
        </w:rPr>
      </w:pPr>
    </w:p>
    <w:p>
      <w:pPr>
        <w:jc w:val="both"/>
        <w:ind w:left="566" w:hanging="284"/>
        <w:spacing w:after="0" w:line="257"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relies on third parties to conduct its current clinical trials and expects to continue to rely on third parties. If these third parties do not successfully carry out their contractual duties, comply with regulatory requirements, or meet expected deadlines, Disc may not be able to obtain regulatory approval for or commercialize its product candidates and its business could be substantially harmed;</w:t>
      </w:r>
    </w:p>
    <w:p>
      <w:pPr>
        <w:spacing w:after="0" w:line="18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Disc is unable to obtain and maintain patent and other intellectual property protection for its technology and product candidates, its competitors could develop and commercialize technology and drugs similar to Disc’s, and Disc may not be able to compete effectively in its market; and</w:t>
      </w:r>
    </w:p>
    <w:p>
      <w:pPr>
        <w:spacing w:after="0" w:line="17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regulatory approval of Disc’s product candidates in one jurisdiction does not mean that it will be successful in obtaining regulatory approval of its product candidates in other jurisdictions.</w:t>
      </w:r>
    </w:p>
    <w:p>
      <w:pPr>
        <w:spacing w:after="0" w:line="173"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Disc’s common stock is expected to be volatile, and the market price of the common stock may drop following the merger;</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need to raise additional capital in the future, and such funds may not be available on attractive terms, or at all;</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assets subject to the CVR Agreement are not disposed of in a timely manner, Disc may have to incur time and resources to wind down or dispose of such assets;</w:t>
      </w:r>
    </w:p>
    <w:p>
      <w:pPr>
        <w:spacing w:after="0" w:line="215" w:lineRule="exact"/>
        <w:rPr>
          <w:rFonts w:ascii="Times New Roman" w:cs="Times New Roman" w:eastAsia="Times New Roman" w:hAnsi="Times New Roman"/>
          <w:sz w:val="16"/>
          <w:szCs w:val="16"/>
          <w:color w:val="auto"/>
        </w:rPr>
      </w:pPr>
    </w:p>
    <w:p>
      <w:pPr>
        <w:ind w:left="566"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 Disc is no longer an emerging growth company, a smaller reporting company or otherwise no longer qualifies for applicable exemptions, Disc will be subject to additional laws and regulations affecting public companies that will increase Disc’s costs and the demands on management and could harm Disc’s operating results;</w:t>
      </w:r>
    </w:p>
    <w:p>
      <w:pPr>
        <w:spacing w:after="0" w:line="173"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Disc’s charter documents and under Delaware law could make an acquisition of Disc more difficult and may discourage any takeover attempts which stockholders may consider favorable, and may lead to entrenchment of management;</w:t>
      </w:r>
    </w:p>
    <w:p>
      <w:pPr>
        <w:spacing w:after="0" w:line="173"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trading market for Disc’s common stock may not develop and its stockholders may not be able to resell their shares of common stock for a profit, if at all;</w:t>
      </w:r>
    </w:p>
    <w:p>
      <w:pPr>
        <w:spacing w:after="0" w:line="215" w:lineRule="exact"/>
        <w:rPr>
          <w:rFonts w:ascii="Times New Roman" w:cs="Times New Roman" w:eastAsia="Times New Roman" w:hAnsi="Times New Roman"/>
          <w:sz w:val="16"/>
          <w:szCs w:val="16"/>
          <w:color w:val="auto"/>
        </w:rPr>
      </w:pPr>
    </w:p>
    <w:p>
      <w:pPr>
        <w:ind w:left="566" w:right="20"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completion of the merger, Disc’s executive officers, directors and principal stockholders will have the ability to control or significantly influence all matters submitted to Disc’s stockholders for approval; and</w:t>
      </w:r>
    </w:p>
    <w:p>
      <w:pPr>
        <w:spacing w:after="0" w:line="173" w:lineRule="exact"/>
        <w:rPr>
          <w:rFonts w:ascii="Times New Roman" w:cs="Times New Roman" w:eastAsia="Times New Roman" w:hAnsi="Times New Roman"/>
          <w:sz w:val="16"/>
          <w:szCs w:val="16"/>
          <w:color w:val="auto"/>
        </w:rPr>
      </w:pPr>
    </w:p>
    <w:p>
      <w:pPr>
        <w:ind w:left="566" w:hanging="284"/>
        <w:spacing w:after="0" w:line="270" w:lineRule="auto"/>
        <w:tabs>
          <w:tab w:leader="none" w:pos="566"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will have broad discretion in the use of the cash and cash equivalents of Disc and the proceeds from the Disc pre-closing financing and may invest or spend the proceeds in ways with which you do not agree and in ways that may not increase the value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50100" cy="146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3" w:right="3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9"/>
          <w:szCs w:val="19"/>
          <w:b w:val="1"/>
          <w:bCs w:val="1"/>
          <w:color w:val="auto"/>
        </w:rPr>
        <w:t>Risks Related to Disc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Disc’s Limited Operating History, Financial Position, and Capital Requirements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Disc’s limited operating history may make it difficult for you to evaluate the success of Disc’s business to date and to assess Disc’s future viability.</w:t>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commenced operations in 2017 and is a clinical-stage biopharmaceutical company with a limited operating history. Biopharmaceutical product development is a highly speculative undertaking and involves a substantial degree of risk. Since Disc’s inception in October 2017, Disc has devoted substantially all of its efforts to organizing and staffing its company, business planning, capital raising, establishing and maintaining its intellectual property portfolio, building its pipeline of product candidates, conducting drug discovery activities, undertaking preclinical studies, conducting early-stage clinical trials, and providing general and administrative support for these operations. Disc has not yet demonstrated its ability to successfully develop any product candidate, obtain regulatory approvals, manufacture a commercial scale product or arrange for a third party to do so on its behalf, or conduct sales and marketing activities necessary for successful product commercialization. Consequently, any predictions you make about Disc’s future success or viability may not be as accurate as they could be if Disc had a longer operating history or a history of successfully developing and commercializing products.</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In addition, as Disc’s business grows, Disc may encounter unforeseen expenses, difficulties, complications, delays and other known and unknown factors. Disc will need to transition at some point from a company with a research and development focus to a company capable of supporting commercial activities. Disc may not be successful in such a transition.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 has incurred significant net losses since its inception and anticipates that it will continue to incur losses for the foreseeable future.</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Disc’s net losses were $20.9 million and $36.0 million for the years ended December 31, 2020 and 2021, respectively. Disc had an accumulated deficit of $101.0 million as of September 30, 2022. Substantially all of Disc’s net losses have resulted from costs incurred in connection with Disc’s research and development programs and from general and administrative costs associated with Disc’s operations. Disc expects its research and development expenses to increase significantly in connection with the commencement and continuation of clinical trials of its product candidates. In addition, if Disc obtains regulatory approval for its product candidates, Disc will incur significant sales, marketing and manufacturing expenses. Once Disc is a public company, Disc will incur additional costs associated with operating as a public company. As a result, Disc expects to continue to incur significant and increasing operating losses over the next several years and for the foreseeable future. Because of the numerous risks and uncertainties associated with developing pharmaceutical products, Disc is unable to predict the extent of any future losses or when Disc will become profitable, if at all. Even if Disc does become profitable, Disc may not be able to sustain or increase its profitability on a quarterly or annual basis.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amount of Disc’s future losses is uncertain and Disc’s quarterly and annual operating results may fluctuate significantly in the future due to a variety of factors, many of which are outside of its control and may be difficult to predict, including the following:</w:t>
      </w:r>
    </w:p>
    <w:p>
      <w:pPr>
        <w:spacing w:after="0" w:line="169" w:lineRule="exact"/>
        <w:rPr>
          <w:sz w:val="20"/>
          <w:szCs w:val="20"/>
          <w:color w:val="auto"/>
        </w:rPr>
      </w:pPr>
    </w:p>
    <w:p>
      <w:pPr>
        <w:ind w:left="560" w:right="20" w:hanging="284"/>
        <w:spacing w:after="0" w:line="270" w:lineRule="auto"/>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or failure of preclinical studies and clinical trials for its product candidates or competing product candidates, or any other change in the competitive landscape of its industry, including consolidation among its competitors or partners;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successfully open clinical trial sites and recruit and retain subjects for clinical trials, and any delays caused by difficulties in such efforts;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obtain regulatory approval for its product candidates, and the timing and scope of any such approvals Disc may receive;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 of, and level of investment in, research and development activities relating to Disc’s product candidates, which may change from time to time;</w:t>
      </w:r>
    </w:p>
    <w:p>
      <w:pPr>
        <w:spacing w:after="0" w:line="215" w:lineRule="exact"/>
        <w:rPr>
          <w:rFonts w:ascii="Times New Roman" w:cs="Times New Roman" w:eastAsia="Times New Roman" w:hAnsi="Times New Roman"/>
          <w:sz w:val="16"/>
          <w:szCs w:val="16"/>
          <w:color w:val="auto"/>
        </w:rPr>
      </w:pPr>
    </w:p>
    <w:p>
      <w:pPr>
        <w:ind w:left="560" w:right="140" w:hanging="284"/>
        <w:spacing w:after="0" w:line="270" w:lineRule="auto"/>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Disc’s product candidates and products, should they receive regulatory approval, which may vary depending on the quantity of production and the terms of its agreements with manufacturers;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attract, hire and retain qualified personnel;</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that Disc will or may incur to develop additional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demand for Disc’s products should they receive regulatory approval, which may vary significantly;</w:t>
      </w:r>
    </w:p>
    <w:p>
      <w:pPr>
        <w:spacing w:after="0" w:line="215" w:lineRule="exact"/>
        <w:rPr>
          <w:rFonts w:ascii="Times New Roman" w:cs="Times New Roman" w:eastAsia="Times New Roman" w:hAnsi="Times New Roman"/>
          <w:sz w:val="16"/>
          <w:szCs w:val="16"/>
          <w:color w:val="auto"/>
        </w:rPr>
      </w:pPr>
    </w:p>
    <w:p>
      <w:pPr>
        <w:ind w:left="560" w:right="60" w:hanging="284"/>
        <w:spacing w:after="0" w:line="270" w:lineRule="auto"/>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risk/benefit profile, cost and reimbursement policies with respect to Disc’s product candidates, if approved, and existing and potential future therapeutics that compete with Disc’s product candidates;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changing and volatile U.S. and global economic environments, including as a result of the ongoing COVID-19 pandemic;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accounting pronouncements or changes in Disc’s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67" w:name="page268"/>
    <w:bookmarkEnd w:id="267"/>
    <w:p>
      <w:pPr>
        <w:jc w:val="both"/>
        <w:spacing w:after="0" w:line="238" w:lineRule="auto"/>
        <w:rPr>
          <w:sz w:val="20"/>
          <w:szCs w:val="20"/>
          <w:color w:val="auto"/>
        </w:rPr>
      </w:pPr>
      <w:r>
        <w:rPr>
          <w:rFonts w:ascii="Times New Roman" w:cs="Times New Roman" w:eastAsia="Times New Roman" w:hAnsi="Times New Roman"/>
          <w:sz w:val="19"/>
          <w:szCs w:val="19"/>
          <w:color w:val="auto"/>
        </w:rPr>
        <w:t>The cumulative effects of these factors could result in large fluctuations and unpredictability in Disc’s quarterly and annual operating results. As a result, comparing Disc’s operating results on a period-to-period basis may not be meaningful. This variability and unpredictability could also result in Disc failing to meet the expectations of industry or financial analysts or investors for any period. If Disc’s revenue or operating results fall below the expectations of analysts or investors or below any forecasts Disc may provide to the market, or if the forecasts Disc provides to the market are below the expectations of analysts or investors, the price of Disc’s common stock could decline substantially. Such a stock price decline could occur even if Disc has met any previously publicly stated guidance it may provide.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 has no products approved for commercial sale and has not generated any revenue from product sales.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Disc’s ability to become profitable depends upon Disc’s ability to generate revenue. To date, Disc has not generated collaborative revenue from its product candidates and has not generated revenue from product sales, and does not expect to generate any revenue from the sale of products in the near future. Disc does not expect to generate significant revenue unless and until Disc obtains regulatory approval of, and begins to sell, one or more of its product candidates. Disc’s ability to generate revenue depends on a number of factors, including, but not limited to, Disc’s ability to:</w:t>
      </w:r>
    </w:p>
    <w:p>
      <w:pPr>
        <w:spacing w:after="0" w:line="186" w:lineRule="exact"/>
        <w:rPr>
          <w:sz w:val="20"/>
          <w:szCs w:val="20"/>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complete its ongoing and planned preclinical studies for its current and future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file and receive acceptance of its INDs in order to commence its planned clinical trials or future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enroll subjects in, and complete, its ongoing and planned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and successfully complete all safety and efficacy studies necessary to obtain U.S. and foreign regulatory approval for its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address the prevalence, duration and severity of potential side effects or other safety issues experienced with its product candidates, if any;</w:t>
      </w:r>
    </w:p>
    <w:p>
      <w:pPr>
        <w:spacing w:after="0" w:line="215" w:lineRule="exact"/>
        <w:rPr>
          <w:rFonts w:ascii="Times New Roman" w:cs="Times New Roman" w:eastAsia="Times New Roman" w:hAnsi="Times New Roman"/>
          <w:sz w:val="16"/>
          <w:szCs w:val="16"/>
          <w:color w:val="auto"/>
        </w:rPr>
      </w:pPr>
    </w:p>
    <w:p>
      <w:pPr>
        <w:ind w:left="560" w:right="360" w:hanging="284"/>
        <w:spacing w:after="0" w:line="270" w:lineRule="auto"/>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file New Drug Applications, or NDAs, and Biologic License Applications, or BLAs, and receive regulatory approvals for its product candidates from the U.S. Food and Drug Administration, or the FDA, and comparable foreign regulatory authorities;</w:t>
      </w:r>
    </w:p>
    <w:p>
      <w:pPr>
        <w:spacing w:after="0" w:line="173" w:lineRule="exact"/>
        <w:rPr>
          <w:rFonts w:ascii="Times New Roman" w:cs="Times New Roman" w:eastAsia="Times New Roman" w:hAnsi="Times New Roman"/>
          <w:sz w:val="16"/>
          <w:szCs w:val="16"/>
          <w:color w:val="auto"/>
        </w:rPr>
      </w:pPr>
    </w:p>
    <w:p>
      <w:pPr>
        <w:ind w:left="560" w:right="440" w:hanging="284"/>
        <w:spacing w:after="0" w:line="270" w:lineRule="auto"/>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maintain clinical and commercial manufacturing capabilities or make arrangements with third-party manufacturers for clinical supply and commercial manufacturing;</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patent and trade secret protection or regulatory exclusivity for its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commercial sales of its products, if and when approved, whether alone or in collaboration with others;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acceptance of the products, if and when approved, by patients, the medical community and third-party payors;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position its product candidates to effectively compete with other therapies;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healthcare coverage and adequate reimbursement;</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 and defend intellectual property rights and claims;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measures to help minimize the risk of COVID-19 to its employees as well as patients and subjects enrolled in its clinical trials;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continued acceptable safety profile of its products following approval.</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If Disc does not achieve one or more of these factors in a timely manner or at all, Disc could experience significant delays or an inability to successfully commercialize its product candidates, which would materially harm its business. If Disc does not receive regulatory approvals for its product candidates, it may not be able to continue its operations.</w:t>
      </w:r>
    </w:p>
    <w:p>
      <w:pPr>
        <w:spacing w:after="0" w:line="17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Even if Disc completes the merger, Disc will need to raise substantial additional funding. If Disc is unable to raise capital when needed or on terms acceptable to Disc, it would be forced to delay, reduce, or eliminate some of its product development programs or commercialization efforts.</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development of pharmaceutical products is capital-intensive. Disc is currently advancing its hematologic disease programs through preclinical and clinical development. Disc expects its expenses to significantly increase in connection with its ongoing activities, particularly as Disc continues the research and development of, initiates and completes clinical trials of, and seeks regulatory approval for, its product candidates. In addition, depending on the status of regulatory approval or, if Disc obtains regulatory approval for any of its product candidates, Disc expects to incur significant commercialization expenses related to product sales, marketing, manufacturing and distribution. Disc may also need to raise additional funds sooner if Disc chooses to pursue additional indications and/or geographies for its current or future product candidates or otherwise expands more rapidly than presently anticipated. Furthermore, upon the closing of the merger, Disc expects to incur additional costs associated with operating as a public company. Accordingly, even if the merger is consummated, Disc will need to obtain substantial additional funding in connection with its continuing operations. If Disc is unable to raise capital when needed or on attractive terms, Disc would be forced to delay, reduce, or eliminate certain of its research and development programs or future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68" w:name="page269"/>
    <w:bookmarkEnd w:id="268"/>
    <w:p>
      <w:pPr>
        <w:jc w:val="both"/>
        <w:spacing w:after="0" w:line="241" w:lineRule="auto"/>
        <w:rPr>
          <w:sz w:val="20"/>
          <w:szCs w:val="20"/>
          <w:color w:val="auto"/>
        </w:rPr>
      </w:pPr>
      <w:r>
        <w:rPr>
          <w:rFonts w:ascii="Times New Roman" w:cs="Times New Roman" w:eastAsia="Times New Roman" w:hAnsi="Times New Roman"/>
          <w:sz w:val="19"/>
          <w:szCs w:val="19"/>
          <w:color w:val="auto"/>
        </w:rPr>
        <w:t>Disc believes that, following the closing of the merger, Disc will have cash and cash equivalents that will enable Disc to fund operating expenses and capital expenditure requirements into 2025. However, Disc has based this estimate on assumptions that may prove to be wrong, and Disc could exhaust its available capital resources sooner than expected. Disc’s future capital requirements will depend on and could increase significantly as a result of many factors, including:</w:t>
      </w:r>
    </w:p>
    <w:p>
      <w:pPr>
        <w:spacing w:after="0" w:line="186" w:lineRule="exact"/>
        <w:rPr>
          <w:sz w:val="20"/>
          <w:szCs w:val="20"/>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progress of preclinical and clinical development activities;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scope of preclinical and clinical programs Disc decides to pursue;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raise additional funds necessary to complete clinical development of and commercialize its product candidates;</w:t>
      </w:r>
    </w:p>
    <w:p>
      <w:pPr>
        <w:spacing w:after="0" w:line="215" w:lineRule="exact"/>
        <w:rPr>
          <w:rFonts w:ascii="Times New Roman" w:cs="Times New Roman" w:eastAsia="Times New Roman" w:hAnsi="Times New Roman"/>
          <w:sz w:val="16"/>
          <w:szCs w:val="16"/>
          <w:color w:val="auto"/>
        </w:rPr>
      </w:pPr>
    </w:p>
    <w:p>
      <w:pPr>
        <w:ind w:left="560" w:right="240" w:hanging="284"/>
        <w:spacing w:after="0" w:line="270" w:lineRule="auto"/>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establish new licensing or collaboration arrangements and the progress of the development efforts of third parties with whom Disc may enter into such arrangements;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maintain its current research and development programs and to establish new programs;</w:t>
      </w:r>
    </w:p>
    <w:p>
      <w:pPr>
        <w:spacing w:after="0" w:line="215" w:lineRule="exact"/>
        <w:rPr>
          <w:rFonts w:ascii="Times New Roman" w:cs="Times New Roman" w:eastAsia="Times New Roman" w:hAnsi="Times New Roman"/>
          <w:sz w:val="16"/>
          <w:szCs w:val="16"/>
          <w:color w:val="auto"/>
        </w:rPr>
      </w:pPr>
    </w:p>
    <w:p>
      <w:pPr>
        <w:ind w:left="560" w:right="420" w:hanging="284"/>
        <w:spacing w:after="0" w:line="270" w:lineRule="auto"/>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successful initiation, enrollment and completion of clinical trials with safety, tolerability and efficacy profiles that are satisfactory to the FDA or any comparable foreign regulatory authority;</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related terms of regulatory approvals from applicable regulatory authorities for any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raw materials for use in production of its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agreements with third-party manufacturers for supply of product candidate components for its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obtain and maintain patents, trade secret protection and regulatory exclusivity, both in the United States and internationally;</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protect its other rights in its intellectual property portfolio;</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commercializing product candidates, if and when approved, whether alone or in collaboration with others;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third-party insurance coverage and adequate reimbursement for any approved products;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additional expenses attributable to adjusting Disc’s development plans (including any supply related matters) to the ongoing COVID-19 pandemic.</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Identifying potential product candidates and conducting preclinical development testing and clinical trials is a time-consuming, expensive and uncertain process that takes years to complete, and Disc may never generate the necessary data or results required to obtain regulatory approval and achieve product sales. In addition, Disc’s product candidates, if approved, may not achieve commercial success. Disc’s commercial revenue, if any, will be derived from sales of products that Disc does not expect to be commercially available for many years, if at all. Accordingly, Disc will need to continue to rely on additional financing to achieve its business objectives.</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Any additional fundraising efforts may divert Disc’s management from their day-to-day activities, which may adversely affect Disc’s ability to develop and commercialize its product candidates. Disruptions in the financial markets in general and more recently due to the ongoing COVID-19 pandemic may make equity and debt financing more difficult to obtain and may have a material adverse effect on Disc’s ability to meet its fundraising needs. Disc cannot guarantee that future financing will be available in sufficient amounts or on terms acceptable to Disc, if at all.</w:t>
      </w:r>
    </w:p>
    <w:p>
      <w:pPr>
        <w:spacing w:after="0" w:line="17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If Disc is unable to obtain funding on a timely basis or on acceptable terms, Disc may be required to significantly curtail, delay or discontinue one or more of its research or development programs or the commercialization of any product that has received regulatory approval or be unable to expand its operations or otherwise capitalize on its business opportunities as desired, which could materially affect its business, financial condition and results of operations.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Raising additional capital may cause dilution to Disc’s stockholders, restrict its operations or require it to relinquish rights to its technologies or product candidates.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Until such time, if ever, as Disc, operating as Disc, can generate substantial product revenue, Disc expects to finance its cash needs through a combination of private and public equity offerings, debt financings, collaborations, strategic alliances and licensing arrangements. Disc does not have any committed external source of funds. The terms of any financing may adversely affect the holdings or the rights of Disc’s stockholders and the issuance of additional securities, whether equity or debt, by Disc, or the possibility of such issuance, may cause the market price of Disc’s shares to decline. To the extent that Disc raises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Disc’s fixed payment obligations and may involve agreements that include covenants limiting or restricting Disc’s ability to take specific actions, such as incurring additional debt, acquiring, selling or licensing intellectual property rights, and making capital expenditures, declaring dividends or other operating restrictions that could adversely impact Disc’s ability to conduct its business. Disc could also be required to meet certain milestones in connection with debt financing and the failure to achieve such milestones by certain dates may force Disc to relinquish rights to some of its technologies or product candidates or otherwise agree to terms unfavorable to Disc which could have a material adverse effect on Disc’s business, operating results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0100" cy="146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69" w:name="page270"/>
    <w:bookmarkEnd w:id="269"/>
    <w:p>
      <w:pPr>
        <w:jc w:val="both"/>
        <w:spacing w:after="0" w:line="239" w:lineRule="auto"/>
        <w:rPr>
          <w:sz w:val="20"/>
          <w:szCs w:val="20"/>
          <w:color w:val="auto"/>
        </w:rPr>
      </w:pPr>
      <w:r>
        <w:rPr>
          <w:rFonts w:ascii="Times New Roman" w:cs="Times New Roman" w:eastAsia="Times New Roman" w:hAnsi="Times New Roman"/>
          <w:sz w:val="19"/>
          <w:szCs w:val="19"/>
          <w:color w:val="auto"/>
        </w:rPr>
        <w:t>Disc also could be required to seek funds through arrangements with collaborators or otherwise at an earlier stage than otherwise would be desirable. If Disc raises funds through collaborations, strategic alliances or licensing arrangements with third parties, Disc may have to relinquish valuable rights to its intellectual property, future revenue streams, research programs or product candidates, grant licenses on terms that may not be favorable to Disc or grant rights to develop and market product candidates that Disc would otherwise prefer to develop and market itself, any of which may have a material adverse effect on Disc’s business, operating results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Discovery and Development of Disc’s Product Candidates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ongoing COVID-19 pandemic, or a similar pandemic, epidemic, or outbreak of an infectious disease, may materially and adversely affect Disc’s business and financial results and could cause a disruption to the development of Disc’s product candidates.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Public health crises such as pandemics, including the ongoing COVID-19 pandemic, or similar outbreaks could adversely impact Disc’s business. The extent to which the coronavirus impacts Disc’s operations or those of its third-party partners, including its preclinical studies or clinical trial operations, will depend on future developments, which are highly uncertain and cannot be predicted with confidence, including the duration of the outbreak, the identification of new variants of the virus, new information that will emerge concerning the severity of the coronavirus and the actions to contain the coronavirus or treat its impact, among others. The global impact of COVID-19 could adversely impact Disc’s preclinical or clinical trial operations, including Disc’s ability to recruit and retain patients and principal investigators and site staff who, as healthcare providers, may have heightened exposure to COVID-19. For example, similar to other biopharmaceutical companies, Disc may experience delays in initiating preclinical studies or clinical trials, protocol deviations, enrolling its clinical trials, or dosing of patients in its clinical trials, activating new trial sites or in receiving supplies for preclinical study or clinical trial operations. For example, Disc previously experienced delays in recruiting trial participants at its clinical site for its Phase 1 clinical trial of DISC-0974, and could in the future experience similar delays in recruiting patients to its clinical trials, including BEACON, a Phase 2 open-label, parallel-dose clinical trial of bitopertin in EPP and XLP patients that is being conducted at sites in Australia, and/or AURORA, a Phase 2, randomized, double-blind, placebo-controlled clinical trial of bitopertin in EPP patients that is being conducted at sites in the United States.</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Since the beginning of the COVID-19 pandemic, several vaccines for COVID-19 have received Emergency Use Authorization by the FDA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Disc’s clinical trials, which could lead to delays in these trials. COVID-19 may also affect employees of third-party CROs located in affected geographies that Disc relies upon to carry out its clinical trials. Personnel and raw materials have been allocated preferentially to manufacturing of COVID-19 vaccines and therapies, which caused delays to Disc’s Phase 1 clinical trial of DISC-0974. In addition, supply chains for reagents and equipment have similarly been disrupted requiring long lead time and additional expenses to secure necessary supplies for Disc’s clinical trials.</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addition, the patient populations that Disc’s product candidates target may be particularly susceptible to COVID-19, which may make it more difficult for Disc to identify patients able to enroll in its current and future clinical trials and may impact the ability of enrolled patients to complete any such trials. There may also be delays in necessary interactions with regulators, institutional review boards, or IRBs, or ethics committees, and other important agencies and contractors due to limitations in employee resource or forced furlough of government employees. Any negative impact COVID-19 has to patient enrollment or treatment or the supply of Disc’s product candidates could cause costly delays to clinical trial activities, which could adversely affect Disc’s ability to obtain regulatory approval for and to commercialize its product candidates, increase its operating expenses, and have a material adverse effect on its financial results.</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Additionally, timely enrollment in planned and ongoing clinical trials is dependent upon clinical trial sites which could be adversely affected by global health matters, such as pandemics. Disc is currently conducting and planning to conduct clinical trials for its product candidates in geographies which are currently being affected by the COVID-19 pandemic. Some factors from the COVID-19 pandemic that will delay or otherwise adversely affect enrollment in the clinical trials of Disc’s product candidates, as well as Disc’s business generally, include:</w:t>
      </w:r>
    </w:p>
    <w:p>
      <w:pPr>
        <w:spacing w:after="0" w:line="186" w:lineRule="exact"/>
        <w:rPr>
          <w:sz w:val="20"/>
          <w:szCs w:val="20"/>
          <w:color w:val="auto"/>
        </w:rPr>
      </w:pPr>
    </w:p>
    <w:p>
      <w:pPr>
        <w:ind w:left="560" w:right="320" w:hanging="284"/>
        <w:spacing w:after="0" w:line="304" w:lineRule="auto"/>
        <w:tabs>
          <w:tab w:leader="none" w:pos="560"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diversion of healthcare resources away from the conduct of clinical trials to focus on pandemic concerns, including the attention of physicians serving as Disc’s clinical trial investigators, hospitals serving as Disc’s clinical trial sites and hospital staff supporting the conduct of Disc’s prospective clinical trials;</w:t>
      </w:r>
    </w:p>
    <w:p>
      <w:pPr>
        <w:spacing w:after="0" w:line="150" w:lineRule="exact"/>
        <w:rPr>
          <w:rFonts w:ascii="Times New Roman" w:cs="Times New Roman" w:eastAsia="Times New Roman" w:hAnsi="Times New Roman"/>
          <w:sz w:val="15"/>
          <w:szCs w:val="15"/>
          <w:color w:val="auto"/>
        </w:rPr>
      </w:pPr>
    </w:p>
    <w:p>
      <w:pPr>
        <w:ind w:left="560" w:right="160" w:hanging="284"/>
        <w:spacing w:after="0" w:line="253" w:lineRule="auto"/>
        <w:tabs>
          <w:tab w:leader="none" w:pos="560"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Disc’s clinical trial sites or secure visas or entry permissions, a loss of face-to-face meetings and other interactions with potential partners, any of which could delay or adversely impact the conduct or progress of Disc’s prospective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0" w:name="page271"/>
    <w:bookmarkEnd w:id="270"/>
    <w:p>
      <w:pPr>
        <w:ind w:left="560" w:hanging="284"/>
        <w:spacing w:after="0"/>
        <w:tabs>
          <w:tab w:leader="none" w:pos="56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negative affect on the operations of Disc’s third-party manufacturers;</w:t>
      </w:r>
    </w:p>
    <w:p>
      <w:pPr>
        <w:spacing w:after="0" w:line="215" w:lineRule="exact"/>
        <w:rPr>
          <w:rFonts w:ascii="Times New Roman" w:cs="Times New Roman" w:eastAsia="Times New Roman" w:hAnsi="Times New Roman"/>
          <w:sz w:val="16"/>
          <w:szCs w:val="16"/>
          <w:color w:val="auto"/>
        </w:rPr>
      </w:pPr>
    </w:p>
    <w:p>
      <w:pPr>
        <w:ind w:left="560" w:right="320" w:hanging="284"/>
        <w:spacing w:after="0" w:line="270" w:lineRule="auto"/>
        <w:tabs>
          <w:tab w:leader="none" w:pos="56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in global shipping affecting the transport of clinical trial materials, such as patient samples, investigational drug product and other supplies used in Disc’s clinical trials;</w:t>
      </w:r>
    </w:p>
    <w:p>
      <w:pPr>
        <w:spacing w:after="0" w:line="173" w:lineRule="exact"/>
        <w:rPr>
          <w:rFonts w:ascii="Times New Roman" w:cs="Times New Roman" w:eastAsia="Times New Roman" w:hAnsi="Times New Roman"/>
          <w:sz w:val="16"/>
          <w:szCs w:val="16"/>
          <w:color w:val="auto"/>
        </w:rPr>
      </w:pPr>
    </w:p>
    <w:p>
      <w:pPr>
        <w:ind w:left="560" w:right="40" w:hanging="284"/>
        <w:spacing w:after="0" w:line="270" w:lineRule="auto"/>
        <w:tabs>
          <w:tab w:leader="none" w:pos="56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disruptions caused by potential workplace, laboratory and office closures and an increased reliance on employees working from home, disruptions to or delays in ongoing laboratory experiments;</w:t>
      </w:r>
    </w:p>
    <w:p>
      <w:pPr>
        <w:spacing w:after="0" w:line="173" w:lineRule="exact"/>
        <w:rPr>
          <w:rFonts w:ascii="Times New Roman" w:cs="Times New Roman" w:eastAsia="Times New Roman" w:hAnsi="Times New Roman"/>
          <w:sz w:val="16"/>
          <w:szCs w:val="16"/>
          <w:color w:val="auto"/>
        </w:rPr>
      </w:pPr>
    </w:p>
    <w:p>
      <w:pPr>
        <w:ind w:left="560" w:right="760" w:hanging="284"/>
        <w:spacing w:after="0" w:line="270" w:lineRule="auto"/>
        <w:tabs>
          <w:tab w:leader="none" w:pos="56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staffing shortages, travel limitations or mass transit disruptions, any of which could adversely impact Disc’s business operations or delay necessary interactions with local regulators, ethics committees and other important agencies and contractors;</w:t>
      </w:r>
    </w:p>
    <w:p>
      <w:pPr>
        <w:spacing w:after="0" w:line="173" w:lineRule="exact"/>
        <w:rPr>
          <w:rFonts w:ascii="Times New Roman" w:cs="Times New Roman" w:eastAsia="Times New Roman" w:hAnsi="Times New Roman"/>
          <w:sz w:val="16"/>
          <w:szCs w:val="16"/>
          <w:color w:val="auto"/>
        </w:rPr>
      </w:pPr>
    </w:p>
    <w:p>
      <w:pPr>
        <w:ind w:left="560" w:right="60" w:hanging="284"/>
        <w:spacing w:after="0" w:line="270" w:lineRule="auto"/>
        <w:tabs>
          <w:tab w:leader="none" w:pos="56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local regulations as part of a response to the COVID-19 pandemic, which may require Disc to change the ways in which its clinical trials are conducted, which may result in unexpected costs, or to discontinue such clinical trials altogether; and</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or delays in the operations of the FDA or other regulatory authorities, which may impact review and approval timelines.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Further, as a result of the COVID-19 pandemic, the extent and length of which is uncertain, Disc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Good Clinical Practice, or GCP, requirements, with any material protocol deviation reviewed and approved by the site IRB. Patients who may miss scheduled appointments, any interruption in trial drug supply or other consequence that may result in incomplete data being generated during a trial as a result of the pandemic must be adequately documented and justified.</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has also taken temporary precautionary measures intended to help minimize the risk of the virus to its employees, including reduced and optional on-site work hours, allowing employees to work remotely at their discretion, reduced travel for work-related meetings, and requiring all employees to be vaccinated against COVID-19. Disc cannot presently predict the scope and severity of the planned and potential shutdowns or disruptions of businesses and government agencies, such as the Securities and Exchange Commission, or the SEC, or FDA.</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These and other factors arising from COVID-19 could worsen. Any of these factors, and other factors related to any such disruptions that are unforeseen, could have a material adverse effect on Disc’s business and results of operation and financial condition. Further, uncertainty around these and related issues could lead to adverse effects on the economy of the United States and other economies, which could impact Disc’s ability to raise the necessary capital needed to develop and commercialize its programs and product candidates.</w:t>
      </w:r>
    </w:p>
    <w:p>
      <w:pPr>
        <w:spacing w:after="0" w:line="17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Disc has only successfully completed one Phase 1 clinical trial, and may be unable to successfully complete any additional clinical trials for any product candidates it develops. Certain of Disc’s programs are still in preclinical development and may never advance to clinical development.</w:t>
      </w:r>
    </w:p>
    <w:p>
      <w:pPr>
        <w:spacing w:after="0" w:line="1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Disc has completed one Phase 1 clinical trial and has not yet demonstrated its continued ability to successfully complete clinical trials, including large-scale, pivotal clinical trials, obtain regulatory approvals, manufacture a commercial scale product, or arrange for a third party to do so on its behalf, or conduct sales and marketing activities necessary for successful commercialization. Disc’s programs are still in preclinical and early clinical development. Disc’s clinical programs may not advance to the next stage of clinical development, and its preclinical programs may never advance to clinical development or through clinical development, as applicable. Disc currently only has two product candidates in clinical development. In July 2022, Disc initiated BEACON, a Phase 2 open-label, parallel-dose clinical trial of bitopertin in EPP and XLP patients that is being conducted at sites in Australia. Separately, Disc has initiated AURORA, a Phase 2, randomized, double-blind, placebo-controlled clinical trial of bitopertin in EPP patients that is being conducted at sites in the United States. Disc completed its Phase 1 clinical trial of DISC-0974 in healthy volunteers. Disc initiated a Phase 1b/2 clinical trial in June 2022 in patients with anemia of MF, and plans to initiate a separate Phase 1b/2 clinical trial by the end of 2022 in patients with anemia of CKD. Disc may not initiate the DISC-0974 Phase 1b/2 clinical trial in patients with anemia of CKD until it has submitted an IND application to the FDA or comparable submissions with equivalent regulatory authorities and received regulatory clearance. Disc may not be able to submit INDs or other regulatory filings for bitopertin or any of its other product candidates on the timelines Disc expects, if at all. For example, Disc may experience manufacturing delays or other delays with IND-enabling studies. Moreover, Disc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Disc to revise, postpone, suspend or terminate its clinical trials. For example, Disc filed an IND in April 2022 with the FDA to initiate the AURORA Phase 2 trial of bitopertin in EPP patients, but the FDA initially placed the initiation of this trial on clinical hold; Disc received clearance to initiate the study in July 2022 after the study design was finalized with the FDA and initiated the study in October 2022. Commencing each of these clinical trials is subject to finalizing the trial design based on discussions with the FDA and other regulatory authorities. Any guidance Disc receives from the FDA or other regulatory authorities is subject to change. These regulatory authorities could change their position, including on the acceptability of Disc’s trial designs or the clinical endpoints selected, which may require Disc to complete additional clinical trials or result in the composition of stricter approval conditions than currently expected. For a further example, Disc relied on the data package generated by Roche to support its IND submission for bitopertin to initiate its planned Phase 2 clinical trial in patients with EPP, as well as its submission of an application with the Australian Therapeutic Goods Administration (TGA), for a Phase 2 clinical trial in patients with EPP or XLP, and it is possible that the FDA or TGA, as applicable, may require Disc to conduct additional preclinical studies to support a future marketing application of bitopertin. Successful completion of Disc’s clinical trials is a prerequisite to submitting an NDA or a BLA, to the FDA, a Marketing Authorization Application, or MAA, to the European Medicines Agency, or EMA, or other marketing applications to regulatory authorities in other jurisdictions, for each product candidate and, consequently, the regulatory approval of each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50100" cy="146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1" w:name="page272"/>
    <w:bookmarkEnd w:id="271"/>
    <w:p>
      <w:pPr>
        <w:jc w:val="both"/>
        <w:spacing w:after="0" w:line="241" w:lineRule="auto"/>
        <w:rPr>
          <w:sz w:val="20"/>
          <w:szCs w:val="20"/>
          <w:color w:val="auto"/>
        </w:rPr>
      </w:pPr>
      <w:r>
        <w:rPr>
          <w:rFonts w:ascii="Times New Roman" w:cs="Times New Roman" w:eastAsia="Times New Roman" w:hAnsi="Times New Roman"/>
          <w:sz w:val="19"/>
          <w:szCs w:val="19"/>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Disc seeks to treat, such as EPP, XLP, anemia of MF, DBA and others. Nonetheless, the FDA and other regulators may always require additional clinical trials to support regulatory approval.</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If Disc is required to conduct additional preclinical studies or clinical trials or other testing of its product candidates beyond those that are currently contemplated, if Disc is unable to successfully complete clinical trials of its product candidates or other testing, if the results of these trials or tests are not positive or are only modestly positive or if there are safety concerns, Disc may:</w:t>
      </w:r>
    </w:p>
    <w:p>
      <w:pPr>
        <w:spacing w:after="0" w:line="183" w:lineRule="exact"/>
        <w:rPr>
          <w:sz w:val="20"/>
          <w:szCs w:val="20"/>
          <w:color w:val="auto"/>
        </w:rPr>
      </w:pPr>
    </w:p>
    <w:p>
      <w:pPr>
        <w:ind w:left="560" w:hanging="284"/>
        <w:spacing w:after="0"/>
        <w:tabs>
          <w:tab w:leader="none" w:pos="560"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regulatory approval for its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obtain regulatory approval at all;</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regulatory approval for indications or patient populations that are not as broad as intended or desired;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be subject to post-marketing testing requirements; or</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having the product removed from the market after obtaining regulatory approval.</w:t>
      </w:r>
    </w:p>
    <w:p>
      <w:pPr>
        <w:spacing w:after="0" w:line="20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Disc’s programs are focused on the development of therapeutics for patients with hematologic diseases, which is a rapidly evolving area of science, and the approach Disc is taking to discover and develop product candidates is novel and may never lead to approved or marketable products.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discovery and development of therapeutics for patients with hematologic diseases is an emerging field, and the scientific discoveries that form the basis for Disc’s efforts to discover and develop product candidates are relatively new. The scientific evidence to support the feasibility of developing product candidates based on these discoveries is both preliminary and limited. Although Disc believes, based on its preclinical work, that its programs have the potential to provide disease-modifying therapies, clinical results may not confirm this hypothesis or may only confirm it for certain alterations or certain indications. The patient populations for Disc’s product candidates are limited to those with specific hematologic diseases. Disc cannot be certain that the patient populations for each specific disease will be large enough to allow Disc to successfully obtain approval and commercialize its product candidates and achieve profitability.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Clinical product development involves a lengthy and expensive process, with an uncertain outcome.</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Disc’s preclinical studies and future and ongoing clinical trials may not be successful. Currently, all of Disc’s programs are in preclinical and early clinical development. It is impossible to predict when or if any of Disc’s product candidates will prove effective and safe in humans or will receive regulatory approval. Before obtaining regulatory approval from regulatory authorities for the sale of any product candidate, Disc must complete preclinical studies and then conduct extensive clinical trials to demonstrate the safety and efficacy of its product candidates or the safety, purity and potency of its biological product candidates in humans. There is no guarantee that Disc’s product candidates will advance in accordance with the timelines Disc anticipates,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Disc’s preclinical studies and future and ongoing clinical trials may not be successful.</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Additionally, some of the clinical trials Disc conducts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2" w:name="page273"/>
    <w:bookmarkEnd w:id="272"/>
    <w:p>
      <w:pPr>
        <w:jc w:val="both"/>
        <w:spacing w:after="0" w:line="237" w:lineRule="auto"/>
        <w:rPr>
          <w:sz w:val="20"/>
          <w:szCs w:val="20"/>
          <w:color w:val="auto"/>
        </w:rPr>
      </w:pPr>
      <w:r>
        <w:rPr>
          <w:rFonts w:ascii="Times New Roman" w:cs="Times New Roman" w:eastAsia="Times New Roman" w:hAnsi="Times New Roman"/>
          <w:sz w:val="19"/>
          <w:szCs w:val="19"/>
          <w:color w:val="auto"/>
        </w:rPr>
        <w:t>In May 2021, Disc entered into a License Agreement, or the Roche Agreement with F. Hoffmann-La Roche Ltd and Hoffmann-La Roche Inc., or Roche, pursuant to which, among other things, Roche granted Disc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Disc’s clinical trials. Regulatory authorities may also raise questions regarding the transition in the future from Roche-manufactured drug substance to drug substance manufactured by Disc or another party, and Disc may be required to conduct comparability assessments, which could result in delays in development and additional costs.</w:t>
      </w:r>
    </w:p>
    <w:p>
      <w:pPr>
        <w:spacing w:after="0" w:line="17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Because Disc is developing some of its product candidates for the treatment of diseases in which there is little clinical experience and, in some cases, using new endpoints or methodologies, the FDA or other regulatory authorities may not consider the endpoints of Disc’s clinical trials to predict or provide clinically meaningful results.</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Many of Disc’s product candidates are designed to treat diseases for which there are few available therapeutic options. For example,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Disc may use new or novel endpoints or methodologies. The FDA or other regulatory authorities may not consider the endpoints of Disc’s clinical trials to be validated or clinically meaningful and Disc may need to conduct proof-of-concept studies or additional work to refine its endpoints and inform the design of future studies before initiating pivotal studies of its product candidates. Even if applicable regulatory authorities do not object to Disc’s proposed endpoints in an earlier stage clinical trial, such regulatory authorities may require evaluation of additional or different clinical endpoints in later-stage clinical trials.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Even if the FDA does find Disc’s clinical trial success criteria to be sufficiently supported and clinically meaningful at the time, Disc may not achieve the pre-specified endpoint to a degree of statistical significance in any pivotal or other clinical trials it may conduct for its product candidates. Further, even if Disc does achieve the pre-specified criteria, its trials may produce results that are unpredictable or inconsistent with the results of the more traditional efficacy endpoints in the trial. The FDA also could change its view or give overriding weight to other efficacy endpoints over a primary endpoint, even if Disc achieves statistically significant results on that primary endpoint, if for example Disc does not do so on its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7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Disc’s clinical trials that Disc announces or publishes from time to time may change as more patient data become available and are subject to confirmation, audit, and verification procedures that could result in material changes in the final data.</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From time to time, Disc may publicly disclose interim, top-line or preliminary data from its clinical trials, which is based on a preliminary analysis of then-available data, and the results and related findings and conclusions are subject to change following a more comprehensive review of the data. Disc announced top-line results from the Phase 1 DISC-0974 clinical trial in June 2022. Disc also may make assumptions, estimations, calculations and conclusions as part of its analyses of data, and may not have received or had the opportunity to fully and carefully evaluate all data. As a result, the interim, top-line or preliminary results that Disc reports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interim, top-line or preliminary data Disc previously published. As a result, interim, top-line and preliminary data should be viewed with caution until the final data are available. Adverse differences between interim, top-line or preliminary data and final data could significantly harm Disc’s business prospects and may cause the price of Disc’s common stock to fluctuate or decline.</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Further, regulatory agencies and others, may not accept or agree with Disc’s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Disc chooses to publicly disclose regarding a particular study or clinical trial is derived from information that is typically extensive, and you or others may not agree with what Disc determines is material or otherwise appropriate information to include in Disc’s disclosure.</w:t>
      </w:r>
    </w:p>
    <w:p>
      <w:pPr>
        <w:spacing w:after="0" w:line="18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If the interim, top-line or preliminary data that Disc reports differs from actual results, or if regulatory authorities or others, disagree with the conclusions reached, Disc’s ability to obtain approval for, and commercialize, its product candidates may be significantly impaired, which could materially harm Disc’s business, operating results, prospects or financial condition.</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incur additional costs or experience delays in initiating or completing, or ultimately be unable to complete, the development and commercialization of its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50100" cy="146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3" w:name="page274"/>
    <w:bookmarkEnd w:id="273"/>
    <w:p>
      <w:pPr>
        <w:jc w:val="both"/>
        <w:spacing w:after="0" w:line="239" w:lineRule="auto"/>
        <w:rPr>
          <w:sz w:val="20"/>
          <w:szCs w:val="20"/>
          <w:color w:val="auto"/>
        </w:rPr>
      </w:pPr>
      <w:r>
        <w:rPr>
          <w:rFonts w:ascii="Times New Roman" w:cs="Times New Roman" w:eastAsia="Times New Roman" w:hAnsi="Times New Roman"/>
          <w:sz w:val="19"/>
          <w:szCs w:val="19"/>
          <w:color w:val="auto"/>
        </w:rPr>
        <w:t>Disc may experience delays in initiating or completing its preclinical studies or clinical trials, including as a result of delays in obtaining, or failure to obtain, the FDA’s authorization to initiate clinical trials under future INDs. Additionally, Disc cannot be certain that preclinical studies or clinical trials for its product candidates will not require redesign, will enroll an adequate number of subjects on time, or will be completed on schedule, if at all. Disc may experience numerous unforeseen events during, or as a result of, preclinical studies and clinical trials that could delay or prevent its ability to receive regulatory authorizations, regulatory approval or commercialize its product candidates, including:</w:t>
      </w:r>
    </w:p>
    <w:p>
      <w:pPr>
        <w:spacing w:after="0" w:line="187" w:lineRule="exact"/>
        <w:rPr>
          <w:sz w:val="20"/>
          <w:szCs w:val="20"/>
          <w:color w:val="auto"/>
        </w:rPr>
      </w:pPr>
    </w:p>
    <w:p>
      <w:pPr>
        <w:ind w:left="560" w:right="200" w:hanging="284"/>
        <w:spacing w:after="0" w:line="270"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receive feedback from regulatory authorities that requires Disc to modify the design or implementation of its preclinical studies or clinical trials or to delay or terminate a clinical trial;</w:t>
      </w:r>
    </w:p>
    <w:p>
      <w:pPr>
        <w:spacing w:after="0" w:line="173" w:lineRule="exact"/>
        <w:rPr>
          <w:rFonts w:ascii="Times New Roman" w:cs="Times New Roman" w:eastAsia="Times New Roman" w:hAnsi="Times New Roman"/>
          <w:sz w:val="16"/>
          <w:szCs w:val="16"/>
          <w:color w:val="auto"/>
        </w:rPr>
      </w:pPr>
    </w:p>
    <w:p>
      <w:pPr>
        <w:ind w:left="560" w:right="260" w:hanging="284"/>
        <w:spacing w:after="0" w:line="270"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IRBs or ethics committees may delay or may not authorize Disc or its investigators to commence a clinical trial or conduct a clinical trial at a prospective trial site;</w:t>
      </w:r>
    </w:p>
    <w:p>
      <w:pPr>
        <w:spacing w:after="0" w:line="173" w:lineRule="exact"/>
        <w:rPr>
          <w:rFonts w:ascii="Times New Roman" w:cs="Times New Roman" w:eastAsia="Times New Roman" w:hAnsi="Times New Roman"/>
          <w:sz w:val="16"/>
          <w:szCs w:val="16"/>
          <w:color w:val="auto"/>
        </w:rPr>
      </w:pPr>
    </w:p>
    <w:p>
      <w:pPr>
        <w:ind w:left="560" w:right="340" w:hanging="284"/>
        <w:spacing w:after="0" w:line="270"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73" w:lineRule="exact"/>
        <w:rPr>
          <w:rFonts w:ascii="Times New Roman" w:cs="Times New Roman" w:eastAsia="Times New Roman" w:hAnsi="Times New Roman"/>
          <w:sz w:val="16"/>
          <w:szCs w:val="16"/>
          <w:color w:val="auto"/>
        </w:rPr>
      </w:pPr>
    </w:p>
    <w:p>
      <w:pPr>
        <w:ind w:left="560" w:right="200" w:hanging="284"/>
        <w:spacing w:after="0" w:line="257"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studies or clinical trials of Disc’s product candidates may fail to show safety or efficacy or otherwise produce negative or inconclusive results, and Disc may decide, or regulators may require Disc, to conduct additional preclinical studies or clinical trials, or Disc may decide to abandon product research or development programs;</w:t>
      </w:r>
    </w:p>
    <w:p>
      <w:pPr>
        <w:spacing w:after="0" w:line="18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studies or clinical trials of Disc’s product candidates may not produce differentiated or clinically significant results across indications;</w:t>
      </w:r>
    </w:p>
    <w:p>
      <w:pPr>
        <w:spacing w:after="0" w:line="215" w:lineRule="exact"/>
        <w:rPr>
          <w:rFonts w:ascii="Times New Roman" w:cs="Times New Roman" w:eastAsia="Times New Roman" w:hAnsi="Times New Roman"/>
          <w:sz w:val="16"/>
          <w:szCs w:val="16"/>
          <w:color w:val="auto"/>
        </w:rPr>
      </w:pPr>
    </w:p>
    <w:p>
      <w:pPr>
        <w:ind w:left="560" w:right="520" w:hanging="284"/>
        <w:spacing w:after="0" w:line="270"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Disc’s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173" w:lineRule="exact"/>
        <w:rPr>
          <w:rFonts w:ascii="Times New Roman" w:cs="Times New Roman" w:eastAsia="Times New Roman" w:hAnsi="Times New Roman"/>
          <w:sz w:val="16"/>
          <w:szCs w:val="16"/>
          <w:color w:val="auto"/>
        </w:rPr>
      </w:pPr>
    </w:p>
    <w:p>
      <w:pPr>
        <w:ind w:left="560" w:right="240" w:hanging="284"/>
        <w:spacing w:after="0" w:line="257"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third-party contractors may fail to comply with regulatory requirements, fail to maintain adequate quality controls, be unable to provide Disc with sufficient product supply to conduct or complete preclinical studies or clinical trials, fail to meet their contractual obligations to Disc in a timely manner, or at all, or may deviate from the clinical trial protocol or drop out of the trial, which may require that Disc adds new clinical trial sites or investigators;</w:t>
      </w:r>
    </w:p>
    <w:p>
      <w:pPr>
        <w:spacing w:after="0" w:line="183" w:lineRule="exact"/>
        <w:rPr>
          <w:rFonts w:ascii="Times New Roman" w:cs="Times New Roman" w:eastAsia="Times New Roman" w:hAnsi="Times New Roman"/>
          <w:sz w:val="16"/>
          <w:szCs w:val="16"/>
          <w:color w:val="auto"/>
        </w:rPr>
      </w:pPr>
    </w:p>
    <w:p>
      <w:pPr>
        <w:ind w:left="560" w:right="60" w:hanging="284"/>
        <w:spacing w:after="0" w:line="270"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elect to, or regulators or IRBs or ethics committees may require Disc or its investigators to, suspend or terminate clinical research for various reasons, including noncompliance with regulatory requirements or a finding that the participants in Disc’s clinical trials are being exposed to unacceptable health risks;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Disc’s product candidates may be greater than anticipated;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Disc’s product candidates may be delayed due to complications associated with the ongoing COVID-19 pandemic;</w:t>
      </w:r>
    </w:p>
    <w:p>
      <w:pPr>
        <w:spacing w:after="0" w:line="215" w:lineRule="exact"/>
        <w:rPr>
          <w:rFonts w:ascii="Times New Roman" w:cs="Times New Roman" w:eastAsia="Times New Roman" w:hAnsi="Times New Roman"/>
          <w:sz w:val="16"/>
          <w:szCs w:val="16"/>
          <w:color w:val="auto"/>
        </w:rPr>
      </w:pPr>
    </w:p>
    <w:p>
      <w:pPr>
        <w:ind w:left="560" w:right="240" w:hanging="284"/>
        <w:spacing w:after="0" w:line="270"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Disc’s product candidates or other materials necessary to conduct clinical trials of its product candidates may be insufficient or inadequate, and any transfer of manufacturing activities may require unforeseen manufacturing or formulation changes;</w:t>
      </w:r>
    </w:p>
    <w:p>
      <w:pPr>
        <w:spacing w:after="0" w:line="173" w:lineRule="exact"/>
        <w:rPr>
          <w:rFonts w:ascii="Times New Roman" w:cs="Times New Roman" w:eastAsia="Times New Roman" w:hAnsi="Times New Roman"/>
          <w:sz w:val="16"/>
          <w:szCs w:val="16"/>
          <w:color w:val="auto"/>
        </w:rPr>
      </w:pPr>
    </w:p>
    <w:p>
      <w:pPr>
        <w:jc w:val="both"/>
        <w:ind w:left="560" w:right="400" w:hanging="284"/>
        <w:spacing w:after="0" w:line="257" w:lineRule="auto"/>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product candidates may have undesirable side effects or other unexpected characteristics, causing Disc, regulators or IRBs or ethics committees to suspend or terminate the trials, or reports may arise from preclinical or clinical testing of other hematologic disease therapies that raise safety or efficacy concerns about Disc’s product candidates;</w:t>
      </w:r>
    </w:p>
    <w:p>
      <w:pPr>
        <w:spacing w:after="0" w:line="18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collaborators may conduct clinical trials in ways they view as advantageous to them but that are suboptimal for Disc;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revise the requirements for approving Disc’s product candidates, or such requirements may not be as anticipated.</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Disc could encounter delays if a clinical trial is suspended or terminated by Disc, by the IRBs or ethics committees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Disc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Disc filed an IND in April 2022 with the FDA to initiate the AURORA Phase 2 trial of bitopertin in EPP patients, but the FDA initially placed the initiation of this trial on clinical hold; Disc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Disc’s product candidates. Further, the FDA may disagree with Disc’s clinical trial design or Disc’s interpretation of data from clinical trials or may change the requirements for approval even after it has reviewed and commented on the design for Disc’s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4" w:name="page275"/>
    <w:bookmarkEnd w:id="274"/>
    <w:p>
      <w:pPr>
        <w:jc w:val="both"/>
        <w:spacing w:after="0" w:line="236" w:lineRule="auto"/>
        <w:rPr>
          <w:sz w:val="20"/>
          <w:szCs w:val="20"/>
          <w:color w:val="auto"/>
        </w:rPr>
      </w:pPr>
      <w:r>
        <w:rPr>
          <w:rFonts w:ascii="Times New Roman" w:cs="Times New Roman" w:eastAsia="Times New Roman" w:hAnsi="Times New Roman"/>
          <w:sz w:val="19"/>
          <w:szCs w:val="19"/>
          <w:color w:val="auto"/>
        </w:rPr>
        <w:t>Moreover, principal investigators for Disc’s current and future clinical trials may serve as scientific advisors or consultants to Disc from time to time and receive compensation in connection with such services. Under certain circumstances, Disc may be required to report some of these relationships to the FDA or comparable foreign regulatory authorities. The FDA or comparable foreign regulatory authority may conclude that a financial relationship between Disc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Disc’s marketing applications by the FDA or comparable foreign regulatory authority, as the case may be, and may ultimately lead to the denial of regulatory approval of one or more of Disc’s product candidates.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Disc’s product development costs will also increase if Disc experiences delays in testing or regulatory approvals. Disc does not know whether any of its future clinical trials will begin as planned, or whether any of its current or future clinical trials will need to be restructured or will be completed on schedule, if at all. Significant preclinical study or clinical trial delays, including those caused by the ongoing COVID-19 pandemic, also could shorten any periods during which Disc may have the exclusive right to commercialize its product candidates or allow its competitors to bring products to market before Disc does, which would impair Disc’s ability to successfully commercialize its product candidates and may significantly harm its business, operating results, financial condition and prospects.</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Disc experiences delays or difficulties in the enrollment of patients in clinical trials, Disc’s receipt of necessary regulatory approvals could be delayed or prevented.</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Disc may not be able to initiate or continue clinical trials for its product candidates if Disc is unable to locate and enroll a sufficient number of eligible patients to participate in these trials as required by the FDA or comparable foreign regulatory authorities, or as needed to provide appropriate statistical power for a given trial. In particular, because Disc is focused on patients with specific rare hematologic diseases for the development of its product candidates, Disc’s ability to enroll eligible patients may be limited or may result in slower enrollment than Disc anticipate.</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may experience difficulties with identifying specific patient populations for any defined trial cohorts. The patient eligibility criteria defined in Disc’s trial protocols, may limit the patient populations eligible for Disc’s clinical trials. Disc will also rely on the willingness and ability of clinicians to screen their patients, such as for specific genetic hematologic conditions, to indicate which patients may be eligible for enrollment in Disc’s clinical trials.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addition, some of Disc’s competitors have ongoing clinical trials for product candidates that are intended to treat the same indications as Disc’s product candidates, and patients who would otherwise be eligible for Disc’s clinical trials may choose instead to enroll in clinical trials of Disc’s competitors’ product candidates. Furthermore, Disc’s ability to enroll patients may be significantly delayed by the ongoing COVID-19 pandemic, and Disc cannot accurately predict the extent and scope of such delays at this point.</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Additionally, the process of finding patients may prove costly. Disc also may not be able to identify, recruit or enroll a sufficient number of patients to complete its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Disc’s studies for any reason, the timeline for recruiting patients, conducting studies and obtaining regulatory approval of potential products may be delayed.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Patient enrollment may be affected by other factors, including:</w:t>
      </w:r>
    </w:p>
    <w:p>
      <w:pPr>
        <w:spacing w:after="0" w:line="211" w:lineRule="exact"/>
        <w:rPr>
          <w:sz w:val="20"/>
          <w:szCs w:val="20"/>
          <w:color w:val="auto"/>
        </w:rPr>
      </w:pPr>
    </w:p>
    <w:p>
      <w:pPr>
        <w:ind w:left="560" w:hanging="284"/>
        <w:spacing w:after="0"/>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severity of the disease under investigation;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efforts to obtain and maintain patient consents and facilitate timely enrollment in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monitor patients adequately during and after treatment;</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patients enrolled in clinical trials will drop out of the clinical trials before clinical trial completion;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recruit clinical trial investigators with the appropriate competencies and experience;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of the preliminary results of any of Disc’s clinical trials; and</w:t>
      </w:r>
    </w:p>
    <w:p>
      <w:pPr>
        <w:spacing w:after="0" w:line="215" w:lineRule="exact"/>
        <w:rPr>
          <w:rFonts w:ascii="Times New Roman" w:cs="Times New Roman" w:eastAsia="Times New Roman" w:hAnsi="Times New Roman"/>
          <w:sz w:val="16"/>
          <w:szCs w:val="16"/>
          <w:color w:val="auto"/>
        </w:rPr>
      </w:pPr>
    </w:p>
    <w:p>
      <w:pPr>
        <w:ind w:left="560" w:right="700" w:hanging="284"/>
        <w:spacing w:after="0" w:line="270" w:lineRule="auto"/>
        <w:tabs>
          <w:tab w:leader="none" w:pos="5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Disc may not be able to control, including the impacts of the COVID-19 pandemic, that may limit patients, principal investigators or staff or clinical site availability.</w:t>
      </w:r>
    </w:p>
    <w:p>
      <w:pPr>
        <w:spacing w:after="0" w:line="1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color w:val="auto"/>
        </w:rPr>
        <w:t>Results from early preclinical studies and clinical trials of Disc’s programs and product candidates are not necessarily predictive of the results of later preclinical studies and clinical trials of Disc’s programs and product candidates. If Disc cannot replicate the results from earlier preclinical studies and clinical trials of its programs and product candidates in its later preclinical studies and clinical trials, Disc may be unable to successfully develop, obtain regulatory approval for and commercialize its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50100" cy="146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5" w:name="page276"/>
    <w:bookmarkEnd w:id="275"/>
    <w:p>
      <w:pPr>
        <w:jc w:val="both"/>
        <w:spacing w:after="0" w:line="238" w:lineRule="auto"/>
        <w:rPr>
          <w:sz w:val="20"/>
          <w:szCs w:val="20"/>
          <w:color w:val="auto"/>
        </w:rPr>
      </w:pPr>
      <w:r>
        <w:rPr>
          <w:rFonts w:ascii="Times New Roman" w:cs="Times New Roman" w:eastAsia="Times New Roman" w:hAnsi="Times New Roman"/>
          <w:sz w:val="19"/>
          <w:szCs w:val="19"/>
          <w:color w:val="auto"/>
        </w:rPr>
        <w:t>Any results from early preclinical studies and clinical trials of bitopertin, DISC-0974, DISC-0998 or Disc’s other product candidates or programs may not necessarily be predictive of the results from later preclinical studies and clinical trials. For example, DISC-0974 has undergone testing in healthy volunteers and just begun clinical testing for anemia of MF. DISC-0974 has not yet undergone testing for anemia associated with CKD and therefore there can be no assurance that DISC-0974 will achieve the desired effects in these indications. Similarly, even if Disc is able to complete its planned preclinical studies and clinical trials of its product candidates according to its current development timeline, the results from such preclinical studies and clinical trials of its product candidates may not be replicated in subsequent preclinical studies or clinical trial results.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Many companies in the biopharmaceutical and biotechnology industries have suffered significant setbacks in late-stage clinical trials after achieving positive results in early-stage development, and Disc cannot be certain that it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Disc’s clinical trials or those of its future collaborators may reveal significant adverse events not seen in prior preclinical studies or clinical trials and may result in a safety profile that could inhibit regulatory approval or market acceptance of any of its product candidates.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Before obtaining regulatory approvals for the commercial sale of any products, Disc must demonstrate through lengthy, complex and expensive preclinical studies and clinical trials that its product candidates are both safe and effective for use in each target indication. Clinical testing is expensive and can take many years to complete, and outcomes are inherently uncertain. Failure can occur at any time during the clinical trial process. Because Disc’s programs and product candidates are in an early stage of development, there is a high risk of failure, and Disc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Disc’s ongoing or future preclinical studies and clinical trials are inconclusive with respect to the safety and efficacy of Disc’s programs and product candidates, if Disc does not meet the clinical endpoints with statistical and clinically meaningful significance, or if there are safety concerns associated with Disc’s product candidates, Disc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Disc’s trials could reveal a high and unacceptable severity and prevalence of side effects. In such an event, Disc’s trials could be suspended or terminated, and the FDA or comparable foreign regulatory authorities could order Disc to cease further development of or deny approval of Disc’s product candidates for any or all targeted indications. Treatment-related side effects could also affect patient recruitment or the ability of enrolled patients to complete the trial or result in potential product liability claims.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Further, Disc’s product candidates could cause undesirable side effects in clinical trials related to on-target toxicity. If on-target toxicity is observed, or if Disc’s product candidates have characteristics that are unexpected, Disc may need to abandon their development or limit development to more narrow uses or subpopulations in which the undesirable side effects or other characteristics are less prevalent, less severe or more acceptable from a risk-benefit perspective. In addition, Disc’s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Disc’s current or future clinical trials will ultimately be successful or support further clinical development or regulatory approval of any of Disc’s product candidates.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is the case with many treatments for hematologic and rare diseases, it is likely that there may be side effects associated with the use of Disc’s product candidates. If significant adverse events or other side effects are observed in any of Disc’s current or future clinical trials, Disc may have difficulty recruiting patients to its clinical trials, patients may drop out of its trials, or Disc may be required to abandon the trials or development efforts of one or more product candidates altogether. Disc,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Disc’s business, operating results, financial condition and prospects.</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Some of Disc’s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50100" cy="146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6" w:name="page277"/>
    <w:bookmarkEnd w:id="276"/>
    <w:p>
      <w:pPr>
        <w:jc w:val="both"/>
        <w:spacing w:after="0" w:line="248" w:lineRule="auto"/>
        <w:rPr>
          <w:sz w:val="20"/>
          <w:szCs w:val="20"/>
          <w:color w:val="auto"/>
        </w:rPr>
      </w:pPr>
      <w:r>
        <w:rPr>
          <w:rFonts w:ascii="Times New Roman" w:cs="Times New Roman" w:eastAsia="Times New Roman" w:hAnsi="Times New Roman"/>
          <w:sz w:val="18"/>
          <w:szCs w:val="18"/>
          <w:color w:val="auto"/>
        </w:rPr>
        <w:t>Some of Disc’s product candidates modulate pathways for which there are currently no approved or effective therapies, which may result in uncertainty. Disc selects programs for targets based on compelling biological rationale, including evidence of expected biological effects in humans. Disc explores new programs based on extensive preclinical data analysis which sometimes cannot predict efficacy or safety in humans. Regulatory approval of novel product candidates such as Disc’s can be more expensive, riskier and take longer than for other, more well-known or extensively studied pharmaceutical or biopharmaceutical product candidates due to Disc’s and regulatory agencies’ lack of experience with them. The novelty of the mechanism of action of any of Disc’s product candidates may lengthen the regulatory review process, require Disc to conduct additional studies or clinical trials, increase Disc’s development costs, lead to changes in regulatory positions and interpretations, delay or prevent approval and commercialization of Disc’s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Disc’s product candidates utilize a novel mechanism of action that has not been the subject of extensive study compared to more well-known product candidates, there is also an increased risk that Disc may discover previously unknown or unanticipated adverse effects during its preclinical studies and clinical trials. Disc’s product candidates may achieve lower efficacy in patients than expected. Any such events could adversely impact Disc’s business prospects, operating results and financial condition.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is currently conducting a Phase 2 clinical trial for bitopertin in Australia and may in the future conduct additional clinical trials for its product candidates outside the United States, and the FDA and comparable foreign regulatory authorities may not accept data from such trials.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July 2022, Disc initiated BEACON, a Phase 2 open-label, parallel-dose clinical trial of bitopertin in EPP and XLP patients that is being conducted at sites in Australia. In addition, Disc may in the future choose to conduct additional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Disc’s business plan, and which may result in Disc’s product candidates not receiving regulatory approval or clearance for commercialization in the applicable jurisdiction.</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Although Disc intends to explore other therapeutic opportunities in addition to the programs and product candidates that Disc is currently developing, Disc may fail to identify viable new product candidates for clinical development for a number of reasons. If Disc fails to identify additional product candidates, its business could be materially harmed.</w:t>
      </w:r>
    </w:p>
    <w:p>
      <w:pPr>
        <w:spacing w:after="0" w:line="17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Research programs to pursue the development of Disc’s existing and planned product candidates for additional indications and to identify new product candidates and disease targets require substantial technical, financial and human resources whether or not they are ultimately successful. Disc’s research programs may initially show promise in identifying potential indications and/or product candidates, yet fail to yield results for clinical development for a number of reasons, including:</w:t>
      </w:r>
    </w:p>
    <w:p>
      <w:pPr>
        <w:spacing w:after="0" w:line="186" w:lineRule="exact"/>
        <w:rPr>
          <w:sz w:val="20"/>
          <w:szCs w:val="20"/>
          <w:color w:val="auto"/>
        </w:rPr>
      </w:pPr>
    </w:p>
    <w:p>
      <w:pPr>
        <w:ind w:left="560" w:hanging="284"/>
        <w:spacing w:after="0"/>
        <w:tabs>
          <w:tab w:leader="none" w:pos="56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methodology used may not be successful in identifying potential indications and/or product candidates;</w:t>
      </w:r>
    </w:p>
    <w:p>
      <w:pPr>
        <w:spacing w:after="0" w:line="215" w:lineRule="exact"/>
        <w:rPr>
          <w:rFonts w:ascii="Times New Roman" w:cs="Times New Roman" w:eastAsia="Times New Roman" w:hAnsi="Times New Roman"/>
          <w:sz w:val="16"/>
          <w:szCs w:val="16"/>
          <w:color w:val="auto"/>
        </w:rPr>
      </w:pPr>
    </w:p>
    <w:p>
      <w:pPr>
        <w:ind w:left="560" w:right="480" w:hanging="284"/>
        <w:spacing w:after="0" w:line="270" w:lineRule="auto"/>
        <w:tabs>
          <w:tab w:leader="none" w:pos="56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candidates may, after further study, be shown to have harmful adverse effects or other characteristics that indicate they are unlikely to be effective products; or</w:t>
      </w:r>
    </w:p>
    <w:p>
      <w:pPr>
        <w:spacing w:after="0" w:line="173" w:lineRule="exact"/>
        <w:rPr>
          <w:rFonts w:ascii="Times New Roman" w:cs="Times New Roman" w:eastAsia="Times New Roman" w:hAnsi="Times New Roman"/>
          <w:sz w:val="16"/>
          <w:szCs w:val="16"/>
          <w:color w:val="auto"/>
        </w:rPr>
      </w:pPr>
    </w:p>
    <w:p>
      <w:pPr>
        <w:ind w:left="560" w:right="480" w:hanging="284"/>
        <w:spacing w:after="0" w:line="304" w:lineRule="auto"/>
        <w:tabs>
          <w:tab w:leader="none" w:pos="560"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may take greater human and financial resources than Disc will possess to identify additional therapeutic opportunities for Disc’s product candidates or to develop suitable potential product candidates through internal research programs, thereby limiting Disc’s ability to develop, diversify and expand its product portfolio.</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Because Disc has limited financial and human resources, Disc intends to initially focus on research programs and product candidates for a limited set of indications. As a result, Disc may forego or delay pursuit of opportunities with other product candidates or for other indications that later prove to have greater commercial potential or a greater likelihood of success. Disc’s resource allocation decisions may cause it to fail to capitalize on viable commercial products or profitable market opportunities.</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Disc will ever be able to identify additional therapeutic opportunities for its product candidates or to develop suitable product candidates through internal research programs, which could materially adversely affect Disc’s future growth and prospects. Disc may focus its efforts and resources on potential product candidates or other potential programs that ultimately prove to be unsuccessful.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50100" cy="146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77" w:name="page278"/>
    <w:bookmarkEnd w:id="277"/>
    <w:p>
      <w:pPr>
        <w:jc w:val="both"/>
        <w:ind w:right="2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If Disc is not able to obtain, or if there are delays in obtaining, required regulatory approvals for Disc’s product candidates, Disc will not be able to commercialize, or will be delayed in commercializing, its product candidates, and its ability to generate revenue will be materially impaired.</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Disc’s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Disc can commercialize any of its product candidates, Disc must obtain regulatory approval. Currently, all of Disc’s product candidates are in discovery, preclinical or clinical development, and Disc has not received approval to market any of its product candidates from regulatory authorities in any jurisdiction. It is possible that Disc’s product candidates, including any product candidates Disc may seek to develop in the future, will never obtain regulatory approval. Disc has limited experience in filing and supporting the applications necessary to gain regulatory approvals and relies on third-party CROs and/or regulatory consultants to assist Disc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Disc’s product candidates may not be effective, may be only moderately effective or may prove to have undesirable or unintended side effects, toxicities or other characteristics that may preclude Disc obtaining regulatory approval or prevent or limit commercial use. In addition, regulatory authorities may find fault with Disc’s manufacturing process or facilities or that of third-party contract manufacturers. Disc may also face greater than expected difficulty in manufacturing its product candidates.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process of obtaining regulatory approvals, both in the United States and abroad, is expensive and often takes many years. If the FDA or a comparable foreign regulatory authority requires that Disc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Disc’s data are insufficient for approval and require additional preclinical, clinical or other studies. Disc’s product candidates could be delayed in receiving, or fail to receive, regulatory approval for many reasons, including the following:</w:t>
      </w:r>
    </w:p>
    <w:p>
      <w:pPr>
        <w:spacing w:after="0" w:line="186" w:lineRule="exact"/>
        <w:rPr>
          <w:sz w:val="20"/>
          <w:szCs w:val="20"/>
          <w:color w:val="auto"/>
        </w:rPr>
      </w:pPr>
    </w:p>
    <w:p>
      <w:pPr>
        <w:ind w:left="560" w:hanging="284"/>
        <w:spacing w:after="0"/>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the design or implementation of Disc’s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not be able to enroll a sufficient number of patients in its clinical trials;</w:t>
      </w:r>
    </w:p>
    <w:p>
      <w:pPr>
        <w:spacing w:after="0" w:line="215" w:lineRule="exact"/>
        <w:rPr>
          <w:rFonts w:ascii="Times New Roman" w:cs="Times New Roman" w:eastAsia="Times New Roman" w:hAnsi="Times New Roman"/>
          <w:sz w:val="16"/>
          <w:szCs w:val="16"/>
          <w:color w:val="auto"/>
        </w:rPr>
      </w:pPr>
    </w:p>
    <w:p>
      <w:pPr>
        <w:ind w:left="560" w:right="560" w:hanging="284"/>
        <w:spacing w:after="0" w:line="270" w:lineRule="auto"/>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be unable to demonstrate to the satisfaction of the FDA or comparable foreign regulatory authorities that a product candidate is safe and effective for its proposed indication;</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clinical trials may not meet the level of statistical significance required by the FDA or comparable foreign regulatory authorities for approval;</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be unable to demonstrate that a product candidate’s clinical and other benefits outweigh its safety risks;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Disc’s interpretation of data from preclinical studies or clinical trials;</w:t>
      </w:r>
    </w:p>
    <w:p>
      <w:pPr>
        <w:spacing w:after="0" w:line="215" w:lineRule="exact"/>
        <w:rPr>
          <w:rFonts w:ascii="Times New Roman" w:cs="Times New Roman" w:eastAsia="Times New Roman" w:hAnsi="Times New Roman"/>
          <w:sz w:val="16"/>
          <w:szCs w:val="16"/>
          <w:color w:val="auto"/>
        </w:rPr>
      </w:pPr>
    </w:p>
    <w:p>
      <w:pPr>
        <w:ind w:left="560" w:right="440" w:hanging="284"/>
        <w:spacing w:after="0" w:line="270" w:lineRule="auto"/>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data collected from clinical trials of Disc’s product candidates may not be sufficient to support the submission of an NDA, BLA or other submission or to obtain regulatory approval in the United States or elsewhere;</w:t>
      </w:r>
    </w:p>
    <w:p>
      <w:pPr>
        <w:spacing w:after="0" w:line="173" w:lineRule="exact"/>
        <w:rPr>
          <w:rFonts w:ascii="Times New Roman" w:cs="Times New Roman" w:eastAsia="Times New Roman" w:hAnsi="Times New Roman"/>
          <w:sz w:val="16"/>
          <w:szCs w:val="16"/>
          <w:color w:val="auto"/>
        </w:rPr>
      </w:pPr>
    </w:p>
    <w:p>
      <w:pPr>
        <w:ind w:left="560" w:right="140" w:hanging="284"/>
        <w:spacing w:after="0" w:line="270" w:lineRule="auto"/>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find deficiencies with or fail to approve the manufacturing processes or facilities of third-party manufacturers with which Disc contracts for clinical and commercial supplies; and</w:t>
      </w:r>
    </w:p>
    <w:p>
      <w:pPr>
        <w:spacing w:after="0" w:line="173" w:lineRule="exact"/>
        <w:rPr>
          <w:rFonts w:ascii="Times New Roman" w:cs="Times New Roman" w:eastAsia="Times New Roman" w:hAnsi="Times New Roman"/>
          <w:sz w:val="16"/>
          <w:szCs w:val="16"/>
          <w:color w:val="auto"/>
        </w:rPr>
      </w:pPr>
    </w:p>
    <w:p>
      <w:pPr>
        <w:ind w:left="560" w:right="280" w:hanging="284"/>
        <w:spacing w:after="0" w:line="270" w:lineRule="auto"/>
        <w:tabs>
          <w:tab w:leader="none" w:pos="5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policies or regulations of the FDA or comparable foreign regulatory authorities may significantly change such that Disc’s clinical data are insufficient for approval.</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Even if Disc were to obtain regulatory approval, regulatory authorities may approve any of Disc’s product candidates for fewer or more limited indications than Disc requests,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Disc’s product candidates.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If Disc experiences delays in obtaining, or if Disc fails to obtain, approval of its product candidates, the commercial prospects for Disc’s product candidates may be harmed and its ability to generate revenue will be materially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9"/>
          <w:szCs w:val="19"/>
          <w:b w:val="1"/>
          <w:bCs w:val="1"/>
          <w:color w:val="auto"/>
        </w:rPr>
        <w:t>Risks Related to Commercialization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faces substantial competition, which may result in others discovering, developing, or commercializing products before or more successfully than Disc does.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development and commercialization of new products in the biopharmaceutical and related industries is highly competitive. Disc competes in the segments of the pharmaceutical, biotechnology, and other related markets that develop therapies in the field of hematologic diseases. There are other companies focusing on developing therapies in the field of hematologic diseases. Disc also competes more broadly across the market for cost-effective and reimbursable treatments. Some of these competitive products and therapies are based on scientific approaches that are the same as or similar to its approach, and others are based on entirely different approaches. These companies include divisions of large pharmaceutical companies and biotechnology companies of various sizes. Disc faces competition with respect to its current product candidates, and will face competition with respect to any product candidates that it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Any product candidates that Disc successfully develops and commercializes will compete with currently approved therapies and new therapies that may become available in the future from segments of the pharmaceutical, biotechnology and other related markets. Key product features that would affect its ability to effectively compete with other therapeutics include the efficacy, safety and convenience of its products. Disc believes principal competitive factors to its business include, among other things, its ability to successfully transition research programs into clinical development, ability to raise capital, and the scalability of the platform, pipeline, and business.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Many of the companies that Disc competes against or which Disc may compete against in the future have significantly greater financial resources and expertise in research and development, manufacturing, preclinical and clinical testing, obtaining regulatory approvals and marketing approved products than it does. Mergers and acquisitions in the pharmaceutical and biotechnology industries may result in even more resources being concentrated among a smaller number of its competitors. Smaller or early-stage companies may also prove to be significant competitors, particularly through collaborative arrangements with large and established companies. These competitors also compete with Disc in recruiting and retaining qualified scientific and management personnel and establishing clinical trial sites and patient registration for clinical trials, as well as in acquiring technologies complementary to, or necessary for, its programs. If these or other barriers to entry do not remain in place, other companies may be able to more directly or effectively compete with Disc.</w:t>
      </w:r>
    </w:p>
    <w:p>
      <w:pPr>
        <w:spacing w:after="0" w:line="18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Disc’s commercial opportunity could be reduced or eliminated if its competitors develop and commercialize products that are safer, more effective, have fewer or less severe side effects, are more convenient or are less expensive than any products that Disc or its collaborators may develop. Disc’s competitors also may obtain FDA or other regulatory approval for their products sooner than Disc may obtain approval for its product candidates, which could result in Disc’s competitors establishing a strong market position before Disc or its collaborators are able to enter the market. The key competitive factors affecting the success of all of Disc’s product candidates, if approved, are likely to be their efficacy, safety, convenience, price, level of generic competition and availability of reimbursement from government and other third-party payors.</w:t>
      </w:r>
    </w:p>
    <w:p>
      <w:pPr>
        <w:spacing w:after="0" w:line="17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If the market opportunities for Disc’s programs and product candidates are smaller than Disc estimates or if any regulatory approval that Disc obtains is based on a narrower definition of the patient population, Disc’s revenue and ability to achieve profitability could be materially adversely affected.</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incidence and prevalence for the target patient populations of Disc’s programs and product candidates have not been established with precision. Disc’s lead heme biosynthesis modulation product candidate, bitopertin, is an oral, selective inhibitor of GlyT1. Disc is initially focused on developing bitopertin for the treatment of EPP and XLP, which are both diseases marked by severe photosensitivity and damage to the hepatobiliary system caused by the accumulation of PPIX. In July 2022, Disc initiated BEACON, a Phase 2 open-label, parallel-dose clinical trial of bitopertin in EPP and XLP patients that is being conducted at sites in Australia. Separately, Disc has initiated AURORA, a Phase 2, randomized, double-blind, placebo-controlled clinical trial of bitopertin in EPP patients that is being conducted at sites in the United States. Disc completed its Phase 1 clinical trial of DISC-0974 in healthy volunteers. Disc initiated a Phase 1b/2 clinical trial in June 2022 in the United States in patients with anemia of MF, and plans to initiate a separate Phase 1b/2 clinical trial by the end of 2022 in patients with anemia of CKD. Disc’s projections of both the number of people who have these diseases, as well as the subset of people with these diseases who have the potential to benefit from treatment with its programs and product candidates, are based on its estimates.</w:t>
      </w:r>
    </w:p>
    <w:p>
      <w:pPr>
        <w:spacing w:after="0" w:line="18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total addressable market opportunity will ultimately depend upon, among other things, the diagnosis criteria included in the final label, the indications for which Disc’s product candidates are approved for sale, acceptance by the medical community and patient access, product pricing and reimbursement. The number of patients with erythropoietic porphyria and anemias of inflammation for which Disc’s product candidates may be approved as treatment may turn out to be lower than expected, patients may not be otherwise amenable to treatment with its products, or new patients may become increasingly difficult to identify or gain access to, all of which would adversely affect its results of operations and its business. Disc may not be successful in its efforts to identify additional product candidates. Due to its limited resources and access to capital, Disc must prioritize development of certain product candidates, which may prove to be the wrong choice and may adversely affect its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its current product candidates or any future product candidates do not achieve broad market acceptance, the revenue that Disc generates from its sales may be limited, and Disc may never become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50100" cy="146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79" w:name="page280"/>
    <w:bookmarkEnd w:id="279"/>
    <w:p>
      <w:pPr>
        <w:jc w:val="both"/>
        <w:spacing w:after="0" w:line="235" w:lineRule="auto"/>
        <w:rPr>
          <w:sz w:val="20"/>
          <w:szCs w:val="20"/>
          <w:color w:val="auto"/>
        </w:rPr>
      </w:pPr>
      <w:r>
        <w:rPr>
          <w:rFonts w:ascii="Times New Roman" w:cs="Times New Roman" w:eastAsia="Times New Roman" w:hAnsi="Times New Roman"/>
          <w:sz w:val="19"/>
          <w:szCs w:val="19"/>
          <w:color w:val="auto"/>
        </w:rPr>
        <w:t>Disc has never commercialized a product candidate for any indication. Even if its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Disc may obtain regulatory approval do not gain an adequate level of market acceptance, Disc may not generate significant revenue and may not become profitable or may be significantly delayed in achieving profitability. Market acceptance of its current product candidates and any future product candidates by the medical community, patients and third-party payors will depend on a number of factors, some of which are beyond its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its or its competitors’ products, its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its product candidates.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Disc’s ability to successfully commercialize its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Disc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Efforts to educate the medical community and third-party payors on the benefits of its current product candidates and any future product candidates may require significant resources and may not be successful. If its current product candidates or any future product candidates are approved but do not achieve an adequate level of market acceptance, Disc could be prevented from or significantly delayed in achieving profitability. The degree of market acceptance of any of Disc’s current product candidates and any future product candidates will depend on a number of factors, including:</w:t>
      </w:r>
    </w:p>
    <w:p>
      <w:pPr>
        <w:spacing w:after="0" w:line="186" w:lineRule="exact"/>
        <w:rPr>
          <w:sz w:val="20"/>
          <w:szCs w:val="20"/>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of its current product candidates and any future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adverse events associated with its current product candidates and any future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its product candidates are approved and the approved claims that Disc may make for the products;</w:t>
      </w:r>
    </w:p>
    <w:p>
      <w:pPr>
        <w:spacing w:after="0" w:line="215" w:lineRule="exact"/>
        <w:rPr>
          <w:rFonts w:ascii="Times New Roman" w:cs="Times New Roman" w:eastAsia="Times New Roman" w:hAnsi="Times New Roman"/>
          <w:sz w:val="16"/>
          <w:szCs w:val="16"/>
          <w:color w:val="auto"/>
        </w:rPr>
      </w:pPr>
    </w:p>
    <w:p>
      <w:pPr>
        <w:ind w:left="560" w:right="580" w:hanging="284"/>
        <w:spacing w:after="0" w:line="270" w:lineRule="auto"/>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or warnings contained in the product’s FDA-approved labeling or those of comparable foreign regulatory authorities, including potential limitations or warnings for its current product candidates and any future product candidates that may be more restrictive than other competitive products;</w:t>
      </w:r>
    </w:p>
    <w:p>
      <w:pPr>
        <w:spacing w:after="0" w:line="173" w:lineRule="exact"/>
        <w:rPr>
          <w:rFonts w:ascii="Times New Roman" w:cs="Times New Roman" w:eastAsia="Times New Roman" w:hAnsi="Times New Roman"/>
          <w:sz w:val="16"/>
          <w:szCs w:val="16"/>
          <w:color w:val="auto"/>
        </w:rPr>
      </w:pPr>
    </w:p>
    <w:p>
      <w:pPr>
        <w:ind w:left="560" w:right="120" w:hanging="284"/>
        <w:spacing w:after="0" w:line="270" w:lineRule="auto"/>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for the targeted indications for its current product candidates and any future product candidates, which could reduce the marketing impact of any claims that Disc could make following FDA approval or approval by comparable foreign regulatory authorities, if obtained;</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convenience and ease of administration of its current product candidates and any future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compared with the economic and clinical benefit of alternative treatments or therapies;</w:t>
      </w:r>
    </w:p>
    <w:p>
      <w:pPr>
        <w:spacing w:after="0" w:line="215" w:lineRule="exact"/>
        <w:rPr>
          <w:rFonts w:ascii="Times New Roman" w:cs="Times New Roman" w:eastAsia="Times New Roman" w:hAnsi="Times New Roman"/>
          <w:sz w:val="16"/>
          <w:szCs w:val="16"/>
          <w:color w:val="auto"/>
        </w:rPr>
      </w:pPr>
    </w:p>
    <w:p>
      <w:pPr>
        <w:ind w:left="560" w:right="480" w:hanging="284"/>
        <w:spacing w:after="0" w:line="270" w:lineRule="auto"/>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adequate coverage or reimbursement by third-party payors, including government healthcare programs such as Medicare and Medicaid and other healthcare payors;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concessions required by third-party payors to obtain coverage;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patients to pay out-of-pocket in the absence of adequate coverage and reimbursement;</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strength of Disc’s marketing and distribution of its current product candidates and any future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efficacy, and other potential advantages over, and availability of, alternative treatments already used or that may later be approved;</w:t>
      </w:r>
    </w:p>
    <w:p>
      <w:pPr>
        <w:spacing w:after="0" w:line="215" w:lineRule="exact"/>
        <w:rPr>
          <w:rFonts w:ascii="Times New Roman" w:cs="Times New Roman" w:eastAsia="Times New Roman" w:hAnsi="Times New Roman"/>
          <w:sz w:val="16"/>
          <w:szCs w:val="16"/>
          <w:color w:val="auto"/>
        </w:rPr>
      </w:pPr>
    </w:p>
    <w:p>
      <w:pPr>
        <w:ind w:left="560" w:right="260" w:hanging="284"/>
        <w:spacing w:after="0" w:line="270" w:lineRule="auto"/>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and use restrictions imposed by the FDA or comparable foreign regulatory authorities with respect to its current product candidates and any future product candidates or to which Disc agrees as part of a Risk Evaluation and Mitigation Strategy, or REMS, or voluntary risk management plan;</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its current product candidates and any future product candidates, as well as competitive products;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ability to offer its current product candidates and any future product candidates for sale at competitive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0" w:name="page281"/>
    <w:bookmarkEnd w:id="280"/>
    <w:p>
      <w:pPr>
        <w:ind w:left="560" w:hanging="284"/>
        <w:spacing w:after="0"/>
        <w:tabs>
          <w:tab w:leader="none" w:pos="56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therapies and of physicians to prescribe these therapies;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strength of its third-party manufacturer and supplier support;</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other new products;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 about its current product candidates and any future product candidates, or favorable publicity about competitive products;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liability claims.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Further, due to the COVID-19 pandemic, millions of individuals have lost or will be losing employer-based insurance coverage, which may adversely affect Disc’s ability to commercialize its products. It is unclear what effect, if any, the American Rescue Plan will have on the number of covered individuals.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Disc may not be successful in addressing these or other factors that might affect the market acceptance of its product candidates. Failure to achieve widespread market acceptance of Disc’s product candidates would materially harm its business, financial condition and results of operations.</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i w:val="1"/>
          <w:iCs w:val="1"/>
          <w:color w:val="auto"/>
        </w:rPr>
        <w:t>Even if Disc receives regulatory approval for any of its product candidates, Disc will be subject to ongoing regulatory obligations and continued regulatory review, which may result in significant additional expense. Additionally, its product candidates, if approved, could be subject to post-market study requirements, marketing and labeling restrictions, and even recall or market withdrawal if unanticipated safety issues are discovered following approval. In addition, Disc may be subject to penalties or other enforcement action if it fails to comply with regulatory requirements.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If the FDA or a comparable foreign regulatory authority approves any of Disc’s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Disc conducts post-approval. Any regulatory approvals that Disc receives for its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its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a product, including adverse events of unanticipated severity or frequency, or with its third-party manufacturers or manufacturing processes, or failure to comply with regulatory requirements, may result in, among other things:</w:t>
      </w:r>
    </w:p>
    <w:p>
      <w:pPr>
        <w:spacing w:after="0" w:line="194" w:lineRule="exact"/>
        <w:rPr>
          <w:sz w:val="20"/>
          <w:szCs w:val="20"/>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withdrawal of the product from the market, or voluntary or mandatory product recalls;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delays and supply disruptions where regulatory inspections identify observations of noncompliance requiring remediation;</w:t>
      </w:r>
    </w:p>
    <w:p>
      <w:pPr>
        <w:spacing w:after="0" w:line="215" w:lineRule="exact"/>
        <w:rPr>
          <w:rFonts w:ascii="Times New Roman" w:cs="Times New Roman" w:eastAsia="Times New Roman" w:hAnsi="Times New Roman"/>
          <w:sz w:val="16"/>
          <w:szCs w:val="16"/>
          <w:color w:val="auto"/>
        </w:rPr>
      </w:pPr>
    </w:p>
    <w:p>
      <w:pPr>
        <w:ind w:left="560" w:right="400" w:hanging="284"/>
        <w:spacing w:after="0" w:line="270" w:lineRule="auto"/>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revisions to the labeling, including limitation on approved uses or the addition of additional warnings, contraindications or other safety information, including boxed warnings;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a REMS which may include distribution or use restrictions;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additional post-market clinical trials to assess the safety of the product;</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holds;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other regulatory enforcement action;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to approve pending applications or supplements to approved applications filed by Disc or suspension or revocation of approvals;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81" w:name="page282"/>
    <w:bookmarkEnd w:id="281"/>
    <w:p>
      <w:pPr>
        <w:jc w:val="both"/>
        <w:spacing w:after="0" w:line="241" w:lineRule="auto"/>
        <w:rPr>
          <w:sz w:val="20"/>
          <w:szCs w:val="20"/>
          <w:color w:val="auto"/>
        </w:rPr>
      </w:pPr>
      <w:r>
        <w:rPr>
          <w:rFonts w:ascii="Times New Roman" w:cs="Times New Roman" w:eastAsia="Times New Roman" w:hAnsi="Times New Roman"/>
          <w:sz w:val="19"/>
          <w:szCs w:val="19"/>
          <w:color w:val="auto"/>
        </w:rPr>
        <w:t>The FDA’s and other regulatory authorities’ policies may change and additional government regulations may be enacted that could prevent, limit or delay regulatory approval of its product candidates. If Disc is slow or unable to adapt to changes in existing requirements or the adoption of new requirements or policies, or if Disc is not able to maintain regulatory compliance, Disc may lose any regulatory approval that it may have obtained, which would adversely affect its business, prospects and ability to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Disc’s Reliance on Third Parties</w:t>
      </w:r>
    </w:p>
    <w:p>
      <w:pPr>
        <w:spacing w:after="0" w:line="2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 relies on third parties to conduct its Phase 2 clinical trials of bitopertin and Phase 1b/2 clinical trial of Disc-0974 and expects to rely on third parties to conduct other clinical trials for its product candidates, as well as potential investigator-sponsored clinical trials of its product candidates. If these third parties do not successfully carry out their contractual duties, comply with regulatory requirements, or meet expected deadlines, Disc may not be able to obtain regulatory approval for or commercialize its product candidates and its business could be substantially harmed.</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does not have the ability to independently conduct clinical trials. Disc relies and expects to continue to rely on medical institutions, clinical investigators, contract laboratories and other third parties, such as CROs, to conduct or otherwise support clinical trials for its product candidates, including its Phase 2 clinical trials of bitopertin, Phase 1b/2 clinical trial of Disc-0974 in patients with anemia of MF, as well as any other product candidates that it develops. Disc may also rely on academic and private non-academic institutions to conduct and sponsor clinical trials relating to its product candidates, as is planned for bitopertin in DBA. Disc will not control the design or conduct of any investigator-sponsored trials, and it is possible that the FDA or non-U.S. regulatory authorities will not view these investigator-sponsored trials as providing adequate support for future clinical trials, whether controlled by Disc or third parties, for any one or more reasons, including elements of the design or execution of the trials or safety concerns or other trial results.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Such arrangements will likely provide Disc certain information rights with respect to the investigator-sponsored trials, including access to and the ability to use and reference the data, including for its own regulatory filings, resulting from the investigator-sponsored trials. However, Disc would not have control over the timing and reporting of the data from investigator-sponsored trials, nor would Disc own the data from the investigator-sponsored trials. If Disc is unable to confirm or replicate the results from the investigator-sponsored trials or if negative results are obtained, Disc would likely be further delayed or prevented from advancing further clinical development of its product candidates. Further, if investigators or institutions breach their obligations with respect to the clinical development of Disc’s product candidates, or if the data proves to be inadequate compared to the first-hand knowledge Disc might have gained had the investigator-sponsored trials been sponsored and conducted by Disc, then Disc’s ability to design and conduct any future clinical trials itself may be adversely affected.</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 relies and expects to continue to rely heavily on these parties for execution of clinical trials for its product candidates and control only certain aspects of their activities. Nevertheless, Disc is responsible for ensuring that each of its clinical trials is conducted in accordance with the applicable protocol, legal and regulatory requirements and scientific standards, and its reliance on CROs or other third parties will not relieve Disc of its regulatory responsibilities. For any violations of laws and regulations during the conduct of its clinical trials, Disc could be subject to warning letters or enforcement action that may include civil penalties up to and including criminal prosecution.</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Disc, its principal investigators and its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Disc, its principal investigators or its CROs fail to comply with applicable GCPs, the clinical data generated in its clinical trials may be deemed unreliable and the FDA or comparable foreign regulatory authorities may require Disc to perform additional clinical trials before approving its marketing applications. Disc cannot assure you that, upon inspection, the FDA will determine that any of its future clinical trials will comply with GCPs. In addition, Disc’s clinical trials must be conducted with product candidates produced under current Good Manufacturing Practice, or cGMP, regulations. Disc’s failure or the failure of its principal investigators or CROs to comply with these regulations may require Disc to repeat clinical trials, which would delay the regulatory approval process, significantly increase its expenditures and could also subject Disc to enforcement action. Disc also is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Although Disc designed its Phase 1b/2 clinical trial of DISC-0974 and ongoing Phase 2 clinical trials of bitopertin and intends to design the future clinical trials for its product candidates, these trials are or will be conducted by CROs and Disc expects CROs will conduct all of its future clinical trials. As a result, many important aspects of Disc’s development programs, including their conduct and timing, are outside of Disc’s direct control. Disc’s reliance on third parties to conduct future clinical trials also results in less direct control over the management of data developed through clinical trials than would be the case if Disc were relying entirely upon its own staff. Communicating with outside parties can also be challenging, potentially leading to mistakes as well as difficulties in coordinating activities. Outside parties may:</w:t>
      </w:r>
    </w:p>
    <w:p>
      <w:pPr>
        <w:spacing w:after="0" w:line="186" w:lineRule="exact"/>
        <w:rPr>
          <w:sz w:val="20"/>
          <w:szCs w:val="20"/>
          <w:color w:val="auto"/>
        </w:rPr>
      </w:pPr>
    </w:p>
    <w:p>
      <w:pPr>
        <w:ind w:left="560" w:hanging="284"/>
        <w:spacing w:after="0"/>
        <w:tabs>
          <w:tab w:leader="none" w:pos="560"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staffing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82" w:name="page283"/>
    <w:bookmarkEnd w:id="282"/>
    <w:p>
      <w:pPr>
        <w:ind w:left="560" w:hanging="284"/>
        <w:spacing w:after="0"/>
        <w:tabs>
          <w:tab w:leader="none" w:pos="56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 to comply with contractual obligations;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regulatory compliance issues;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undergo changes in priorities or become financially distressed; or</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relationships with other entities, some of which may be Disc’s competitors.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These factors may materially adversely affect the willingness or ability of third parties to conduct Disc’s clinical trials and may subject Disc to unexpected cost increases that are beyond its control. If the principal investigators or CROs do not perform clinical trials in a satisfactory manner, breach their obligations to Disc or fail to comply with regulatory requirements, the development, regulatory approval and commercialization of its product candidates may be delayed, Disc may not be able to obtain regulatory approval and commercialize its product candidates or its development program may be materially and irreversibly harmed. If Disc is unable to rely on clinical data collected by its principal investigators or CROs, Disc could be required to repeat, extend the duration of, or increase the size of any clinical trials it conducts and this could significantly delay commercialization and require significantly greater expenditures.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If any of Disc’s relationships with these third-party principal investigators or CROs terminate, Disc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Disc’s clinical protocols, regulatory requirements or for other reasons, any clinical trials such principal investigators or CROs are associated with may be extended, delayed or terminated, and Disc may not be able to obtain regulatory approval for, or successfully commercialize, its product candidates. As a result, Disc believes that its financial results and the commercial prospects for its product candidates in the subject indication would be harmed, its costs could increase and its ability to generate revenue could be delayed.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 may enter into collaborations in the future, and it might not realize the anticipated benefits of such collaborations.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Research, development, commercialization and/or strategic collaborations are subject to numerous risks, which include the following:</w:t>
      </w:r>
    </w:p>
    <w:p>
      <w:pPr>
        <w:spacing w:after="0" w:line="211" w:lineRule="exact"/>
        <w:rPr>
          <w:sz w:val="20"/>
          <w:szCs w:val="20"/>
          <w:color w:val="auto"/>
        </w:rPr>
      </w:pPr>
    </w:p>
    <w:p>
      <w:pPr>
        <w:ind w:left="560" w:right="24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173" w:lineRule="exact"/>
        <w:rPr>
          <w:rFonts w:ascii="Times New Roman" w:cs="Times New Roman" w:eastAsia="Times New Roman" w:hAnsi="Times New Roman"/>
          <w:sz w:val="16"/>
          <w:szCs w:val="16"/>
          <w:color w:val="auto"/>
        </w:rPr>
      </w:pPr>
    </w:p>
    <w:p>
      <w:pPr>
        <w:ind w:left="560" w:right="28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have limited influence or control over the approaches to research, development and/or commercialization of product candidates in the territories in which its collaboration partners lead research, development and/or commercialization;</w:t>
      </w:r>
    </w:p>
    <w:p>
      <w:pPr>
        <w:spacing w:after="0" w:line="173" w:lineRule="exact"/>
        <w:rPr>
          <w:rFonts w:ascii="Times New Roman" w:cs="Times New Roman" w:eastAsia="Times New Roman" w:hAnsi="Times New Roman"/>
          <w:sz w:val="16"/>
          <w:szCs w:val="16"/>
          <w:color w:val="auto"/>
        </w:rPr>
      </w:pPr>
    </w:p>
    <w:p>
      <w:pPr>
        <w:ind w:left="560" w:right="160" w:hanging="284"/>
        <w:spacing w:after="0" w:line="257"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183" w:lineRule="exact"/>
        <w:rPr>
          <w:rFonts w:ascii="Times New Roman" w:cs="Times New Roman" w:eastAsia="Times New Roman" w:hAnsi="Times New Roman"/>
          <w:sz w:val="16"/>
          <w:szCs w:val="16"/>
          <w:color w:val="auto"/>
        </w:rPr>
      </w:pPr>
    </w:p>
    <w:p>
      <w:pPr>
        <w:ind w:left="560" w:right="40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73" w:lineRule="exact"/>
        <w:rPr>
          <w:rFonts w:ascii="Times New Roman" w:cs="Times New Roman" w:eastAsia="Times New Roman" w:hAnsi="Times New Roman"/>
          <w:sz w:val="16"/>
          <w:szCs w:val="16"/>
          <w:color w:val="auto"/>
        </w:rPr>
      </w:pPr>
    </w:p>
    <w:p>
      <w:pPr>
        <w:ind w:left="560" w:right="8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73" w:lineRule="exact"/>
        <w:rPr>
          <w:rFonts w:ascii="Times New Roman" w:cs="Times New Roman" w:eastAsia="Times New Roman" w:hAnsi="Times New Roman"/>
          <w:sz w:val="16"/>
          <w:szCs w:val="16"/>
          <w:color w:val="auto"/>
        </w:rPr>
      </w:pPr>
    </w:p>
    <w:p>
      <w:pPr>
        <w:ind w:left="560" w:right="32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might not properly maintain or defend Disc’s intellectual property rights or might use its intellectual property improperly or in a way that jeopardizes its intellectual property or exposes it to potential liability;</w:t>
      </w:r>
    </w:p>
    <w:p>
      <w:pPr>
        <w:spacing w:after="0" w:line="173" w:lineRule="exact"/>
        <w:rPr>
          <w:rFonts w:ascii="Times New Roman" w:cs="Times New Roman" w:eastAsia="Times New Roman" w:hAnsi="Times New Roman"/>
          <w:sz w:val="16"/>
          <w:szCs w:val="16"/>
          <w:color w:val="auto"/>
        </w:rPr>
      </w:pPr>
    </w:p>
    <w:p>
      <w:pPr>
        <w:ind w:left="560" w:right="34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 activities might result in the collaborator having intellectual property covering Disc’s activities or product candidates, which could limit Disc’s rights or ability to research, develop and/or commercialize its product candidates;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might not be in compliance with laws applicable to their activities under the collaboration, which could impact the collaboration and Disc;</w:t>
      </w:r>
    </w:p>
    <w:p>
      <w:pPr>
        <w:spacing w:after="0" w:line="215" w:lineRule="exact"/>
        <w:rPr>
          <w:rFonts w:ascii="Times New Roman" w:cs="Times New Roman" w:eastAsia="Times New Roman" w:hAnsi="Times New Roman"/>
          <w:sz w:val="16"/>
          <w:szCs w:val="16"/>
          <w:color w:val="auto"/>
        </w:rPr>
      </w:pPr>
    </w:p>
    <w:p>
      <w:pPr>
        <w:ind w:left="560" w:right="36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might arise between a collaborator and Disc that could cause a delay or termination of the collaboration or result in costly litigation that diverts management attention and resources; and</w:t>
      </w:r>
    </w:p>
    <w:p>
      <w:pPr>
        <w:spacing w:after="0" w:line="173" w:lineRule="exact"/>
        <w:rPr>
          <w:rFonts w:ascii="Times New Roman" w:cs="Times New Roman" w:eastAsia="Times New Roman" w:hAnsi="Times New Roman"/>
          <w:sz w:val="16"/>
          <w:szCs w:val="16"/>
          <w:color w:val="auto"/>
        </w:rPr>
      </w:pPr>
    </w:p>
    <w:p>
      <w:pPr>
        <w:ind w:left="560" w:right="40" w:hanging="284"/>
        <w:spacing w:after="0" w:line="270" w:lineRule="auto"/>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 might be terminated, which could result in a need for additional capital to pursue further research, development and/or commercialization of Disc’s product candidates.</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Disc fails to meet a milestone or otherwise, any potential revenue from the collaboration would be significantly reduced or eliminated. In addition, Disc will likely need to either secure other funding to advance research, development and/or commercialization of the relevant product candidate or abandon that program, the development of the relevant product candidate could be significantly delayed, and Disc’s cash expenditures could increase significantly if it is to continue research, development and/or commercialization of the relevant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150100" cy="146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83" w:name="page284"/>
    <w:bookmarkEnd w:id="283"/>
    <w:p>
      <w:pPr>
        <w:jc w:val="both"/>
        <w:spacing w:after="0" w:line="260" w:lineRule="auto"/>
        <w:rPr>
          <w:sz w:val="20"/>
          <w:szCs w:val="20"/>
          <w:color w:val="auto"/>
        </w:rPr>
      </w:pPr>
      <w:r>
        <w:rPr>
          <w:rFonts w:ascii="Times New Roman" w:cs="Times New Roman" w:eastAsia="Times New Roman" w:hAnsi="Times New Roman"/>
          <w:sz w:val="19"/>
          <w:szCs w:val="19"/>
          <w:color w:val="auto"/>
        </w:rPr>
        <w:t>Any one or more of these risks, if realized, could reduce or eliminate future revenue from product candidates under Disc’s collaborations, and could have a material adverse effect on its business, financial condition, results of operations and/or growth prospects.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seek to establish collaborations, and, if Disc is not able to establish them on commercially reasonable terms, or at all, Disc may have to alter its development and commercialization plans.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Disc’s product development programs and the potential commercialization of its product candidates will require substantial additional cash to fund expenses. For some of its product candidates, Disc may decide to collaborate with pharmaceutical and biotechnology companies for the development and potential commercialization of those product candidates.</w:t>
      </w:r>
    </w:p>
    <w:p>
      <w:pPr>
        <w:spacing w:after="0" w:line="1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Disc faces significant competition in seeking appropriate collaborators. Whether Disc reaches a definitive agreement for a collaboration will depend, among other things, upon its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Disc’s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Disc for its product candidate. The terms of any additional collaborations or other arrangements that Disc may establish may not be favorable to it.</w:t>
      </w:r>
    </w:p>
    <w:p>
      <w:pPr>
        <w:spacing w:after="0" w:line="18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 is also restricted by Roche’s right of first negotiation under its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Disc may not be able to negotiate collaborations on a timely basis, on acceptable terms, or at all. If Disc is unable to do so, it may have to curtail the development of the product candidate for which it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Disc elects to increase its expenditures to fund development or commercialization activities on its own, Disc may need to obtain additional capital, which may not be available to it on acceptable terms or at all. If Disc does not have sufficient funds, it may not be able to further develop its product candidates or bring them to market and generate product revenue.</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addition, any future collaborations that Disc enters into may not be successful. The success of Disc’s collaboration arrangements will depend heavily on the efforts and activities of its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Disc financially and could harm its business reputation.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color w:val="auto"/>
        </w:rPr>
        <w:t>Disc contracts with third parties for the manufacture of its product candidates for preclinical development and clinical testing, and expects to continue to do so for commercialization. This reliance on third parties increases the risk that Disc will not have sufficient quantities of its product candidates or products or such quantities at an acceptable cost, which could delay, prevent, or impair its development or commercialization efforts.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Disc does not currently own or operate, nor does Disc have any plans to establish in the future, any manufacturing facilities. Although Disc believes it has obtained sufficient material to produce bitopertin tablets to complete its ongoing and planned Phase 2 clinical trials and DISC-0974 vials to complete its ongoing Phase 1b/2 clinical trials, it cannot be sure it has correctly estimated its drug product and API requirements or that such drug product or API will not expire before it wants to use it. While Disc has identified a contract manufacturer to produce its own GMP material, it is in the early stages of manufacturing such material. Disc relies, and expects to continue to rely, on third parties for the manufacture of its product candidates for preclinical development and clinical testing, as well as for the commercial manufacture of its products if any of its product candidates receive regulatory approval. This reliance on third parties increases the risk that Disc will not have sufficient quantities of its product candidates or products or such quantities at an acceptable cost or quality, which could delay, prevent or impair its development or commercialization efforts.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facilities used by Disc’s contract manufacturers to manufacture its product candidates must be inspected by the FDA pursuant to pre-approval inspections that will be conducted after Disc submits its marketing applications to the FDA. Disc does not control the manufacturing process of, and will be completely dependent on, its contract manufacturers for compliance with cGMPs in connection with the manufacture of its product candidates. If its contract manufacturers cannot successfully manufacture material that conforms to its specifications and the strict regulatory requirements of the FDA or others, they will not be able to pass regulatory inspections and/or maintain regulatory compliance for their manufacturing facilities. In addition, Disc has no control over the ability of its contract manufacturers to maintain adequate quality control, quality assurance and qualified personnel. If the FDA or a comparable foreign regulatory authority finds deficiencies with or does not approve these facilities for the manufacture of its product candidates or if it finds deficiencies or withdraws any such approval in the future, Disc may need to find alternative manufacturing facilities, which would significantly impact its ability to develop, obtain regulatory approval for or market its product candidates,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4" w:name="page285"/>
    <w:bookmarkEnd w:id="284"/>
    <w:p>
      <w:pPr>
        <w:jc w:val="both"/>
        <w:spacing w:after="0" w:line="234" w:lineRule="auto"/>
        <w:rPr>
          <w:sz w:val="20"/>
          <w:szCs w:val="20"/>
          <w:color w:val="auto"/>
        </w:rPr>
      </w:pPr>
      <w:r>
        <w:rPr>
          <w:rFonts w:ascii="Times New Roman" w:cs="Times New Roman" w:eastAsia="Times New Roman" w:hAnsi="Times New Roman"/>
          <w:sz w:val="19"/>
          <w:szCs w:val="19"/>
          <w:color w:val="auto"/>
        </w:rPr>
        <w:t>If any contract development and manufacturing organization, or CDMO, with whom Disc contracts fails to perform its obligations, it may be forced to enter into an agreement with a different CDMO, which it may not be able to do on reasonable terms, if at all. In such scenario, Disc’s clinical trials supply could be delayed significantly as it establishes alternative supply sources. In some cases, the technical skills required to manufacture Disc’s products or product candidates may be unique or proprietary to the original CDMO and Disc may have difficulty, or there may be contractual restrictions prohibiting Disc from, transferring such skills to a back-up or alternate supplier, or Disc may be unable to transfer such skills at all. In addition, if Disc is required to change CDMOs for any reason, it will be required to verify that the new CDMO maintains facilities and procedures that comply with quality standards and with all applicable regulations. Disc will also need to verify, such as through a manufacturing comparability study, that any new manufacturing process will produce its product candidate according to the specifications previously submitted to the FDA or another regulatory authority. The delays associated with the verification of a new CDMO could negatively affect Disc’s ability to develop product candidates or commercialize its products in a timely manner or within budget. In addition, changes in manufacturers often involve changes in manufacturing procedures and processes, which could require that Disc conduct bridging studies between its prior clinical supply used in its clinical trials and that of any new manufacturer. Disc may be unsuccessful in demonstrating the comparability of clinical supplies which could require the conduct of additional clinical trials.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Further, Disc’s failure, or the failure of its third party manufacturers,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Disc’s business and supplies of its product candidates.</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Disc may be unable to establish any additional agreements with third-party manufacturers or do so on acceptable terms. Reliance on third-party manufacturers entails additional risks, including:</w:t>
      </w:r>
    </w:p>
    <w:p>
      <w:pPr>
        <w:spacing w:after="0" w:line="169" w:lineRule="exact"/>
        <w:rPr>
          <w:sz w:val="20"/>
          <w:szCs w:val="20"/>
          <w:color w:val="auto"/>
        </w:rPr>
      </w:pPr>
    </w:p>
    <w:p>
      <w:pPr>
        <w:ind w:left="560" w:hanging="284"/>
        <w:spacing w:after="0"/>
        <w:tabs>
          <w:tab w:leader="none" w:pos="56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the third party for regulatory compliance and quality assurance;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breach of the manufacturing agreement by the third party;</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misappropriation of Disc’s proprietary information, including its trade secrets and know-how;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termination or nonrenewal of the agreement by the third party at a time that is costly or inconvenient for Disc.</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Disc’s product candidates and any products that it may develop may compete with other product candidates and approved products for access to manufacturing facilities. There are a limited number of manufacturers that operate under cGMP regulations and that might be capable of manufacturing for Disc.</w:t>
      </w:r>
    </w:p>
    <w:p>
      <w:pPr>
        <w:spacing w:after="0" w:line="17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Any performance failure on the part of Disc’s existing or future manufacturers could delay clinical development or regulatory approval. If Disc’s current contract manufacturers cannot perform as agreed, it may be required to replace such manufacturers. Disc may incur added costs and delays in identifying and qualifying any such replacement.</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Disc’s current and anticipated future dependence upon others for the manufacture of its product candidates or products may adversely affect its future profit margins and its ability to commercialize any products that receive regulatory approval on a timely and competitive basis.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third parties upon whom Disc relies for the supply of the active pharmaceutical ingredients used in its product candidates are its sole sources of supply, and the loss of any of these suppliers could significantly harm its business.</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active pharmaceutical ingredients, or API, used in certain of Disc’s product candidates are supplied to it from single-source suppliers. Disc’s ability to successfully develop its product candidates, and to ultimately supply its commercial products in quantities sufficient to meet the market demand, depends in part on its ability to obtain the API for these products in accordance with regulatory requirements and in sufficient quantities for clinical testing and commercialization. Disc does not currently have arrangements in place for a redundant or second-source supply of any such API in the event any of its current suppliers of such API cease their operations for any reason. Disc is also unable to predict how changing global economic conditions or potential global health concerns such as the COVID-19 pandemic will affect its third-party suppliers and manufacturers. Any negative impact of such matters on its third-party suppliers and manufacturers may also have an adverse impact on its results of operations or financial condition.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For all of Disc’s product candidates, it intends to identify and qualify additional manufacturers to provide such API prior to submission of an NDA to the FDA and/or an MAA to the EMA. Disc is not certain, however, that its single-source suppliers will be able to meet its demand for their products, either because of the nature of its agreements with those suppliers, its limited experience with those suppliers or its relative importance as a customer to those suppliers. It may be difficult for Disc to assess their ability to timely meet its demand in the future based on past performance. While Disc’s suppliers have generally met its demand for their products on a timely basis in the past, they may subordinate its needs in the future to their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5" w:name="page286"/>
    <w:bookmarkEnd w:id="285"/>
    <w:p>
      <w:pPr>
        <w:jc w:val="both"/>
        <w:spacing w:after="0" w:line="238" w:lineRule="auto"/>
        <w:rPr>
          <w:sz w:val="20"/>
          <w:szCs w:val="20"/>
          <w:color w:val="auto"/>
        </w:rPr>
      </w:pPr>
      <w:r>
        <w:rPr>
          <w:rFonts w:ascii="Times New Roman" w:cs="Times New Roman" w:eastAsia="Times New Roman" w:hAnsi="Times New Roman"/>
          <w:sz w:val="19"/>
          <w:szCs w:val="19"/>
          <w:color w:val="auto"/>
        </w:rPr>
        <w:t>Establishing additional or replacement suppliers for the API used in Disc’s product candidates, if required, may not be accomplished quickly. If Disc is able to find a replacement supplier, such replacement supplier would need to be qualified and may require additional regulatory inspection or approval, which could result in further delay. While Disc seeks to maintain adequate inventory of the API used in its product candidates, any interruption or delay in the supply of components or materials, or its inability to obtain such API from alternate sources at acceptable prices in a timely manner could impede, delay, limit or prevent its development efforts, which could harm its business, results of operations, financial condition and prospects.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The manufacture of biologics is complex and Disc’s third-party manufacturers may encounter difficulties in production. If any of Disc’s third-party manufacturers encounter such difficulties, its ability to provide supply of product candidates for clinical trials or products for patients, if approved, could be delayed or prevented.</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DISC-0974 and DISC-0998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Disc may be required to provide preclinical and clinical data showing the comparable identity, strength, quality, purity or potency of the products before and after such changes. If microbial, viral or other contaminations are discovered at the facilities of Disc’s manufacturers, such facilities may need to be closed for an extended period of time to investigate and remedy the contamination, which could delay clinical trials and adversely harm Disc’s business.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Disc obtains regulatory approval for any of its current product candidates or any future product candidates, there is no assurance that its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Disc’s manufacturers are unable to produce sufficient quantities for clinical trials or for commercialization, its development and commercialization efforts would be impaired, which would have an adverse effect on its business, financial condition, results of operations and growth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Disc’s Intellectual Property</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color w:val="auto"/>
        </w:rPr>
        <w:t>If Disc is unable to obtain and maintain patent and other intellectual property protection for its technology and product candidates, or if the scope of the intellectual property protection obtained is not sufficiently broad, its competitors could develop and commercialize technology and drugs similar or identical to Disc’s, and its ability to successfully commercialize its technology and drugs may be impaired, and Disc may not be able to compete effectively in its market.</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Disc’s commercial success depends in part on its ability to obtain and maintain proprietary or intellectual property protection in the U.S. and other countries for its current or future product candidates, including its current lead product candidates, bitopertin and DISC-0974, and its other current or future programs, including DISC-0998 and its Mat-2 program, as well as for their respective compositions, formulations, methods used to manufacture them, and methods of treatment, in addition to successfully defending these patents against third-party challenges. Disc seeks to protect its proprietary and intellectual property position by, among other methods, filing patent applications in the U.S. and abroad related to its proprietary technology, inventions, and improvements that are important to the development and implementation of its business. Disc’s ability to stop unauthorized third parties from making, using, selling, offering to sell, or importing its product candidates is dependent upon the extent to which Disc has rights under valid and enforceable patents or trade secrets that cover these activities. Disc also relies on trade secrets, know-how and continuing technological innovation to develop and maintain its proprietary and intellectual property position.</w:t>
      </w:r>
    </w:p>
    <w:p>
      <w:pPr>
        <w:spacing w:after="0" w:line="18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9"/>
          <w:szCs w:val="19"/>
          <w:color w:val="auto"/>
        </w:rPr>
        <w:t>Disc has in-licensed, and may in the future in-license, a portion of its intellectual property, and, if it fails to comply with its obligations under these license arrangements, Disc could lose such intellectual property rights or owe damages to the licensor of such intellectual property. In particular, Disc has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Disc also has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patent position of biotechnology and pharmaceutical companies generally is highly uncertain, involves complex legal and factual questions and has in recent years been the subject of much litigation. The degree of patent protection Disc requires to successfully commercialize its current or future product candidates may be unavailable or severely limited in some cases and may not adequately protect its rights or permit it to gain or keep any competitive advantage. Disc cannot provide any assurances that any of its patents have, or that any of its pending patent applications that mature into issued patents will include, claims with a scope sufficient to protect bitopertin, DISC-0974 or Disc’s other current or future product candidates. In addition, if the breadth or strength of protection provided by Disc’s patent applications or any patents Disc may own or in-license is threatened, it could dissuade companies from collaborating with Disc to license, develop or commercialize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6" w:name="page287"/>
    <w:bookmarkEnd w:id="286"/>
    <w:p>
      <w:pPr>
        <w:jc w:val="both"/>
        <w:spacing w:after="0" w:line="235" w:lineRule="auto"/>
        <w:rPr>
          <w:sz w:val="20"/>
          <w:szCs w:val="20"/>
          <w:color w:val="auto"/>
        </w:rPr>
      </w:pPr>
      <w:r>
        <w:rPr>
          <w:rFonts w:ascii="Times New Roman" w:cs="Times New Roman" w:eastAsia="Times New Roman" w:hAnsi="Times New Roman"/>
          <w:sz w:val="19"/>
          <w:szCs w:val="19"/>
          <w:color w:val="auto"/>
        </w:rPr>
        <w:t>In addition, the laws of foreign countries may not protect Disc’s rights to the same extent as the laws of the U.S. For example, in jurisdictions outside the U.S., a license may not be enforceable unless all the owners of the intellectual property agree or consent to the license. Accordingly, any actual or purported co-owner of Disc’s patent rights could seek monetary or equitable relief requiring Disc to pay it compensation for, or refrain from, exploiting these patents due to such co-ownership. Furthermore, patents have a limited lifespan. In the U.S., and most other jurisdictions in which Disc has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Disc’s product candidates may or may not be eligible for such extensions or Disc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Disc may own or in-license may not provide it with adequate and continuing patent protection sufficient to exclude others from commercializing drugs similar or identical to Disc’s current or future product candidates, including generic versions of such drugs.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Disc’s own, and such parties may have filed or may file patent applications, or may have received or may receive patents, claiming inventions that may overlap or conflict with those claimed in Disc’s own patent applications or issued patents, with respect to either the same compounds, methods, formulations or other subject matter, in either case that Disc may rely upon to dominate its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Disc cannot know with certainty whether it was the first to make the inventions claimed in patents it may own or in-license patents or pending patent applications, or that it was the first to file for patent protection of such inventions. As a result, the issuance, scope, validity, enforceability and commercial value of Disc’s patent rights cannot be predicted with any certainty.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addition, the patent prosecution process is expensive and time-consuming, and Disc may not be able to file and prosecute all necessary or desirable patent applications at a reasonable cost or in a timely manner. Further, with respect to certain pending patent applications covering Disc’s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Disc will fail to identify patentable aspects of its research and development output before it is too late to obtain patent protection. Prosecution could require that claim scope narrow such that a clinical or product candidate or program is not adequately protected by the patent. Moreover, in some circumstances, Disc may not have the right to control the preparation, filing and prosecution of patent applications, or to maintain the patents, covering technology that it licenses from or to third parties. Therefore, these patents and applications may not be prosecuted and enforced in a manner consistent with the best interests of Disc’s business.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Even if Disc acquires patent protection that it expects should enable it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Disc’s patents may be challenged in the courts or patent offices in the U.S. and abroad. Disc may become involved in post-grant proceedings such as opposition, derivation,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 invalidation, or interference proceedings challenging its patent rights or the patent rights of others from whom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 the future obtain licenses to such rights, in the U.S. Patent and Trademark Office, or USPTO, the European Patent Office, or EPO, or in other countries. In addition, Disc may be subject to a third-party submission to the USPTO, the EPO, or elsewhere, that may reduce the scope or preclude the granting of claims from its pending patent applications. Competitors may allege that they invented the inventions claimed in Disc’s issued patents or patent applications prior to Disc, or may file patent applications before Disc does. Competitors may also claim that Disc is infringing their patents and that it therefore cannot practice its technology as claimed under its patents or patent applications. Competitors may also contest Disc’s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Disc’s patents, if issued, are not valid or are unenforceable for a number of reasons. If a court or administrative patent authority agrees, Disc would lose its protection of those challenged patents.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addition, Disc may in the future be subject to claims by its former employees or consultants asserting an ownership right in its patents or patent applications, as a result of the work they performed on its behalf. Although Disc generally requires all of its employees, consultants and advisors and any other third parties who have access to its proprietary know-how, information or technology to assign or grant similar rights to their inventions to it, Disc cannot be certain that it has executed such agreements with all parties who may have contributed to its intellectual property, nor can Disc be certain that its agreements with such parties will be upheld in the face of a potential challenge, or that they will not be breached, for which Disc may not have an adequate remedy.</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An adverse determination in any such submission or proceeding may result in loss of exclusivity or freedom to operate or in patent claims being narrowed, invalidated or held unenforceable, in whole or in part, which could limit Disc’s ability to stop others from using or commercializing similar or identical technology and drugs, without payment to it, or could limit the duration of the patent protection covering its technology and current or future product candidates. Such challenges may also result in Disc’s inability to manufacture or commercialize its current or future product candidates without infringing third-party patent rights. In addition, if the breadth or strength of protection provided by Disc’s patents and patent applications is threatened, it could dissuade companies from collaborating with it to license, develop or commercialize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7" w:name="page288"/>
    <w:bookmarkEnd w:id="287"/>
    <w:p>
      <w:pPr>
        <w:jc w:val="both"/>
        <w:spacing w:after="0" w:line="237" w:lineRule="auto"/>
        <w:rPr>
          <w:sz w:val="20"/>
          <w:szCs w:val="20"/>
          <w:color w:val="auto"/>
        </w:rPr>
      </w:pPr>
      <w:r>
        <w:rPr>
          <w:rFonts w:ascii="Times New Roman" w:cs="Times New Roman" w:eastAsia="Times New Roman" w:hAnsi="Times New Roman"/>
          <w:sz w:val="19"/>
          <w:szCs w:val="19"/>
          <w:color w:val="auto"/>
        </w:rPr>
        <w:t>Even if they are unchallenged, Disc’s issued patents and its pending patent applications, if issued, may not provide Disc with any meaningful protection or prevent competitors from designing around its patent claims to circumvent patents Disc may own or in-license by developing similar or alternative technologies or products in a non-infringing manner. For example, a third-party may develop a competitive product that provides benefits similar to one or more of Disc’s current or future product candidates but that has a different composition that falls outside the scope of its patent protection. If the patent protection provided by the patents and patent applications Disc holds or pursues with respect to its current or future product candidates is not sufficiently broad to impede such competition, its ability to successfully commercialize its current or future product candidates could be negatively affected, which would harm its business.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Furthermore, even if Disc is able to issue patents with claims of valuable scope in one or more jurisdictions, it may not be able to secure such claims in all relevant jurisdictions, or in a sufficient number to meaningfully reduce competition. Disc’s competitors may be able to develop and commercialize their products, including products identical to its, in any jurisdiction in which Disc is unable to obtain, maintain, or enforce such patent claims. Furthermore, generic manufacturers may develop, seek approval for and launch generic versions of Disc’s products, and may challenge the scope, validity or enforceability of its patents, requiring Disc to engage in complex, lengthy and costly litigation or other proceedings.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 also intends to rely on regulatory exclusivity for protection of its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Disc expects for its product candidates, if approved, could affect its decision on whether to market the products in a particular country or countries or could otherwise have an adverse impact on its revenue or results of operations.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its patent protection depends on compliance with various procedural, document submission, deadlines, fee payment and other requirements imposed by governmental patent agencies, and its patent protection could be reduced or eliminated if Disc fails to comply with these requirements. Disc may miss a filing deadline for patent protection on these inventions.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Disc’s competitors might be able to enter the market with similar or identical products or platforms, which could have a material adverse effect on its business prospects and financial condition.</w:t>
      </w:r>
    </w:p>
    <w:p>
      <w:pPr>
        <w:spacing w:after="0" w:line="16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If Disc’s trademarks and trade names for its products or company name are not adequately protected in one or more countries where it intends to market its products, Disc may delay the launch of product brand names, use different trademarks or tradenames in different countries, or face other potentially adverse consequences to building its product brand recognition.</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Disc’s trademarks or trade names may be challenged, infringed, diluted, circumvented or declared generic or determined to be infringing on other marks. Disc intends to rely on both registration and common law protection for its trademarks. Disc may not be able to protect its rights to these trademarks and trade names or may be forced to stop using these names, which it needs for name recognition by potential partners or customers in its markets of interest. During the trademark registration process, Disc may receive Office Actions from the USPTO or from comparable agencies in foreign jurisdictions objecting to the registration of its trademark. Although Disc would be given an opportunity to respond to those objections, it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Disc’s trademark applications or registrations, and its trademark applications or registrations may not survive such proceedings. If Disc is unable to obtain a registered trademark or establish name recognition based on its trademarks and trade names, it may not be able to compete effectively and its business may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Disc is unable to adequately protect and enforce its trade secrets, its business and competitive position would be harmed.</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addition to the protection afforded by patents Disc may own or in-license, it seeks to rely on trade secret protection, confidentiality agreements, and license agreements to protect proprietary know-how that may not be patentable, processes for which patents are difficult to enforce and any other elements of its product discovery and development processes that involve proprietary know-how, information, or technology that may not be covered by patents. Although Disc requires all of its employees, consultants, advisors, and any third parties who have access to its proprietary know-how, information, or technology to enter into confidentiality agreements, trade secrets can be difficult to protect and it has limited control over the protection of trade secrets used by its collaborators and suppliers. Disc cannot be certain that it has or will obtain these agreements in all circumstances and it cannot guarantee that it has entered into such agreements with each party that may have or have had access to its trade secrets or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50100" cy="146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8" w:name="page289"/>
    <w:bookmarkEnd w:id="288"/>
    <w:p>
      <w:pPr>
        <w:jc w:val="both"/>
        <w:spacing w:after="0" w:line="237" w:lineRule="auto"/>
        <w:rPr>
          <w:sz w:val="20"/>
          <w:szCs w:val="20"/>
          <w:color w:val="auto"/>
        </w:rPr>
      </w:pPr>
      <w:r>
        <w:rPr>
          <w:rFonts w:ascii="Times New Roman" w:cs="Times New Roman" w:eastAsia="Times New Roman" w:hAnsi="Times New Roman"/>
          <w:sz w:val="19"/>
          <w:szCs w:val="19"/>
          <w:color w:val="auto"/>
        </w:rPr>
        <w:t>Moreover, any of these parties might breach the agreements and intentionally or inadvertently disclose its trade secret information and Disc may not be able to obtain adequate remedies for such breaches. In addition, competitors may otherwise gain access to Disc’s trade secrets or independently develop substantially equivalent information and techniques. Furthermore, the laws of some foreign countries do not protect proprietary rights and trade secrets to the same extent or in the same manner as the laws of the U.S. As a result, Disc may encounter significant problems in protecting and defending its intellectual property both in the U.S. and abroad. If Disc is unable to prevent unauthorized material disclosure of its intellectual property to third parties, it will not be able to establish or maintain a competitive advantage in its market, which could materially adversely affect its business, financial condition, results of operations and future prospects.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Enforcing a claim that a party illegally disclosed or misappropriated a trade secret is difficult, expensive and time-consuming, and the outcome is unpredictable. If Disc chooses to go to court to stop a third party from using any of its trade secrets, it may incur substantial costs. These lawsuits may consume Disc’s time and other resources even if it is successful. Although Disc takes steps to protect its proprietary information and trade secrets, including through contractual means with its employees and consultants, third parties may independently develop substantially equivalent proprietary information and techniques or otherwise gain access to its trade secrets or disclose its technology. If any of Disc’s trade secrets were to be lawfully obtained or independently developed by a competitor or other third party, it would have no right to prevent them from using that technology or information to compete with it.</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Thus, Disc may not be able to meaningfully protect its trade secrets. It is Disc’s policy to require its employees, consultants, outside scientific collaborators, sponsored researchers and other advisors to execute confidentiality agreements upon the commencement of employment or consulting relationships with it. These agreements provide that all confidential information concerning its business or financial affairs developed or made known to the individual or entity during the course of the party’s relationship with Disc is to be kept confidential and not disclosed to third parties except in specific circumstances. In addition, Disc takes other appropriate precautions, such as physical and technological security measures, to guard against misappropriation of its proprietary technology by third parties. In the case of employees, the agreements provide that all inventions conceived by the individual, and which are related to Disc’s current or planned business or research and development or made during normal working hours, on its premises or using its equipment or proprietary information, are Disc’s exclusive property. Although Disc requires all of its employees to assign their inventions to it, it may be unsuccessful in executing such an agreement with each party who, in fact, conceives or develops intellectual property that Disc regards as its own. The assignment of intellectual property rights may not be self-executing, or the assignment agreements may be ineffective or breached, and Disc may be forced to bring claims against third parties, or defend claims that they may bring against it, to determine the ownership of what Disc regards as its intellectual property. Such claims could have a material adverse effect on Disc’s business, financial condition, results of operations, and prospects.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initiate, become a defendant in, or otherwise become party to lawsuits to protect or enforce its intellectual property rights, which could be expensive, time-consuming, and unsuccessful.</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Competitors may infringe any patents Disc may own or in-license. In addition, any patents Disc may own or in-license also may become involved in inventorship, priority, validity or unenforceability disputes. To counter infringement or unauthorized use, Disc may be required to file infringement claims, which can be expensive and time-consuming. Disc may not prevail in any lawsuits that it initiates, and the damages or other remedies awarded, if any, may not be commercially meaningful. In addition, in an infringement proceeding, a court may decide that one or more of any patents Disc may own or in-license is not valid or is unenforceable or that the other party’s use of its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Disc may own or in-license do not cover the technology in question or that such third-party’s activities do not infringe its patent applications or any patents it may own or in-license. An adverse result in any litigation or defense proceedings could put one or more of any patents Disc may own or in-license at risk of being invalidated, held unenforceable, or interpreted narrowly and could put its patent applications at risk of not issuing. Such litigation or proceedings could substantially increase Disc’s operating losses and reduce the resources available for development activities or any future sales, marketing, patient support or distribution activities. Disc may not have sufficient financial or other resources to conduct such litigation or proceedings adequately. Some of Disc’s competitors may be able to sustain the costs of such litigation or proceedings more effectively than Disc can because of its greater financial resources and more mature and developed intellectual property portfolios. Uncertainties resulting from the initiation and continuation of patent litigation or other proceedings could have a material adverse effect on Disc’s ability to compete in the marketplace.</w:t>
      </w:r>
    </w:p>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Post-grant proceedings provoked by third parties or brought by or before the USPTO or other patent granting authority may be necessary to determine the validity or priority of inventions with respect to Disc’s patent applications or any patents Disc may own or in-license. These proceedings are expensive and an unfavorable outcome could result in a loss of Disc’s current patent rights and could require Disc to cease using the related technology or to attempt to license rights to it from the prevailing party. Disc’s business could be harmed if the prevailing party does not offer it a license on commercially reasonable terms. In addition to potential USPTO post-grant proceedings, Disc may become a party to patent opposition proceedings in the EPO, or similar proceedings in other foreign patent offices or courts where its patents may be challenged. The costs of these proceedings could be substantial, and may result in a loss of scope of some claims or a loss of the entire patent. An unfavorable result in a post-grant challenge proceeding may result in the loss of Disc’s right to exclude others from practicing one or more of its inventions in the relevant country or jurisdiction, which could have a material adverse effect on its business. Litigation or post-grant proceedings within patent offices may result in a decision adverse to Disc’s interests and, even if Disc is successful, may result in substantial costs and distract its management and other employees. Disc may not be able to prevent, misappropriation of its trade secrets or confidential information, particularly in countries where the laws may not protect those rights as fully as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9" w:name="page290"/>
    <w:bookmarkEnd w:id="289"/>
    <w:p>
      <w:pPr>
        <w:jc w:val="both"/>
        <w:spacing w:after="0" w:line="241" w:lineRule="auto"/>
        <w:rPr>
          <w:sz w:val="20"/>
          <w:szCs w:val="20"/>
          <w:color w:val="auto"/>
        </w:rPr>
      </w:pPr>
      <w:r>
        <w:rPr>
          <w:rFonts w:ascii="Times New Roman" w:cs="Times New Roman" w:eastAsia="Times New Roman" w:hAnsi="Times New Roman"/>
          <w:sz w:val="19"/>
          <w:szCs w:val="19"/>
          <w:color w:val="auto"/>
        </w:rPr>
        <w:t>Furthermore, because of the substantial amount of discovery required in connection with intellectual property litigation, there is a risk that some of Disc’s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Disc’s common stock.</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 may not be able to detect infringement against any patents it may own or in-license. Even if it detects infringement by a third party of any patents it may own or in-license, it may choose not to pursue litigation against or settlement with the third party. If Disc later sues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Disc to enforce any patents it may own or in-license against such third party.</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Intellectual property litigation and administrative patent office patent validity challenges in one or more countries could cause Disc to spend substantial resources and distract its personnel from their normal responsibilities.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Even if resolved in Disc’s favor, litigation or other legal proceedings relating to intellectual property claims may cause Disc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Disc’s common stock. Such litigation or proceedings could substantially increase its operating losses and reduce the resources available for development activities or any future sales, marketing, patient support or distribution activities. Disc may not have sufficient financial or other resources to conduct such litigation or proceedings adequately. As noted above, some of Disc’s competitors may be able to sustain the costs of such litigation or proceedings more effectively than Disc can because of their greater financial resources. Uncertainties resulting from the initiation and continuation of patent litigation or other proceedings could compromise Disc’s ability to compete in the marketplace, including compromising its ability to raise the funds necessary to continue its clinical trials, continue its research programs, license necessary technology from third parties, or enter into development collaborations that would help it commercialize its current or future product candidates, if approved. Any of the foregoing events would harm Disc’s business, financial condition, results of operations and prospects.</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i w:val="1"/>
          <w:iCs w:val="1"/>
          <w:color w:val="auto"/>
        </w:rPr>
        <w:t>Disc may be subject to damages or settlement costs resulting from claims that it or its employees have violated the intellectual property rights of third parties, or are in breach of its agreements. Disc may be accused of, allege or otherwise become party to lawsuits or disputes alleging wrongful disclosure of third-party confidential information by it or by another party, including current or former employees, contractors or consultants. In addition to diverting attention and resources to such disputes, such disputes could adversely impact Disc’s business reputation and/or protection of its proprietary technology.</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The intellectual property landscape relevant to Disc’s product candidates and programs is crowded, and third parties may initiate legal proceedings alleging that Disc is infringing, misappropriating or otherwise violating their intellectual property rights, the outcome of which would be uncertain and could have a material adverse effect on the success of its business. Disc’s commercial success depends upon its ability to develop, manufacture, market and sell its current and future product candidates and use its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and post grant review proceedings before the USPTO or oppositions and other comparable proceedings in foreign jurisdictions. Disc or any of its current or future licensors or strategic partners may be party to, exposed to, or threatened with, future adversarial proceedings or litigation by third parties having patent or other intellectual property rights alleging that its current or future product candidates and/or proprietary technologies infringe, misappropriate or otherwise violate their intellectual property rights. Disc cannot assure you that its current or future product candidates and other technologies that it has developed, are developing or may develop in the future do not or will not infringe, misappropriate or otherwise violate existing or future patents or other valid intellectual property rights owned by third parties. For example, many of Disc’s employees were previously employed at other biotechnology or pharmaceutical companies. Although Disc tries to ensure that its employees, consultants and advisors do not use the proprietary information or know-how of others in their work for it, it may be subject to claims that it or these individuals have used or disclosed intellectual property, including trade secrets or other proprietary information, of any such individual’s former employer. Disc may also be subject to claims that patents and applications it has filed to protect inventions of its employees, consultants and advisors, even those related to one or more of its current or future product candidates, are rightfully owned by their former or concurrent employer. Litigation may be necessary to defend against these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0100" cy="146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0" w:name="page291"/>
    <w:bookmarkEnd w:id="290"/>
    <w:p>
      <w:pPr>
        <w:jc w:val="both"/>
        <w:spacing w:after="0" w:line="235" w:lineRule="auto"/>
        <w:rPr>
          <w:sz w:val="20"/>
          <w:szCs w:val="20"/>
          <w:color w:val="auto"/>
        </w:rPr>
      </w:pPr>
      <w:r>
        <w:rPr>
          <w:rFonts w:ascii="Times New Roman" w:cs="Times New Roman" w:eastAsia="Times New Roman" w:hAnsi="Times New Roman"/>
          <w:sz w:val="19"/>
          <w:szCs w:val="19"/>
          <w:color w:val="auto"/>
        </w:rPr>
        <w:t>While certain activities related to development and clinical testing of Disc’s current or future product candidates may be subject to safe harbor of patent infringement, such as under 35 U.S.C. §271(e)(1), upon receiving regulatory approval for such candidates Disc or any of its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Disc is developing its current or future product candidates. As the biotechnology and pharmaceutical industries expand and more patents are issued, the risk increases that Disc’s current or future product candidates may give rise to claims of infringement of the patent rights of others. Moreover, it is not always clear to industry participants, including Disc, which patents cover various types of drugs, products or their methods of use or manufacture. Thus, because of the large number of patents issued and patent applications filed in Disc’s fields, there may be a risk that third parties may allege they have patent rights encompassing its current or future product candidates, technologies or methods.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If a third party claims that Disc infringes, misappropriates or otherwise violates its intellectual property rights, it may face a number of issues, including, but not limited to:</w:t>
      </w:r>
    </w:p>
    <w:p>
      <w:pPr>
        <w:spacing w:after="0" w:line="169" w:lineRule="exact"/>
        <w:rPr>
          <w:sz w:val="20"/>
          <w:szCs w:val="20"/>
          <w:color w:val="auto"/>
        </w:rPr>
      </w:pPr>
    </w:p>
    <w:p>
      <w:pPr>
        <w:ind w:left="560" w:right="140" w:hanging="284"/>
        <w:spacing w:after="0" w:line="270" w:lineRule="auto"/>
        <w:tabs>
          <w:tab w:leader="none" w:pos="56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infringement, misappropriation and other intellectual property claims which, regardless of merit, may be expensive and time-consuming to litigate and may divert Disc’s management’s attention from its core business and may impact its reputation;</w:t>
      </w:r>
    </w:p>
    <w:p>
      <w:pPr>
        <w:spacing w:after="0" w:line="173" w:lineRule="exact"/>
        <w:rPr>
          <w:rFonts w:ascii="Times New Roman" w:cs="Times New Roman" w:eastAsia="Times New Roman" w:hAnsi="Times New Roman"/>
          <w:sz w:val="16"/>
          <w:szCs w:val="16"/>
          <w:color w:val="auto"/>
        </w:rPr>
      </w:pPr>
    </w:p>
    <w:p>
      <w:pPr>
        <w:ind w:left="560" w:hanging="284"/>
        <w:spacing w:after="0" w:line="257" w:lineRule="auto"/>
        <w:tabs>
          <w:tab w:leader="none" w:pos="56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damages for infringement, misappropriation or other violations, which Disc may have to pay if a court decides that the product candidate or technology at issue infringes, misappropriates or violates the third party’s rights, and, if the court finds that the infringement was willful, Disc could be ordered to pay treble damages and the patent owner’s attorneys’ fees;</w:t>
      </w:r>
    </w:p>
    <w:p>
      <w:pPr>
        <w:spacing w:after="0" w:line="183" w:lineRule="exact"/>
        <w:rPr>
          <w:rFonts w:ascii="Times New Roman" w:cs="Times New Roman" w:eastAsia="Times New Roman" w:hAnsi="Times New Roman"/>
          <w:sz w:val="16"/>
          <w:szCs w:val="16"/>
          <w:color w:val="auto"/>
        </w:rPr>
      </w:pPr>
    </w:p>
    <w:p>
      <w:pPr>
        <w:ind w:left="560" w:right="300" w:hanging="284"/>
        <w:spacing w:after="0" w:line="257" w:lineRule="auto"/>
        <w:tabs>
          <w:tab w:leader="none" w:pos="56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prohibiting Disc from developing, manufacturing, marketing or selling its current product candidates, including bitopertin and DISC-0974, or future product candidates, or from using its proprietary technologies, unless the third-party licenses its product rights to it, which it is not required to do, on commercially reasonable terms or at all;</w:t>
      </w:r>
    </w:p>
    <w:p>
      <w:pPr>
        <w:spacing w:after="0" w:line="183" w:lineRule="exact"/>
        <w:rPr>
          <w:rFonts w:ascii="Times New Roman" w:cs="Times New Roman" w:eastAsia="Times New Roman" w:hAnsi="Times New Roman"/>
          <w:sz w:val="16"/>
          <w:szCs w:val="16"/>
          <w:color w:val="auto"/>
        </w:rPr>
      </w:pPr>
    </w:p>
    <w:p>
      <w:pPr>
        <w:ind w:left="560" w:right="180" w:hanging="284"/>
        <w:spacing w:after="0" w:line="270" w:lineRule="auto"/>
        <w:tabs>
          <w:tab w:leader="none" w:pos="56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license is available from a third party, Disc may have to pay substantial royalties, upfront fees and other amounts, and/or grant cross-licenses to intellectual property rights for its products, or the license to it may be non-exclusive, which would permit third parties to use the same intellectual property to compete with it;</w:t>
      </w:r>
    </w:p>
    <w:p>
      <w:pPr>
        <w:spacing w:after="0" w:line="173" w:lineRule="exact"/>
        <w:rPr>
          <w:rFonts w:ascii="Times New Roman" w:cs="Times New Roman" w:eastAsia="Times New Roman" w:hAnsi="Times New Roman"/>
          <w:sz w:val="16"/>
          <w:szCs w:val="16"/>
          <w:color w:val="auto"/>
        </w:rPr>
      </w:pPr>
    </w:p>
    <w:p>
      <w:pPr>
        <w:ind w:left="560" w:right="160" w:hanging="284"/>
        <w:spacing w:after="0" w:line="270" w:lineRule="auto"/>
        <w:tabs>
          <w:tab w:leader="none" w:pos="56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redesigning Disc’s current or future product candidates or processes so they do not infringe, misappropriate or violate third-party intellectual property rights, which may not be possible or may require substantial monetary expenditures and time; and</w:t>
      </w:r>
    </w:p>
    <w:p>
      <w:pPr>
        <w:spacing w:after="0" w:line="173" w:lineRule="exact"/>
        <w:rPr>
          <w:rFonts w:ascii="Times New Roman" w:cs="Times New Roman" w:eastAsia="Times New Roman" w:hAnsi="Times New Roman"/>
          <w:sz w:val="16"/>
          <w:szCs w:val="16"/>
          <w:color w:val="auto"/>
        </w:rPr>
      </w:pPr>
    </w:p>
    <w:p>
      <w:pPr>
        <w:ind w:left="560" w:right="320" w:hanging="284"/>
        <w:spacing w:after="0" w:line="270" w:lineRule="auto"/>
        <w:tabs>
          <w:tab w:leader="none" w:pos="56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Disc’s common stock.</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Some of Disc’s competitors may be able to sustain the costs of complex patent litigation more effectively than Disc can because they have substantially greater resources. In addition, any uncertainties resulting from the initiation and continuation of any litigation could have a material adverse effect on Disc’s ability to raise the funds necessary to continue its operations or could otherwise have a material adverse effect on its business, results of operations, financial condition and prospects. The occurrence of any of the foregoing could have a material adverse effect on Disc’s business, financial condition, results of operations or prospects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Disc may choose to challenge the patentability of claims in a third party’s U.S. patent by requesting that the USPTO review the patent claims in an ex-parte re-exam,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or post-grant review proceedings. These proceedings are expensive and may consume Disc’s time or other resources. Disc may choose to challenge a third party’s patent in patent opposition proceedings in the EPO, or other foreign patent office. The costs of these opposition proceedings could be substantial, and may consume Disc’s time or other resources. If Disc fails to obtain a favorable result at the USPTO, EPO or other patent office then it may be exposed to litigation by a third party alleging that the patent may be infringed by its current or future product candidates or proprietary technologies.</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Third parties may assert that Disc is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Disc is currently unaware with claims to compositions, formulations, methods of manufacture or methods for treatment related to the use or manufacture of its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Disc cannot be certain that others have not filed patent applications covering its current or future product candidates or technology. If any such patent applications issue as patents, and if such patents have priority over Disc’s patent applications or patents it may own or in-license, Disc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Disc’s current or future product candidates may infringe. It is also possible that patents owned by third parties of which Disc is aware, but which Disc does not believe are relevant to its current or future product candidates or other technologies, could be found to be infringed by its current or future product candidates or other technologies. In addition, third parties may obtain patents in the future and claim that use of Disc’s technologies infringes upon these patents. Moreover, Disc may fail to identify relevant patents or incorrectly conclude that a patent is invalid, not enforceable, exhausted, or not infringed by its activities. If any third-party patents were held by a court of competent jurisdiction to cover the manufacturing process of Disc’ current or future product candidates, molecules used in or formed during the manufacturing process, or any final product itself, the holders of any such patents may be able to block Disc’ ability to commercialize the product candidate unless it obtained a license under the applicable patents, or until such patents expire or they are finally determined to be held invalid or unenforceable. Similarly, if any third-party patent were held by a court of competent jurisdiction to cover aspects of Disc’s formulations, processes for manufacture or methods of use, including patient selection methods, the holders of any such patent may be able to block its ability to develop and commercialize the product candidate unless it obtained a license or until such patent expires or is finally determined to be held invalid or unenforceable. In either case, such a license may not be available on commercially reasonable terms or at all. If Disc is unable to obtain a necessary license to a third-party patent on commercially reasonable terms, or at all, its ability to commercialize its current or future product candidates may be impaired or delayed, which could in turn significantly harm its business. Even if Disc obtains a license, it may be nonexclusive, thereby giving its competitors access to the same technologies licensed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150100" cy="146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1" w:name="page292"/>
    <w:bookmarkEnd w:id="291"/>
    <w:p>
      <w:pPr>
        <w:jc w:val="both"/>
        <w:spacing w:after="0" w:line="235" w:lineRule="auto"/>
        <w:rPr>
          <w:sz w:val="20"/>
          <w:szCs w:val="20"/>
          <w:color w:val="auto"/>
        </w:rPr>
      </w:pPr>
      <w:r>
        <w:rPr>
          <w:rFonts w:ascii="Times New Roman" w:cs="Times New Roman" w:eastAsia="Times New Roman" w:hAnsi="Times New Roman"/>
          <w:sz w:val="19"/>
          <w:szCs w:val="19"/>
          <w:color w:val="auto"/>
        </w:rPr>
        <w:t>Parties making claims against Disc may seek and obtain injunctive or other equitable relief, which could effectively block its ability to further develop and commercialize its current or future product candidates. Defense of these claims, regardless of their merit, could involve substantial litigation expense and would be a substantial diversion of employee resources from Disc’s business. In the event of a successful claim of infringement, misappropriation or other violation against it, Disc may have to pay substantial damages, including treble damages and attorneys’ fees for willful infringement, obtain one or more licenses from third parties, pay royalties or redesign its infringing products, which may be impossible or require substantial time and monetary expenditure. Disc cannot predict whether any such license would be available at all or whether it would be available on commercially reasonable terms. Furthermore, even in the absence of litigation, Disc may need or may choose to obtain licenses from third parties to advance its research or allow commercialization of its current or future product candidates. Disc may fail to obtain any of these licenses at a reasonable cost or on reasonable terms, if at all. In that event, it would be unable to further develop and commercialize its current or future product candidates, which could harm its business significantly.</w:t>
      </w:r>
    </w:p>
    <w:p>
      <w:pPr>
        <w:spacing w:after="0" w:line="18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Disc may be unable to obtain patent or other intellectual property protection for its current or future product candidates or its future products, if any, in all jurisdictions throughout the world, and it may not be able to adequately enforce its intellectual property rights even in the jurisdictions where it seeks protection.</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Disc may not be able to pursue patent coverage of its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Disc may not be able to prevent third parties from practicing its inventions in all countries outside the U.S., or from selling or importing products made using its inventions in and into the U.S. or other jurisdictions. Competitors may use Disc’s technologies in jurisdictions where it has not obtained patent protection to develop their own products and further, may export otherwise infringing products to territories where Disc has patent protection, but where enforcement is not as strong as that in the U.S. These products may compete with Disc’s current or future product candidates and in jurisdictions where it does not have any issued patents, its patent applications or other intellectual property rights may not be effective or sufficient to prevent them from competing. Much of Disc’s patent portfolio is at the very early stage. Disc will need to decide whether and in which jurisdictions to pursue protection for the various inventions in its portfolio prior to applicable deadlines.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Disc to stop the infringement of any patents it may own or in-license or marketing of competing products in violation of its proprietary rights generally. Proceedings to enforce any rights Disc may have in its patent applications or any patents it may own or in-license in foreign jurisdictions could result in substantial costs and divert its efforts and attention from other aspects of its business, could put any patents it may own or in-license at risk of being invalidated or interpreted narrowly and its patent applications at risk of not issuing and could provoke third parties to assert claims against it. Disc may not prevail in any lawsuits that it initiates and the damages or other remedies awarded, if any, may not be commercially meaningful. Accordingly, Disc’s efforts to enforce its intellectual property rights around the world may be inadequate to obtain a significant commercial advantage from the intellectual property that it develops or licenses.</w:t>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Disc is forced to grant a license to third parties with respect to any patents it may own or license that are relevant to its business, its competitive position may be impaired, and its business, financial condition, results of operations, and prospects may be adversely affected.</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not obtain or grant licenses or sublicenses to intellectual property rights in all markets on equally or sufficiently favorable terms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50100" cy="146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2" w:name="page293"/>
    <w:bookmarkEnd w:id="292"/>
    <w:p>
      <w:pPr>
        <w:jc w:val="both"/>
        <w:spacing w:after="0" w:line="235" w:lineRule="auto"/>
        <w:rPr>
          <w:sz w:val="20"/>
          <w:szCs w:val="20"/>
          <w:color w:val="auto"/>
        </w:rPr>
      </w:pPr>
      <w:r>
        <w:rPr>
          <w:rFonts w:ascii="Times New Roman" w:cs="Times New Roman" w:eastAsia="Times New Roman" w:hAnsi="Times New Roman"/>
          <w:sz w:val="19"/>
          <w:szCs w:val="19"/>
          <w:color w:val="auto"/>
        </w:rPr>
        <w:t>It may be necessary for Disc to use the patented or proprietary technology of third parties to commercialize its products, in which case it would be required to obtain a license from these third parties. The licensing of third-party intellectual property rights is a competitive area, and more established companies may pursue strategies to license or acquire third-party intellectual property rights that Disc may consider attractive or necessary. More established companies may have a competitive advantage over Disc due to their size, capital resources and greater clinical development and commercialization capabilities. In addition, companies that perceive Disc to be a competitor may be unwilling to assign or license rights to it. Disc also may be unable to license or acquire third-party intellectual property rights on terms that would allow it to make an appropriate return on its investment or at all. If Disc is unable to license such technology, or if it is forced to license such technology on unfavorable terms, its business could be materially harmed. If Disc is unable to obtain a necessary license, it may be unable to develop or commercialize the affected current or future product candidates, which could materially harm its business, and the third parties owning such intellectual property rights could seek either an injunction prohibiting its sales, or, with respect to its sales, an obligation on its part to pay royalties or other forms of compensation. Even if Disc is able to obtain a license, it may be non-exclusive, thereby giving its competitors access to the same technologies licensed to it. Any of the foregoing could harm its competitive position, business, financial condition, results of operations and prospects.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Disc fails to comply with its obligations in any agreements under which it may license intellectual property rights from third parties or otherwise experience disruptions to its business relationships with its licensors, it could lose license rights that are important to its business.</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is party to license agreements with Roche and AbbVie and it may from time to time in the future be party to other license and collaboration agreements with third parties to advance its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Disc and may require it to meet development timelines, or to exercise commercially reasonable efforts to develop and commercialize licensed products, in order to maintain the licenses. See “Disc’s Business—Collaborations and License Agreement” for more information regarding Disc’s license agreements with Roche and AbbVie. In spite of Disc’s best efforts, its licensors might conclude that it has materially breached its license agreements and might therefore terminate the license agreements, thereby removing or limiting its ability to develop and commercialize products and technologies covered by these license agreements.</w:t>
      </w:r>
    </w:p>
    <w:p>
      <w:pPr>
        <w:spacing w:after="0" w:line="18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Any termination of these licenses, or if the underlying patents fail to provide the intended exclusivity, could result in the loss of significant rights and could harm Disc’s ability to commercialize its current or future product candidates, and competitors or other third parties would have the freedom to seek regulatory approval of, and to market, products identical to Disc’s and it may be required to cease its development and commercialization of certain of its current or future product candidates. Any of the foregoing could have a material adverse effect on Disc’s competitive position, business, financial conditions,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Disputes may also arise between Disc and its licensors regarding intellectual property subject to a license agreement, including:</w:t>
      </w:r>
    </w:p>
    <w:p>
      <w:pPr>
        <w:spacing w:after="0" w:line="211" w:lineRule="exact"/>
        <w:rPr>
          <w:sz w:val="20"/>
          <w:szCs w:val="20"/>
          <w:color w:val="auto"/>
        </w:rPr>
      </w:pPr>
    </w:p>
    <w:p>
      <w:pPr>
        <w:ind w:left="560" w:hanging="284"/>
        <w:spacing w:after="0"/>
        <w:tabs>
          <w:tab w:leader="none" w:pos="5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215"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Disc’s technology and processes infringe, misappropriate or otherwise violate intellectual property rights of the licensor that is not subject to the licensing agreement;</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right to sublicense patent and other rights to third parties under collaborative development relationships;</w:t>
      </w:r>
    </w:p>
    <w:p>
      <w:pPr>
        <w:spacing w:after="0" w:line="215" w:lineRule="exact"/>
        <w:rPr>
          <w:rFonts w:ascii="Times New Roman" w:cs="Times New Roman" w:eastAsia="Times New Roman" w:hAnsi="Times New Roman"/>
          <w:sz w:val="16"/>
          <w:szCs w:val="16"/>
          <w:color w:val="auto"/>
        </w:rPr>
      </w:pPr>
    </w:p>
    <w:p>
      <w:pPr>
        <w:ind w:left="560" w:right="560" w:hanging="284"/>
        <w:spacing w:after="0" w:line="270" w:lineRule="auto"/>
        <w:tabs>
          <w:tab w:leader="none" w:pos="5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diligence obligations with respect to the use of the licensed technology in relation to its development and commercialization of its current or future product candidates, and what activities satisfy those diligence obligations;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any patented technology;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creation or use of intellectual property by Disc’s current or future licensors and it and its partners.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agreements under which Disc may license intellectual property or technology from third parties are likely to be complex, and certain provisions in such agreements may be susceptible to multiple interpretations. The resolution of any contract interpretation disagreement that may arise could narrow what Disc believes to be the scope of its rights to the relevant intellectual property or technology, or increase what it believes to be its financial or other obligations under the relevant agreement, either of which could have a material adverse effect on its business, financial condition, results of operations and prospects. Moreover, if disputes over intellectual property that Disc may license prevent or impair its ability to maintain future licensing arrangements on acceptable terms, it may be unable to successfully develop and commercialize the affected current or future product candidates, which could have a material adverse effect on its business, financial conditions, results of operations and prospects.</w:t>
      </w:r>
    </w:p>
    <w:p>
      <w:pPr>
        <w:spacing w:after="0" w:line="1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color w:val="auto"/>
        </w:rPr>
        <w:t>Any granted patents Disc may own or in-license covering its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its patents or individual patent claims could take months or years to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50100" cy="146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93" w:name="page294"/>
    <w:bookmarkEnd w:id="293"/>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If Disc or its licensors or strategic partners initiate legal proceedings against a third party to enforce a patent covering one of its current or future product candidates, the defendant could counterclaim that the patent covering its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post grant review and equivalent proceedings in foreign jurisdictions (such as opposition proceedings). Such proceedings could result in revocation or amendment to Disc’s patent applications or any patents it may own or in-license in such a way that they no longer cover its current or future product candidates. The outcome following legal assertions of invalidity and unenforceability is unpredictable. An adverse determination in any such submission, proceeding or litigation could reduce the scope of, or invalidate or render unenforceable, any rights Disc may have from its patent applications or any patents it may own or in-license, allow third parties to commercialize its current or future product candidates or other technologies and compete directly with it, without payment to it, or result in its inability to manufacture or commercialize products without infringing third-party patent rights. Moreover, Disc may have to participate in interference proceedings declared by the USPTO to determine priority of invention or in post-grant challenge proceedings, such as oppositions in a foreign patent office, that challenge its or its current or future licensors’ priority of invention or other features of patentability with respect to its patent applications and any patents it may own or in-license. Such challenges may result in loss of patent rights, loss of exclusivity, or in patent claims being narrowed, invalidated, or held unenforceable, which could limit Disc’s ability to stop others from using or commercializing similar or identical technology and products, or limit the duration of the patent protection of Disc’s current or future product candidates and other technologies. With respect to the validity question, for example, Disc cannot be certain that there is no invalidating prior art, of which it or its current or future licensing partners and the patent examiner were unaware during prosecution. If a defendant were to prevail on a legal assertion of invalidity and/or unenforceability, or if Disc is otherwise unable to adequately protect its rights, it would lose at least part, and perhaps all, of the patent protection on its current or future product candidates. Such a loss of patent protection could have a material adverse impact on Disc’s business and its ability to commercialize or license its technology and current or future product candidates.</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Such proceedings also may result in substantial cost and require significant time from Disc’s scientists and management, even if the eventual outcome is favorable to it. If Disc is unsuccessful in any such proceeding or other priority or inventorship dispute, it may be required to obtain and maintain licenses from third parties, including parties involved in any such interference proceedings or other priority or inventorship disputes. Such licenses may not be available on commercially reasonable terms or at all, or may be non-exclusive. If Disc is unable to obtain and maintain such licenses, it may need to cease the development, manufacture, and commercialization of one or more of the current or future product candidates it may develop. The loss of exclusivity or the narrowing of Disc’s patent application claims could limit its ability to stop others from using or commercializing similar or identical technology and products. Any of the foregoing could have a material adverse effect on Disc’s business, results of operations, financial condition and prospects.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Changes in patent law could diminish the value of patents in general, thereby impairing Disc’s ability to protect its current or future product candidates.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As is the case with other biopharmaceutical companies, Disc’s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Disc’s business. However, the Leahy-Smith Act and its implementation could make it more difficult to obtain patent protection for its inventions and increase the uncertainties and costs surrounding the prosecution of its patent applications and the enforcement or defense of its issued patents, all of which could harm its business, results of operations and financial condition.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Disc’s ability to obtain patent protection for its proprietary technology or its ability to enforce its proprietary technology. Depending on future actions by the U.S. Congress, the U.S. courts, the USPTO and the relevant law-making bodies in other countries, the laws and regulations governing patents could change in unpredictable ways that would weaken Disc’s ability to obtain new patents or to enforce its existing patents and patents that it might obtain in the future.</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not identify relevant third-party patents or may incorrectly interpret the relevance, scope or expiration of a third-party patent, which might subject it to infringement claims or adversely affect its ability to develop and market its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50100" cy="146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4" w:name="page295"/>
    <w:bookmarkEnd w:id="294"/>
    <w:p>
      <w:pPr>
        <w:jc w:val="both"/>
        <w:spacing w:after="0" w:line="234" w:lineRule="auto"/>
        <w:rPr>
          <w:sz w:val="20"/>
          <w:szCs w:val="20"/>
          <w:color w:val="auto"/>
        </w:rPr>
      </w:pPr>
      <w:r>
        <w:rPr>
          <w:rFonts w:ascii="Times New Roman" w:cs="Times New Roman" w:eastAsia="Times New Roman" w:hAnsi="Times New Roman"/>
          <w:sz w:val="19"/>
          <w:szCs w:val="19"/>
          <w:color w:val="auto"/>
        </w:rPr>
        <w:t>Disc cannot guarantee that any of its or its licensors’ patent searches or analyses, including the identification of relevant patents, the scope of patent claims or the expiration of relevant patents, are complete or thorough, nor can Disc be certain that it has identified each and every third-party patent and pending patent application in the U.S. and abroad that is relevant to or necessary for the commercialization of its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Disc’s current or future product candidates could have been filed by third parties without its knowledge. Additionally, pending patent applications that have been published can, subject to certain limitations, be later amended in a manner that could cover Disc’s current or future product candidates or the use of its current or future product candidates. The scope of a patent claim is determined by an interpretation of the law, the written disclosure in a patent and the patent’s prosecution history. Disc’s interpretation of the relevance or the scope and/or validity of a patent or a pending application may be incorrect, which may negatively impact its ability to market its current or future product candidates. Disc may incorrectly determine that its current or future product candidates are not covered by a third-party patent or may incorrectly predict whether a third party’s pending application will issue with claims of relevant scope. Disc’s determination of the expiration date of any patent in the U.S. or abroad that it considers relevant may be incorrect, which may negatively impact its ability to develop and market its current or future product candidates. Disc’s failure to identify and correctly interpret relevant patents may negatively impact its ability to develop and market its current or future product candidates.</w:t>
      </w:r>
    </w:p>
    <w:p>
      <w:pPr>
        <w:spacing w:after="0" w:line="18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If Disc fails to identify and correctly interpret relevant patents, it may be subject to infringement claims. Disc cannot guarantee that it will be able to successfully settle or otherwise resolve such infringement claims. If Disc fails in any such dispute, in addition to being forced to pay damages, which may be significant, it may be temporarily or permanently prohibited from commercializing any of its current or future product candidates that are held to be infringing. Disc might, if possible, also be forced to redesign current or future product candidates so that it no longer infringes the third-party intellectual property rights. Any of these events, even if Disc were ultimately to prevail, could require it to divert substantial financial and management resources that it would otherwise be able to devote to its business and could adversely affect its business, financial condition, results of operations and prospects.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guarantee commercial success of current or future product candidates or other business activities. Numerous factors may limit any potential competitive advantage provided by Disc’s intellectual property rights.</w:t>
      </w:r>
    </w:p>
    <w:p>
      <w:pPr>
        <w:spacing w:after="0" w:line="1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degree of future protection afforded by Disc’s intellectual property rights, whether owned or in-licensed, is uncertain because intellectual property rights have limitations, and may not adequately protect its business, provide a barrier to entry against its competitors or potential competitors, or permit it to maintain its competitive advantage. Moreover, if a third party has intellectual property rights that cover the practice of Disc’s technology, it may not be able to fully exercise or extract value from its intellectual property rights. The following examples are illustrative:</w:t>
      </w:r>
    </w:p>
    <w:p>
      <w:pPr>
        <w:spacing w:after="0" w:line="186" w:lineRule="exact"/>
        <w:rPr>
          <w:sz w:val="20"/>
          <w:szCs w:val="20"/>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that Disc owns or may in-license may not lead to issued patents;</w:t>
      </w:r>
    </w:p>
    <w:p>
      <w:pPr>
        <w:spacing w:after="0" w:line="215" w:lineRule="exact"/>
        <w:rPr>
          <w:rFonts w:ascii="Times New Roman" w:cs="Times New Roman" w:eastAsia="Times New Roman" w:hAnsi="Times New Roman"/>
          <w:sz w:val="16"/>
          <w:szCs w:val="16"/>
          <w:color w:val="auto"/>
        </w:rPr>
      </w:pPr>
    </w:p>
    <w:p>
      <w:pPr>
        <w:ind w:left="560" w:right="300" w:hanging="284"/>
        <w:spacing w:after="0" w:line="270" w:lineRule="auto"/>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should they issue, that Disc may own or in-license, may not provide it with any competitive advantages, may be narrowed in scope, or may be challenged and held invalid or unenforceable;</w:t>
      </w:r>
    </w:p>
    <w:p>
      <w:pPr>
        <w:spacing w:after="0" w:line="173" w:lineRule="exact"/>
        <w:rPr>
          <w:rFonts w:ascii="Times New Roman" w:cs="Times New Roman" w:eastAsia="Times New Roman" w:hAnsi="Times New Roman"/>
          <w:sz w:val="16"/>
          <w:szCs w:val="16"/>
          <w:color w:val="auto"/>
        </w:rPr>
      </w:pPr>
    </w:p>
    <w:p>
      <w:pPr>
        <w:ind w:left="560" w:right="260" w:hanging="284"/>
        <w:spacing w:after="0" w:line="257" w:lineRule="auto"/>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develop and/or practice technology, including compounds that are similar to the chemical compositions of Disc’s current or future product candidates, that is similar to its technology or aspects of its technology but that is not covered by the claims of any patents it may own or in-license, should any patents issue;</w:t>
      </w:r>
    </w:p>
    <w:p>
      <w:pPr>
        <w:spacing w:after="0" w:line="18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compete with Disc in jurisdictions where it does not pursue and obtain patent protection;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 or its current or future licensors or collaborators, might not have been the first to make the inventions covered by a patent application that it owns or may in-license;</w:t>
      </w:r>
    </w:p>
    <w:p>
      <w:pPr>
        <w:spacing w:after="0" w:line="226"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or its current or future licensors or collaborators, might not have been the first to file patent applications covering a particular invention;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without infringing, misappropriating or otherwise violating Disc’s intellectual property rights;</w:t>
      </w:r>
    </w:p>
    <w:p>
      <w:pPr>
        <w:spacing w:after="0" w:line="215" w:lineRule="exact"/>
        <w:rPr>
          <w:rFonts w:ascii="Times New Roman" w:cs="Times New Roman" w:eastAsia="Times New Roman" w:hAnsi="Times New Roman"/>
          <w:sz w:val="16"/>
          <w:szCs w:val="16"/>
          <w:color w:val="auto"/>
        </w:rPr>
      </w:pPr>
    </w:p>
    <w:p>
      <w:pPr>
        <w:ind w:left="560" w:right="160" w:hanging="284"/>
        <w:spacing w:after="0" w:line="257" w:lineRule="auto"/>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competitors might conduct research and development activities in the U.S. and other countries that provide a safe harbor from patent infringement claims for certain research and development activities, as well as in countries where it does not have patent rights, and may then use the information learned from such activities to develop competitive products for sale in its major commercial markets;</w:t>
      </w:r>
    </w:p>
    <w:p>
      <w:pPr>
        <w:spacing w:after="0" w:line="18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not be able to obtain and/or maintain necessary licenses on reasonable terms or at all;</w:t>
      </w:r>
    </w:p>
    <w:p>
      <w:pPr>
        <w:spacing w:after="0" w:line="215" w:lineRule="exact"/>
        <w:rPr>
          <w:rFonts w:ascii="Times New Roman" w:cs="Times New Roman" w:eastAsia="Times New Roman" w:hAnsi="Times New Roman"/>
          <w:sz w:val="16"/>
          <w:szCs w:val="16"/>
          <w:color w:val="auto"/>
        </w:rPr>
      </w:pPr>
    </w:p>
    <w:p>
      <w:pPr>
        <w:ind w:left="560" w:right="400" w:hanging="284"/>
        <w:spacing w:after="0" w:line="270" w:lineRule="auto"/>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assert an ownership interest in Disc’s intellectual property and, if successful, such disputes may preclude it from exercising exclusive rights, or any rights at all, over that intellectual property;</w:t>
      </w:r>
    </w:p>
    <w:p>
      <w:pPr>
        <w:spacing w:after="0" w:line="173" w:lineRule="exact"/>
        <w:rPr>
          <w:rFonts w:ascii="Times New Roman" w:cs="Times New Roman" w:eastAsia="Times New Roman" w:hAnsi="Times New Roman"/>
          <w:sz w:val="16"/>
          <w:szCs w:val="16"/>
          <w:color w:val="auto"/>
        </w:rPr>
      </w:pPr>
    </w:p>
    <w:p>
      <w:pPr>
        <w:ind w:left="560" w:right="60" w:hanging="284"/>
        <w:spacing w:after="0" w:line="270" w:lineRule="auto"/>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choose not to file a patent in order to maintain certain trade secrets or know-how, and a third-party may subsequently file a patent covering such trade secrets or know-how;</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not be able to maintain the confidentiality of its trade secrets or other proprietary information;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may not develop or in-license additional proprietary technologies that are patentable;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Disc’s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Should any of these events occur, they could significantly harm Disc’s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0100" cy="146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9"/>
          <w:szCs w:val="19"/>
          <w:b w:val="1"/>
          <w:bCs w:val="1"/>
          <w:color w:val="auto"/>
        </w:rPr>
        <w:t>Risks Related to Government Regulation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regulatory approval of Disc’s product candidates in one jurisdiction does not mean that it will be successful in obtaining regulatory approval of its product candidates in other jurisdictions.</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Obtaining and maintaining regulatory approval of Disc’s product candidates in one jurisdiction does not guarantee that it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Disc may intend to charge for its products will also be subject to approval.</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may also submit marketing applications in other countries. Regulatory authorities in jurisdictions outside of the United States have requirements for approval of product candidates with which Disc must comply prior to marketing in those jurisdictions. Obtaining foreign regulatory approvals and compliance with foreign regulatory requirements could result in significant delays, difficulties and costs for Disc and could delay or prevent the introduction of its products in certain countries. If Disc fails to comply with the regulatory requirements in international markets and/or receive applicable regulatory approvals, its target market will be reduced and its ability to realize the full market potential of its product candidates will be harmed.</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seek priority review designation for one or more of its product candidates, but it might not receive such designation, and even if it does, such designation may not lead to a faster regulatory review or approval process.</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Disc may request priority review for its product candidates. The FDA has broad discretion with respect to whether or not to grant priority review status to a product candidate, so even if Disc believes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seek orphan drug designation for certain of its product candidates, and it may be unsuccessful or may be unable to maintain the benefits associated with orphan drug designation, including the potential for market exclusivity.</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As part of its business strategy, Disc may seek orphan drug designation for certain of its product candidates, and it may be unsuccessful.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96" w:name="page297"/>
    <w:bookmarkEnd w:id="296"/>
    <w:p>
      <w:pPr>
        <w:jc w:val="both"/>
        <w:spacing w:after="0" w:line="236" w:lineRule="auto"/>
        <w:rPr>
          <w:sz w:val="20"/>
          <w:szCs w:val="20"/>
          <w:color w:val="auto"/>
        </w:rPr>
      </w:pPr>
      <w:r>
        <w:rPr>
          <w:rFonts w:ascii="Times New Roman" w:cs="Times New Roman" w:eastAsia="Times New Roman" w:hAnsi="Times New Roman"/>
          <w:sz w:val="19"/>
          <w:szCs w:val="19"/>
          <w:color w:val="auto"/>
        </w:rPr>
        <w:t>Even if Disc obtains orphan drug exclusivity for one of its product candidates, that exclusivity may not effectively protect its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Disc may seek orphan drug designation for its product candidates, it may never receive such designations. Even if it does receive such designations, there is no guarantee that it will enjoy the benefits of those designations.</w:t>
      </w:r>
    </w:p>
    <w:p>
      <w:pPr>
        <w:spacing w:after="0" w:line="18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The FDA may further reevaluate its regulations and policies under the Orphan Drug Act. Disc does not know if, when, or how the FDA may change its orphan drug regulations and policies in the future, and it is uncertain how any changes might affect its business. Depending on what changes the FDA may make to its orphan drug regulations and policies, Disc’s business could be adversely impacted.</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seek rare pediatric disease designation for bitopertin. However, a marketing application for bitopertin, if approved, may not meet the eligibility criteria for a rare pediatric disease priority review voucher.</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Disc will need to request a rare pediatric disease priority review voucher in its original marketing application for its product candidates for which it has received rare pediatric disease designation. The FDA may determine that a marketing application for bitopertin, if approved, does not meet the eligibility criteria for a priority review voucher.</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Disc does not obtain approval of a marketing application for bitopertin in patients with EPP and XLP on or before September 30, 2026, and if the priority review voucher program is not extended by Congressional action, it may not receive a priority review voucher.</w:t>
      </w:r>
    </w:p>
    <w:p>
      <w:pPr>
        <w:spacing w:after="0" w:line="17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A breakthrough therapy designation and fast track designation by the FDA, even if granted for any of Disc’s product candidates, may not lead to a faster development, regulatory review or approval process, and each designation does not increase the likelihood that any of its product candidates will receive regulatory approval in the United States.</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Disc may seek a breakthrough therapy designation for certain of its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Disc believes one of its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Disc’s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Disc may seek fast track designation for certain of its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Disc believes a particular product candidate is eligible for this designation, it cannot assure you that the FDA would decide to grant it. Even if Disc does receive fast track designation, it may not experience a faster development process, review or approval compared to conventional FDA procedures. The FDA may withdraw fast track designation if it believes that the designation is no longer supported by data from Disc’s clinical development program. Fast track designation alone does not guarantee qualification for the FDA’s priority review procedures.</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Disc’s current or any other future product candidates, may not lead to a faster development or regulatory review or approval process and it does not increase the likelihood that its product candidates will receive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50100" cy="146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7" w:name="page298"/>
    <w:bookmarkEnd w:id="297"/>
    <w:p>
      <w:pPr>
        <w:jc w:val="both"/>
        <w:spacing w:after="0" w:line="237" w:lineRule="auto"/>
        <w:rPr>
          <w:sz w:val="20"/>
          <w:szCs w:val="20"/>
          <w:color w:val="auto"/>
        </w:rPr>
      </w:pPr>
      <w:r>
        <w:rPr>
          <w:rFonts w:ascii="Times New Roman" w:cs="Times New Roman" w:eastAsia="Times New Roman" w:hAnsi="Times New Roman"/>
          <w:sz w:val="19"/>
          <w:szCs w:val="19"/>
          <w:color w:val="auto"/>
        </w:rPr>
        <w:t>Disc may seek accelerated approval of its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Disc’s product candidate is not eligible for accelerated approval or that accelerated approval is not warranted. Moreover, FDA may revise how it implements accelerated approval, which could negatively affect the development of Disc’s current or future product candidates.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condition of approval, the FDA requires that a sponsor of a drug or biologic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being considered for accelerated approval, which could adversely impact the timing of the commercial launch of the product. Even if Disc does receive accelerated approval, it may not experience a faster development or regulatory review or approval process, and receiving accelerated approval does not provide assurance of ultimate full FDA approval.</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Disc’s drug product candidates or any of its future drug product candidates obtain regulatory approval, additional competitors could enter the market with generic versions of such products, which may result in a material decline in sales of its competing products.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Accordingly, if any of Disc’s product candidates that are regulated as drugs are approved, competitors could file ANDAs for generic versions of these products or 505(b)(2) NDAs that reference its products. If there are patents listed for such drug products in the Orange Book, those ANDAs and 505(b)(2) NDAs would be required to include a certification as to each listed patent indicating whether the ANDA applicant does or does not intend to challenge the patent. Disc cannot predict which, if any, patents in its current portfolio or patents it may obtain in the future will be eligible for listing in the Orange Book, how any generic competitor would address such patents, whether it would sue on any such patents or the outcome of any such suit.</w:t>
      </w:r>
    </w:p>
    <w:p>
      <w:pPr>
        <w:spacing w:after="0" w:line="18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 may not be successful in securing or maintaining proprietary patent protection for products and technologies it develops or licenses, despite expending a significant amount of resources that could have been focused on other areas of its business. Moreover, if any of Disc’s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approved, Disc’s investigational products regulated as biologics may face competition from biosimilars approved through an abbreviated regulatory pathway.</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50100" cy="146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8" w:name="page299"/>
    <w:bookmarkEnd w:id="298"/>
    <w:p>
      <w:pPr>
        <w:jc w:val="both"/>
        <w:spacing w:after="0" w:line="236" w:lineRule="auto"/>
        <w:rPr>
          <w:sz w:val="20"/>
          <w:szCs w:val="20"/>
          <w:color w:val="auto"/>
        </w:rPr>
      </w:pPr>
      <w:r>
        <w:rPr>
          <w:rFonts w:ascii="Times New Roman" w:cs="Times New Roman" w:eastAsia="Times New Roman" w:hAnsi="Times New Roman"/>
          <w:sz w:val="19"/>
          <w:szCs w:val="19"/>
          <w:color w:val="auto"/>
        </w:rPr>
        <w:t>Disc believes that any of its product candidates approved as a biologic product under a BLA should qualify for the 12-year period of exclusivity. However, there is a risk that this exclusivity could be shortened due to congressional action or otherwise, or that the FDA will not consider Disc’s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Disc’s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referencing Disc’s products, Disc’s products may become subject to competition from such biosimilars, with the attendant competitive pressure and consequences.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FDA, the EMA and other regulatory authorities may implement additional regulations or restrictions on the development and commercialization of Disc’s product candidates, and such changes can be difficult to predict.</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Disc’s product candidates. Adverse developments in clinical trials of products conducted by others may cause the FDA or other oversight bodies to change the requirements for approval of any of Disc’s product candidates. These regulatory review agencies and committees and the new requirements or guidelines they promulgate may lengthen the regulatory review process, require Disc to perform additional studies or trials, increase its development costs, lead to changes in regulatory positions and interpretations, delay or prevent approval and commercialization of its product candidates or lead to significant post-approval limitations or restrictions. As Disc advances its product candidates, it will be required to consult with these regulatory agencies and comply with applicable requirements and guidelines. If it fails to do so, it may be required to delay or discontinue development of such product candidates. These additional processes may result in a review and approval process that is longer than Disc otherwise would have expected. Delays as a result of an increased or lengthier regulatory approval process or further restrictions on the development of Disc’s product candidates can be costly and could negatively impact its ability to complete clinical trials and commercialize its current and future product candidates in a timely manner,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FDA and other regulatory agencies actively enforce the laws and regulations prohibiting the promotion of off-label uses.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If any of Disc’s product candidates are approved and it is found to have improperly promoted off-label uses of those products, it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Disc is found to have promoted such off-label uses, it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Disc cannot successfully manage the promotion of its product candidates, if approved, it could become subject to significant liability, which would materially adversely affect its business and financial condition.</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Disc’s business may rely, which could negatively impact its business.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Disc’s business. In addition, government funding of the SEC and other government agencies on which Disc’s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Disc’s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Disc’s regulatory submissions, which could have a material adverse effect on its business. Further, future government shutdowns could impact its ability to access the public markets and obtain necessary capital in order to properly capitalize and continue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150100" cy="146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9" w:name="page300"/>
    <w:bookmarkEnd w:id="299"/>
    <w:p>
      <w:pPr>
        <w:jc w:val="both"/>
        <w:spacing w:after="0" w:line="234" w:lineRule="auto"/>
        <w:rPr>
          <w:sz w:val="20"/>
          <w:szCs w:val="20"/>
          <w:color w:val="auto"/>
        </w:rPr>
      </w:pPr>
      <w:r>
        <w:rPr>
          <w:rFonts w:ascii="Times New Roman" w:cs="Times New Roman" w:eastAsia="Times New Roman" w:hAnsi="Times New Roman"/>
          <w:sz w:val="19"/>
          <w:szCs w:val="19"/>
          <w:color w:val="auto"/>
        </w:rPr>
        <w:t>Separately, in response to the COVID-19 pandemic, since March 2020 when foreign and domestic inspections of facilities were largely placed on hold, the FDA has been working to resume pre-pandemic levels of inspection activities, including routine surveillance, bioresearch monitoring and pre-approval inspections. Should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The FDA has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Disc’s regulatory submissions, which could have a material adverse effect on its business. Future shutdowns or other disruptions could also affect other government agencies such as the SEC, which may also impact Disc’s business by delaying review of its public filings, to the extent such review is necessary, and its ability to access the public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Healthcare legislative reform measures may have a material adverse effect on Disc’s business and results of operations.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U.S. and many foreign jurisdictions have enacted or proposed legislative and regulatory changes affecting the U.S. and global healthcare systems that could prevent or delay regulatory approval of Disc’s current or future product candidates or any future product candidates, restrict or regulate post-approval activities and affect its ability to profitably sell a product for which it obtains regulatory approval. Changes in regulations, statutes or the interpretation of existing regulations could impact Disc’s business in the future by requiring, for example: (i) changes to its manufacturing arrangements, (ii) additions or modifications to product labeling, (iii) the recall or discontinuation of its products or (iv) additional record-keeping requirements. If any such changes were to be imposed, they could adversely affect the operation of Disc’s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Since the ACA’s enactment, there have been numerous judicial, administrative, executive, and legislative challenges to certain aspects of the ACA and we expect that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Disc’s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other legislative and regulatory changes have been proposed and adopted in the United States since the ACA was enacted:</w:t>
      </w:r>
    </w:p>
    <w:p>
      <w:pPr>
        <w:spacing w:after="0" w:line="211" w:lineRule="exact"/>
        <w:rPr>
          <w:sz w:val="20"/>
          <w:szCs w:val="20"/>
          <w:color w:val="auto"/>
        </w:rPr>
      </w:pPr>
    </w:p>
    <w:p>
      <w:pPr>
        <w:ind w:left="560" w:right="100" w:hanging="284"/>
        <w:spacing w:after="0" w:line="253" w:lineRule="auto"/>
        <w:tabs>
          <w:tab w:leader="none" w:pos="5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suspension, a 1% payment reduction began April 1, 2022 and continued through June 30, 2022, and the 2% payment reduction resumed on July 1, 2022.</w:t>
      </w:r>
    </w:p>
    <w:p>
      <w:pPr>
        <w:spacing w:after="0" w:line="187" w:lineRule="exact"/>
        <w:rPr>
          <w:rFonts w:ascii="Times New Roman" w:cs="Times New Roman" w:eastAsia="Times New Roman" w:hAnsi="Times New Roman"/>
          <w:sz w:val="16"/>
          <w:szCs w:val="16"/>
          <w:color w:val="auto"/>
        </w:rPr>
      </w:pPr>
    </w:p>
    <w:p>
      <w:pPr>
        <w:ind w:left="560" w:right="80" w:hanging="284"/>
        <w:spacing w:after="0" w:line="270" w:lineRule="auto"/>
        <w:tabs>
          <w:tab w:leader="none" w:pos="5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 2013, the U.S. American Taxpayer Relief Act of 2012 was signed into law, which, among other things, further reduced Medicare payments to several types of providers.</w:t>
      </w:r>
    </w:p>
    <w:p>
      <w:pPr>
        <w:spacing w:after="0" w:line="173"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rFonts w:ascii="Times New Roman" w:cs="Times New Roman" w:eastAsia="Times New Roman" w:hAnsi="Times New Roman"/>
          <w:sz w:val="16"/>
          <w:szCs w:val="16"/>
          <w:color w:val="auto"/>
        </w:rPr>
      </w:pPr>
    </w:p>
    <w:p>
      <w:pPr>
        <w:ind w:left="560" w:right="440" w:hanging="284"/>
        <w:spacing w:after="0" w:line="253" w:lineRule="auto"/>
        <w:tabs>
          <w:tab w:leader="none" w:pos="5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00" w:name="page301"/>
    <w:bookmarkEnd w:id="300"/>
    <w:p>
      <w:pPr>
        <w:ind w:left="560" w:hanging="284"/>
        <w:spacing w:after="0"/>
        <w:tabs>
          <w:tab w:leader="none" w:pos="5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23, 2019, CMS published a final rule to allow Medicare Advantage Plans the option of using step therapy for Part B drugs beginning January 1, 2020.</w:t>
      </w:r>
    </w:p>
    <w:p>
      <w:pPr>
        <w:spacing w:after="0" w:line="215" w:lineRule="exact"/>
        <w:rPr>
          <w:rFonts w:ascii="Times New Roman" w:cs="Times New Roman" w:eastAsia="Times New Roman" w:hAnsi="Times New Roman"/>
          <w:sz w:val="16"/>
          <w:szCs w:val="16"/>
          <w:color w:val="auto"/>
        </w:rPr>
      </w:pPr>
    </w:p>
    <w:p>
      <w:pPr>
        <w:ind w:left="560" w:right="280" w:hanging="284"/>
        <w:spacing w:after="0" w:line="270" w:lineRule="auto"/>
        <w:tabs>
          <w:tab w:leader="none" w:pos="5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6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as well as to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Disc receives for any of its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further to January 1, 2027 by the Bipartisan Safer Communities Act and could potentially be pushed back to January 1, 2032 by the Inflation Reduction Act.</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On August 7, 2022 the U.S. Senate passed the Inflation Reduction Act of 2022, which, among other things, allows for CMS to negotiate prices for certain single-source drugs and biologics reimbursed under Medicare Part B and Part D, beginning with ten high-cost drugs paid for by Medicare Part D starting in 2026, followed by 15 Part D drugs in 2027, 15 Part B or Part D drugs in 2028, and 20 Part B or Part D drugs in 2029 and beyond. The legislation would also subject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would also cap Medicare beneficiaries’ annual out-of-pocket drug expenses at $2,000, and cap Medicare beneficiaries’ insulin costs at $35. President Biden is expected to sign the legislation imminently. The effect of Inflation Reduction Act of 2022 on our business and the healthcare industry in general is not yet known. Although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8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Disc’s products, once approved, or put pressure on its product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1" w:name="page302"/>
    <w:bookmarkEnd w:id="301"/>
    <w:p>
      <w:pPr>
        <w:jc w:val="both"/>
        <w:spacing w:after="0" w:line="241" w:lineRule="auto"/>
        <w:rPr>
          <w:sz w:val="20"/>
          <w:szCs w:val="20"/>
          <w:color w:val="auto"/>
        </w:rPr>
      </w:pPr>
      <w:r>
        <w:rPr>
          <w:rFonts w:ascii="Times New Roman" w:cs="Times New Roman" w:eastAsia="Times New Roman" w:hAnsi="Times New Roman"/>
          <w:sz w:val="19"/>
          <w:szCs w:val="19"/>
          <w:color w:val="auto"/>
        </w:rPr>
        <w:t>Disc expects that additional state and federal healthcare reform measures will be adopted in the future, any of which could limit the amounts that federal and state governments will pay for healthcare products and services, which could result in reduced demand for its current or future product candidates or additional pricing pressures. In particular any policy changes through CMS as well as local state Medicaid programs could have a significant impact on Disc’s business.</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Disc’s revenue prospects could be affected by changes in healthcare spending and policy in the U.S. and abroad. Disc operates in a highly regulated industry and new laws, regulations or judicial decisions, or new interpretations of existing laws, regulations or decisions, related to healthcare availability, the method of delivery or payment for healthcare products and services could negatively impact its business, operations and financial condition.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There have been, and likely will continue to be, legislative and regulatory proposals at the foreign, federal and state levels directed at broadening the availability of healthcare and containing or lowering the cost of healthcare. Disc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86" w:lineRule="exact"/>
        <w:rPr>
          <w:sz w:val="20"/>
          <w:szCs w:val="20"/>
          <w:color w:val="auto"/>
        </w:rPr>
      </w:pPr>
    </w:p>
    <w:p>
      <w:pPr>
        <w:ind w:left="560" w:hanging="284"/>
        <w:spacing w:after="0"/>
        <w:tabs>
          <w:tab w:leader="none" w:pos="5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Disc’s current or future product candidates, if it obtains regulatory approval;</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set a price that it believes is fair for its products;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obtain coverage and reimbursement approval for a product;</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generate revenue and achieve or maintain profitability;</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taxes that Disc is required to pay;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capital.</w:t>
      </w:r>
    </w:p>
    <w:p>
      <w:pPr>
        <w:spacing w:after="0" w:line="2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Any reduction in reimbursement from Medicare or other government programs may result in a similar reduction in payments from private payors, which may adversely affect Disc’s future profitability.</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Disc’s relationships with customers, healthcare providers, physicians and third-party payors will be subject to applicable anti-kickback, fraud and abuse and other healthcare laws and regulations, which could expose it to criminal sanctions, civil penalties, exclusion from government healthcare programs, contractual damages, reputational harm and diminished future profits and earnings.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Although Disc does not currently have any products on the market, once it begins commercializing its product candidates, it will be subject to additional healthcare statutory and regulatory requirements and enforcement by the federal government and the states and foreign governments in which it conducts its business. Healthcare providers, physicians and third-party payors will play a primary role in the recommendation and prescription of any product candidates for which it obtains regulatory approval. Disc’s future arrangements with third-party payors and customers may expose it to broadly applicable fraud and abuse and other healthcare laws and regulations that may constrain the business or financial arrangements and relationships through which it markets, sells and distributes its product candidates for which it obtains regulatory approval. Restrictions under applicable federal and state healthcare laws and regulations, include the following:</w:t>
      </w:r>
    </w:p>
    <w:p>
      <w:pPr>
        <w:spacing w:after="0" w:line="187" w:lineRule="exact"/>
        <w:rPr>
          <w:sz w:val="20"/>
          <w:szCs w:val="20"/>
          <w:color w:val="auto"/>
        </w:rPr>
      </w:pPr>
    </w:p>
    <w:p>
      <w:pPr>
        <w:ind w:left="560" w:right="40" w:hanging="284"/>
        <w:spacing w:after="0" w:line="247" w:lineRule="auto"/>
        <w:tabs>
          <w:tab w:leader="none" w:pos="56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194" w:lineRule="exact"/>
        <w:rPr>
          <w:rFonts w:ascii="Times New Roman" w:cs="Times New Roman" w:eastAsia="Times New Roman" w:hAnsi="Times New Roman"/>
          <w:sz w:val="16"/>
          <w:szCs w:val="16"/>
          <w:color w:val="auto"/>
        </w:rPr>
      </w:pPr>
    </w:p>
    <w:p>
      <w:pPr>
        <w:jc w:val="both"/>
        <w:ind w:left="560" w:right="140" w:hanging="284"/>
        <w:spacing w:after="0" w:line="268" w:lineRule="auto"/>
        <w:tabs>
          <w:tab w:leader="none" w:pos="56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5"/>
          <w:szCs w:val="15"/>
          <w:color w:val="auto"/>
        </w:rPr>
      </w:pPr>
    </w:p>
    <w:p>
      <w:pPr>
        <w:ind w:left="560" w:right="20"/>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50100" cy="146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02" w:name="page303"/>
    <w:bookmarkEnd w:id="302"/>
    <w:p>
      <w:pPr>
        <w:ind w:left="560" w:right="80" w:hanging="284"/>
        <w:spacing w:after="0" w:line="253" w:lineRule="auto"/>
        <w:tabs>
          <w:tab w:leader="none" w:pos="5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6"/>
          <w:szCs w:val="16"/>
          <w:color w:val="auto"/>
        </w:rPr>
      </w:pPr>
    </w:p>
    <w:p>
      <w:pPr>
        <w:ind w:left="560" w:right="120" w:hanging="284"/>
        <w:spacing w:after="0" w:line="275" w:lineRule="auto"/>
        <w:tabs>
          <w:tab w:leader="none" w:pos="560"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172" w:lineRule="exact"/>
        <w:rPr>
          <w:rFonts w:ascii="Times New Roman" w:cs="Times New Roman" w:eastAsia="Times New Roman" w:hAnsi="Times New Roman"/>
          <w:sz w:val="15"/>
          <w:szCs w:val="15"/>
          <w:color w:val="auto"/>
        </w:rPr>
      </w:pPr>
    </w:p>
    <w:p>
      <w:pPr>
        <w:ind w:left="560" w:right="140" w:hanging="284"/>
        <w:spacing w:after="0" w:line="248" w:lineRule="auto"/>
        <w:tabs>
          <w:tab w:leader="none" w:pos="5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and its implementing regulations, which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9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 and</w:t>
      </w:r>
    </w:p>
    <w:p>
      <w:pPr>
        <w:spacing w:after="0" w:line="215" w:lineRule="exact"/>
        <w:rPr>
          <w:rFonts w:ascii="Times New Roman" w:cs="Times New Roman" w:eastAsia="Times New Roman" w:hAnsi="Times New Roman"/>
          <w:sz w:val="16"/>
          <w:szCs w:val="16"/>
          <w:color w:val="auto"/>
        </w:rPr>
      </w:pPr>
    </w:p>
    <w:p>
      <w:pPr>
        <w:ind w:left="560" w:right="280" w:hanging="284"/>
        <w:spacing w:after="0" w:line="270" w:lineRule="auto"/>
        <w:tabs>
          <w:tab w:leader="none" w:pos="5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Disc is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Disc’s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Disc fails to comply with an applicable state law requirement it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Ensuring that Disc’s future business arrangements with third parties comply with applicable healthcare laws and regulations could involve substantial costs. It is possible that governmental authorities will conclude that Disc’s business practices do not comply with current or future statutes, regulations or case law involving applicable fraud and abuse or other healthcare laws and regulations. If Disc’s operations, including anticipated activities to be conducted by its sales team, were to be found to be in violation of any of these laws or any other governmental regulations that may apply to it, Disc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its operations. It may also subject Disc to additional reporting obligations and oversight, if it becomes subject to a corporate integrity agreement, deferred prosecution agreement, or other agreement to resolve allegations of non-compliance with these laws. If any of the physicians or other providers or entities with whom Disc expects to do business is found not to be in compliance with applicable laws, they may be subject to similar criminal, civil or administrative sanctions, including exclusions from government 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150100" cy="146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3" w:name="page304"/>
    <w:bookmarkEnd w:id="303"/>
    <w:p>
      <w:pPr>
        <w:jc w:val="both"/>
        <w:ind w:right="2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If Disc fails to comply with environmental, health and safety laws and regulations, it could become subject to fines or penalties or incur costs that could have a material adverse effect on the success of its business.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is subject to numerous environmental, health and safety laws and regulations, including those governing laboratory procedures and the handling, use, storage, treatment and disposal of hazardous materials and wastes. Disc’s operations involve the use of hazardous and flammable materials, including chemicals and biological and radioactive materials. Disc’s operations also produce hazardous waste products. Disc generally contracts with third parties for the disposal of these materials and wastes. Disc cannot eliminate the risk of contamination or injury from these materials. In the event of contamination or injury resulting from Disc’s use of hazardous materials, it could be held liable for any resulting damages, and any liability could exceed its resources. Disc also could incur significant costs associated with civil or criminal fines and penalties.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Although Disc maintains workers’ compensation insurance to cover it for costs and expenses it may incur due to injuries to its employees resulting from the use of hazardous materials, this insurance may not provide adequate coverage against potential liabilities. Disc does not maintain insurance for environmental liability or toxic tort claims that may be asserted against it in connection with its storage or disposal of biological, hazardous or radioactive materials. In addition, Disc may incur substantial costs in order to comply with current or future environmental, health and safety laws and regulations. Current or future environmental laws and regulations may impair its research, development and production efforts, which could harm its business, prospects, financial condition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22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 the event Disc decides to conduct clinical trials or continue to enroll subjects in its ongoing or future clinical trials, it may be subject to additional privacy restrictions. The collection, use, storage, disclosure, transfer, or other processing of personal data regarding individuals in the EEA and the U.K., including personal health data, is subject to the EU General Data Protection Regulation (EU) 2016/679 (EU GDPR), the GDPR as it existed on December 31, 2020 but subject to certain U.K. specific amendments incorporated into U.K. law on January 1, 2021 under the U.K.’s European Union (Withdrawal) Act 2018 (U.K. GDPR, collectively referred to as GDPR), and other data protection requirements, including the Swiss Federal Act of 19 June 1992 on Data Protection, the Ordinance to the Swiss Federal Act on Data Protection and the revised Swiss Federal Act of 25 September 2020 on Data Protection. The GDPR applies to any company established in the EU/U.K. as well as to those outside the EU/U.K. if they collect and use personal data in connection with the offering of goods or services to individuals in the EU or the monitoring of their behavior. European data protection laws are wide-ranging in scope and impose numerous requirements on companies that process personal data, including requirements relating to processing health and other sensitive data, where required obtaining consent of the individuals to whom the personal data relates, providing information to individuals regarding data processing activities, responding to individuals’ requests to exercise their rights in respect of their personal data, implementing safeguards to protect the security and confidentiality of personal data, where required providing notification of data breaches to the competent national data protection authority and affected individuals, taking certain measures, including concluding data processing agreements, when engaging third-party processors, where required appointing data protection officers, conducting data protection impact assessments, and record-keeping.</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adequate safeguards must be implemented to enable the transfer of personal data outside of the EEA or the U.K., in particular to the U.S., in compliance with European and U.K. data protection laws. On June 4, 2021, the European Commission, or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Data Protection Directive. The U.K. is not subject to the EC’s new standard contractual clauses but has published a draft version of its International Transfer Agreement, which, once finalized, will enable transfers from the U.K. Disc will be required to implement these new safeguards when conducting restricted data transfers under the GDPR and doing so will require significant effort and cost.</w:t>
      </w:r>
    </w:p>
    <w:p>
      <w:pPr>
        <w:spacing w:after="0" w:line="1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Overall, compliance with the GDPR will be a rigorous and time-intensive process that may increase Disc’s cost of doing business or require it to change its business practices, and despite those efforts, there is a risk that it may be subject to fines and penalties, litigation, and reputational harm in connection with its European and U.K. activities. The business risk is further increased by the fact that the EU Member States have implemented national laws which may partially deviate from the GDPR and impose different and more restrictive obligations from country to country, so that Disc does not expect to operate in a uniform legal landscape in the EU.</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Laws and regulations governing any international operations Disc may have in the future may preclude it from developing, manufacturing and selling certain products outside of the United States and require it to develop and implement costly compliance programs.</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If Disc expands its operations outside of the United States, it must dedicate additional resources to comply with numerous laws and regulations in each jurisdiction in which it plans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04" w:name="page305"/>
    <w:bookmarkEnd w:id="304"/>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Disc expands its presence outside of the United States, it will require Disc to dedicate additional resources to comply with these laws, and these laws may preclude it from developing, manufacturing, or selling certain products and product candidates outside of the United States, which could limit its growth potential and increase its development costs.</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Employee Matters and Managing Growth</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Disc’s future success depends on its ability to retain key executives and experienced scientists and to attract, retain, and motivate qualified personnel.</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Disc is highly dependent on many of its key employees and members of its executive management team as well as the other principal members of its management, scientific and clinical teams. Although Disc has entered into employment letter agreements with certain of its executive officers, each of them may terminate their employment with Disc at any time. Disc does not maintain “key person” insurance for any of its executives or other employees. In addition, Disc relies on consultants and advisors, including scientific and clinical advisors, to assist it in formulating its research and development and commercialization strategy. Disc’s consultants and advisors may be employed by employers other than Disc and may have commitments under consulting or advisory contracts with other entities that may limit their availability to Disc. If Disc is unable to continue to attract and retain high quality personnel, its ability to pursue its growth strategy will be limited.</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Recruiting and retaining qualified scientific, clinical, manufacturing and sales and marketing personnel will also be critical to Disc’s success. The loss of the services of Disc’s executive officers or other key employees, including temporary loss due to illness, could impede the achievement of its research, development and commercialization objectives and seriously harm its ability to successfully implement its business strategy. Furthermore, replacing executive officers and key employees may be difficult and may take an extended period of time because of the limited number of individuals in Disc’s industry with the breadth of skills and experience required to successfully develop, gain regulatory approval of and commercialize products. Competition to hire from this limited pool is intense, and Disc may be unable to hire, train, retain or motivate these key personnel on acceptable terms given the competition among numerous pharmaceutical and biotechnology companies for similar personnel. Disc also experiences competition for the hiring of scientific and clinical personnel from universities and research institutions. Failure to succeed in clinical trials may make it more challenging to recruit and retain qualified scientific personnel.</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particular, Disc has experienced a very competitive hiring environment in the greater Boston area of Massachusetts, where it is headquartered. Many of the other pharmaceutical companies that Disc competes against for qualified personnel have greater financial and other resources, different risk profiles and a longer history in the industry than it does. They also may provide more diverse opportunities and better chances for career advancement. Some of these characteristics may be more appealing to high-quality candidates than what Disc has to offer. If Disc is unable to continue to attract and retain high-quality personnel, the rate and success with which it can discover and develop product candidates and its business will be limited.</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may be unable to adequately protect its information systems from cyberattacks, which could result in the disclosure of confidential or proprietary information, including personal data, damage its reputation, and subject it to significant financial and legal exposure.</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Disc relies on information technology systems that it or its third-party providers operate to process, transmit and store electronic information in its day-to-day operations. In connection with its product discovery efforts, Disc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Disc’s confidential or proprietary information and disrupt its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Disc, including, without limitation, the disruption of operations, the misappropriation of confidential business information, including financial information, trade secrets, financial loss and the disclosure of corporate strategic plans. Although Disc devotes resources to protect its information systems, it realizes that cyberattacks are a threat, and there can be no assurance that its efforts will prevent information security breaches that would result in business, legal, financial or reputational harm to it, or would have a material adverse effect on its results of operations and financial condition. Any failure to prevent or mitigate security breaches or improper access to, use of, or disclosure of Disc’s clinical data or patients’ personal data could result in significant liability under state (e.g., state breach notification laws), federal (e.g., HIPAA, as amended by HITECH), and international law (e.g., the GDPR) and may cause a material adverse impact to its reputation, affect its ability to conduct new studies and potentially disrupt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50100" cy="146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5" w:name="page306"/>
    <w:bookmarkEnd w:id="305"/>
    <w:p>
      <w:pPr>
        <w:jc w:val="both"/>
        <w:spacing w:after="0" w:line="233" w:lineRule="auto"/>
        <w:rPr>
          <w:sz w:val="20"/>
          <w:szCs w:val="20"/>
          <w:color w:val="auto"/>
        </w:rPr>
      </w:pPr>
      <w:r>
        <w:rPr>
          <w:rFonts w:ascii="Times New Roman" w:cs="Times New Roman" w:eastAsia="Times New Roman" w:hAnsi="Times New Roman"/>
          <w:sz w:val="19"/>
          <w:szCs w:val="19"/>
          <w:color w:val="auto"/>
        </w:rPr>
        <w:t>Disc relies on its third-party providers to implement effective security measures and identify and correct for any such failures, deficiencies or breaches. Disc also relies on its employees and consultants to safeguard their security credentials and follow its policies and procedures regarding use and access of computers and other devices that may contain its sensitive information. If Disc or its third-party providers fail to maintain or protect its information technology systems and data integrity effectively or fail to anticipate, plan for or manage significant disruptions to its information technology systems, Disc or its third-party providers could have difficulty preventing, detecting and controlling such cyber-attacks and any such attacks could result in the losses described above as well as disputes with physicians, patients and its partners, regulatory sanctions or penalties, increases in operating expenses, expenses or lost revenue or other adverse consequences, any of which could have a material adverse effect on its business, results of operations, financial condition, prospects and cash flows. Any failure by such third parties to prevent or mitigate security breaches or improper access to or disclosure of such information could have similarly adverse consequences for Disc. If Disc is unable to prevent or mitigate the impact of such security or data privacy breaches, it could be exposed to litigation and governmental investigations, which could lead to a potential disruption to its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is expected to increase data breach litigation. The CCPA may increase Disc’s compliance costs and potential liability, and many similar laws have been proposed at the federal level and in other states. Colorado and Virginia have also passed omnibus privacy legislation – Colorado Privacy Act and Virginia Consumer Data Protection Act respectively – that are set to take effect in 2023. By way of example regarding foreign laws and regulations with respect to data privacy and security, the GDPR went into effect in the EU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If Disc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Disc’s operating results and business. Moreover, clinical trial subjects about whom Disc or its potential collaborators obtain information, as well as the providers who share this information with it, may contractually limit its ability to use and disclose the information. Claims that Disc has violated individuals’ privacy rights, failed to comply with data protection laws, or breached its contractual obligations, even if it is not found liable, could be expensive and time-consuming to defend and could result in adverse publicity that could harm its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expects to expand its development and regulatory capabilities and potentially implement sales, marketing and distribution capabilities, and as a result, it may encounter difficulties in managing its growth, which could disrupt its operations.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August 9, 2022, Disc had 37 full-time employees and one part-time employee. Disc expects to experience significant growth in the number of its employees and the scope of its operations, particularly as it functions as a public company and in the areas of product development, regulatory affairs and, if any of its product candidates receives regulatory approval, sales, marketing and distribution. To manage Disc’s anticipated future growth, it must continue to implement and improve its managerial, operational and financial systems, expand its facilities and continue to recruit and train additional qualified personnel. Due to Disc’s limited financial resources, it may not be able to effectively manage the expansion of its operations or recruit and train additional qualified personnel. The expansion of Disc’s operations may lead to significant costs and may divert its management and business development resources. Any inability to manage growth could delay the execution of Disc’s business plans or disrupt its operations.</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may acquire additional businesses or products, form strategic alliances or create joint ventures with third parties that it believe will complement or augment its existing business. If Disc acquires businesses with promising markets or technologies, it may not be able to realize the benefit of acquiring such businesses if it is unable to successfully integrate them with its existing operations and company culture. Disc may encounter numerous difficulties in developing, manufacturing and marketing any new products resulting from a strategic alliance or acquisition that delay or prevent it from realizing their expected benefits or enhancing its business. Disc cannot assure you that, following any such acquisition, it will achieve the expected synergies to justify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9"/>
          <w:szCs w:val="19"/>
          <w:b w:val="1"/>
          <w:bCs w:val="1"/>
          <w:color w:val="auto"/>
        </w:rPr>
        <w:t>General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tax law may adversely affect Disc or its investors.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Disc or holders of Disc’s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Disc’s or its stockholders’ tax liability or require changes in the manner in which Disc operates in order to minimize or mitigate any adverse effects of changes in tax law. Prospective investors should consult their tax advisors regarding the potential consequences of changes in tax law on Disc’s business and on the ownership and disposition of Disc’s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Disc’s future taxable income may be subject to certain limitations.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As of December 31, 2021, Disc had federal and state net operating loss carryforwards of $55.5 million and $54.9 million, respectively, which begin to expire in various amounts in 2037. As of December 31, 2021, Disc also had federal and state research and development tax credit carryforwards of $1.1 million and $0.7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For taxable years beginning after December 31, 2020, the deductibility of U.S. federal net operating losses generated for tax years beginning after December 31, 2017 is limited to 80% of Disc’s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Disc’s existing NOLs or credits may be subject to limitations arising from previous ownership changes, and if Disc undergoes an ownership change in connection with or after the merger, Disc’s ability to utilize NOLs or credits could be further limited by Sections 382 and 383 of the Code. In addition, future changes in Disc’s stock ownership, many of which are outside of its control, could result in an ownership change under Sections 382 and 383 of the Code. Disc’s NOLs or credits may also be impaired under state law. Accordingly, Disc may not be able to utilize a material portion of its NOLs or credits.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is subject to certain U.S. and foreign anti-corruption, anti-money laundering, export control, sanctions, and other trade laws and regulations. Disc can face serious consequences for violations.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Disc has direct or indirect interactions with officials and employees of government agencies or government-affiliated hospitals, universities, and other organizations. Disc also expects its non-U.S. activities to increase in time. Disc currently engages, and expects to continue to engage, third parties for clinical trials and/or to obtain necessary permits, licenses, patent registrations, and other regulatory approvals and Disc can be held liable for the corrupt or other illegal activities of its personnel, agents, or partners, even if Disc does not explicitly authorize or have prior knowledge of such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Unfavorable global economic conditions could adversely affect Disc’s business, financial condition or results of operations.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Disc’s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See “Risks Related to the Discovery and Development of Disc’s Product Candidates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ongoing COVID-19 pandemic, or a similar pandemic, epidemic, or outbreak of an infectious disease may materially and adversely affect Disc’s business and financial results and could cause a disruption to the development of Disc’s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A severe or prolonged economic downturn could result in a variety of risks to Disc’s business, including, weakened demand for Disc’s product candidates and Disc’s ability to raise additional capital when needed on acceptable terms, if at all. A weak or declining economy could also strain Disc’s suppliers, possibly resulting in supply disruption, or cause Disc’s customers to delay making payments for Disc’s products. Any of the foregoing could harm Disc’s business and Disc cannot anticipate all of the ways in which the current economic climate and financial market conditions could adversely impact Disc’s business.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Disc’s employees, principal investigators, CROs and consultants may engage in misconduct or other improper activities, including non-compliance with regulatory standards and requirements or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50100" cy="146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07" w:name="page308"/>
    <w:bookmarkEnd w:id="307"/>
    <w:p>
      <w:pPr>
        <w:jc w:val="both"/>
        <w:spacing w:after="0" w:line="247" w:lineRule="auto"/>
        <w:rPr>
          <w:sz w:val="20"/>
          <w:szCs w:val="20"/>
          <w:color w:val="auto"/>
        </w:rPr>
      </w:pPr>
      <w:r>
        <w:rPr>
          <w:rFonts w:ascii="Times New Roman" w:cs="Times New Roman" w:eastAsia="Times New Roman" w:hAnsi="Times New Roman"/>
          <w:sz w:val="18"/>
          <w:szCs w:val="18"/>
          <w:color w:val="auto"/>
        </w:rPr>
        <w:t>Disc is exposed to the risk that its employees, principal investigators, CROs and consultants may engage in fraudulent conduct or other illegal activity. Misconduct by these parties could include intentional, reckless and/or negligent conduct or disclosure of unauthorized activities to Disc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Disc’s preclinical studies or clinical trials, which could result in regulatory sanctions and cause serious harm to Disc’s reputation. Disc intends to adopt a code of conduct applicable to all of its employees, but it is not always possible to identify and deter misconduct by employees and other third parties, and the precautions Disc takes to detect and prevent this activity may not be effective in controlling unknown or unmanaged risks or losses or in protecting Disc from governmental investigations or other actions or lawsuits stemming from a failure to comply with these laws or regulations. Additionally, Disc is subject to the risk that a person could allege such fraud or other misconduct, even if none occurred. If any such actions are instituted against Disc, and Disc is not successful in defending itself or asserting its rights, those actions could have a significant impact on Disc’s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Disc’s operations, any of which could adversely affect Disc’s ability to operate its business and its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Disc’s Operations Following the Merger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market price of Disc’s common stock may be volatile, and the market price of the common stock may drop following the merger.</w:t>
      </w:r>
    </w:p>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The market price of Disc’s common stock following the merger could be subject to significant fluctuations. Some of the factors that may cause the market price of Disc’s common stock to fluctuate include:</w:t>
      </w:r>
    </w:p>
    <w:p>
      <w:pPr>
        <w:spacing w:after="0" w:line="169" w:lineRule="exact"/>
        <w:rPr>
          <w:sz w:val="20"/>
          <w:szCs w:val="20"/>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trials and preclinical studies of Disc’s product candidates, or those of Disc’s competitors or Disc’s existing or future collaborators;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and development projections Disc may provide to the public;</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the financial and development projections of the investment community;</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Disc does not achieve the perceived benefits of the merger as rapidly or to the extent anticipated by financial or industry analysts;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significant acquisitions, strategic collaborations, joint ventures or capital commitments by Disc or its competitors;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taken by regulatory agencies with respect to Disc’s product candidates, clinical studies, manufacturing process or sales and marketing terms;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relating to proprietary rights, including patents, litigation matters, and Disc’s ability to obtain patent protection for its technologies;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lawsuits, including patent or stockholder litigation;</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securities or industry analysts do not publish research or reports about Disc’s business, or if they issue adverse or misleading opinions regarding its business and stock;</w:t>
      </w:r>
    </w:p>
    <w:p>
      <w:pPr>
        <w:spacing w:after="0" w:line="226"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valuations of similar companies;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or macroeconomic conditions or market conditions in the pharmaceutical and biotechnology sectors;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securities by Disc or its securityholders in the future;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Disc fails to raise an adequate amount of capital to fund its operations and continued development of its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volume of Disc’s common stock;</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competitors of new commercial products, clinical progress or lack thereof, significant contracts, commercial relationships or capital commitments;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 relating to precision medicine product candidates, including with respect to other products in such markets;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of technological innovations or new therapies that compete with the products and services of Disc;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8" w:name="page309"/>
    <w:bookmarkEnd w:id="308"/>
    <w:p>
      <w:pPr>
        <w:ind w:left="560" w:hanging="284"/>
        <w:spacing w:after="0"/>
        <w:tabs>
          <w:tab w:leader="none" w:pos="5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period-to-period fluctuations in Disc’s financial results.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Moreover, the stock markets in general have experienced substantial volatility that has often been unrelated to the operating performance of individual companies. These broad market fluctuations may also adversely affect the trading price of Disc’s common stock. In addition, a recession, depression or other sustained adverse market event resulting from the spread of COVID-19 or otherwise could materially and adversely affect Disc’s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Disc experiences a market valuation that activists believe is not reflective of its intrinsic value. Activist campaigns that contest or conflict with Disc’s strategic direction or seek changes in the composition of its board of directors could have an adverse effect on its operating results and financial condition.</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Following the merger, Disc may be unable to integrate successfully the businesses of Gemini and Disc and realize the anticipated benefits of the merger.</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merger involves the combination of two companies which currently operate as independent companies. Following the merger, Disc will be required to devote significant management attention and resources to integrating its business practices and operations. Disc may fail to realize some or all of the anticipated benefits of the merger, including the benefits anticipated in the Financial Forecasts described under “</w:t>
      </w:r>
      <w:r>
        <w:rPr>
          <w:rFonts w:ascii="Times New Roman" w:cs="Times New Roman" w:eastAsia="Times New Roman" w:hAnsi="Times New Roman"/>
          <w:sz w:val="19"/>
          <w:szCs w:val="19"/>
          <w:i w:val="1"/>
          <w:iCs w:val="1"/>
          <w:color w:val="auto"/>
        </w:rPr>
        <w:t>The Merger—Certain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Unaudited Financial Projections</w:t>
      </w:r>
      <w:r>
        <w:rPr>
          <w:rFonts w:ascii="Times New Roman" w:cs="Times New Roman" w:eastAsia="Times New Roman" w:hAnsi="Times New Roman"/>
          <w:sz w:val="19"/>
          <w:szCs w:val="19"/>
          <w:color w:val="auto"/>
        </w:rPr>
        <w:t>,” if the integration process takes longer than expected or is more costly than expected. Potential difficulties Disc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encounter in the integration process include the following:</w:t>
      </w:r>
    </w:p>
    <w:p>
      <w:pPr>
        <w:spacing w:after="0" w:line="187" w:lineRule="exact"/>
        <w:rPr>
          <w:sz w:val="20"/>
          <w:szCs w:val="20"/>
          <w:color w:val="auto"/>
        </w:rPr>
      </w:pPr>
    </w:p>
    <w:p>
      <w:pPr>
        <w:ind w:left="560" w:right="220" w:hanging="284"/>
        <w:spacing w:after="0" w:line="270" w:lineRule="auto"/>
        <w:tabs>
          <w:tab w:leader="none" w:pos="5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successfully combine the businesses of Gemini and Disc in a manner that permits Disc to achieve the anticipated benefits from the merger, which would result in the anticipated benefits of the merger not being realized partly or wholly in the time frame currently anticipated or at all;</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creation of uniform standards, controls, procedures, policies and information systems;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unknown liabilities and unforeseen increased expenses, delays or regulatory conditions associated with the merger.</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addition, Gemini and Disc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Disc’s ability to maintain its business relationships or the ability to achieve the anticipated benefits of the merger, or could otherwise adversely affect the business and financial results of Disc.</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the assets subject to the CVR Agreement are not disposed of in a timely manner, Disc may have to incur time and resources to wind down or dispose of such assets.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connection with the merger, Gemini declared a dividend to each person who as of immediately prior to the effective time was a stockholder of record of Gemini or had the right to receive Gemini’s common stock of the right to receive one non-transferable CVR for each then outstanding share of Gemini common stock, each representing the non-transferable contractual right to receive certain contingent payments from Gemini upon the occurrence of certain events within agreed time periods. Pursuant to the terms of the CVR Agreement, if Disc is unable to sell the assets subject to the CVR Agreement prior to the twelve-month anniversary of the closing date, Disc will be responsible for any wind-down costs associated with the termination of such assets within the parameters contained in the CVR Agreement. Further, pursuant to the terms of the CVR Agreement, the holders of Gemini common stock prior to the closing, rather than the holders of Disc’s common stock, are the primary recipients of any net proceeds of the disposition of the assets subject to the CVR Agreement. Absent such CVR Agreement, Disc may have allocated such funds, time and resources to its core programs and the foregoing could be a distraction to Disc’s management and employees. As a result, Disc’s operations and financial condition may be adversely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 will incur additional costs and increased demands upon management as a result of complying with the laws and regulations affecting public companies.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Disc will incur significant legal, accounting and other expenses as a public company that Disc did not incur as a private company, including costs associated with public company reporting obligations under the Securities Exchange Act of 1934, as amended, or the Exchange Act. Disc’s management team will consist of the executive officers of Disc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Disc complies with all of these requirements. Any changes Disc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Disc to attract and retain qualified persons to serve on the board of directors or on board committees or to serve as executive officers, or to obtain certain types of insurance, including directors’ and officers’ insurance, on acceptable terms.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Once Disc is no longer an emerging growth company, a smaller reporting company or otherwise no longer qualifies for applicable exemptions, Disc will be subject to additional laws and regulations affecting public companies that will increase Disc’s costs and the demands on management and could harm Disc’s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50100" cy="146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9" w:name="page310"/>
    <w:bookmarkEnd w:id="309"/>
    <w:p>
      <w:pPr>
        <w:jc w:val="both"/>
        <w:spacing w:after="0" w:line="234" w:lineRule="auto"/>
        <w:rPr>
          <w:sz w:val="20"/>
          <w:szCs w:val="20"/>
          <w:color w:val="auto"/>
        </w:rPr>
      </w:pPr>
      <w:r>
        <w:rPr>
          <w:rFonts w:ascii="Times New Roman" w:cs="Times New Roman" w:eastAsia="Times New Roman" w:hAnsi="Times New Roman"/>
          <w:sz w:val="19"/>
          <w:szCs w:val="19"/>
          <w:color w:val="auto"/>
        </w:rPr>
        <w:t>Disc is subject to the reporting requirements of the Exchange Act, which requires, among other things, that Disc file with the SEC, annual, quarterly and current reports with respect to Disc’s business and financial condition as well as other disclosure and corporate governance requirements. However, as an emerging growth company Disc may take advantage of exemptions from various requirements such as an exemption from the requirement to have Disc’s independent auditors attest to Disc’s internal control over financial reporting under Section 404 of the Sarbanes-Oxley Act of 2002 as well as an exemption from the “say on pay” voting requirements pursuant to the Dodd-Frank Wall Street Reform and Consumer Protection Act of 2010. After Disc no longer qualifies as an emerging growth company, Disc may still qualify as a “smaller reporting company” which may allow Disc to take advantage of some of the same exemptions from disclosure requirements including not being required to comply with the auditor attestation requirements of Section 404 of the Sarbanes-Oxley Act and reduced disclosure obligations regarding executive compensation in Disc’s periodic reports and proxy statements. Even after Disc no longer qualifies as an emerging growth company, it expects to still qualify as a “smaller reporting company,” as such term is defined in Rule 12b-2 under the Exchange Act, in at least the near term, which will allow Disc to take advantage of many of the same exemptions from disclosure requirements, including not being required to comply with the auditor attestation requirements of Section 404 of the Sarbanes-Oxley Act and reduced disclosure obligations regarding executive compensation in Disc’s periodic reports and proxy statements. Once Disc is no longer an emerging growth company, a smaller reporting company or otherwise qualifies for these exemptions, Disc will be required to comply with these additional legal and regulatory requirements applicable to public companies and will incur significant legal, accounting and other expenses to do so. If Disc is not able to comply with the requirements in a timely manner or at all, Disc’s financial condition or the market price of Disc’s common stock may be harmed. For example, if Disc or its independent auditor identifies deficiencies in Disc’s internal control over financial reporting that are deemed to be material weaknesses Disc could face additional costs to remedy those deficiencies, the market price of Disc’s stock could decline or Disc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The unaudited pro forma condensed combined financial data for Gemini and Disc included in this Current Report on Form 8-K are preliminary, and Disc’s actual financial position and operations after the merger may differ materially from the unaudited pro forma financial data included in this Current Report on Form 8-K.</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unaudited pro forma financial data for Gemini and Disc included in this Current Report on Form 8-K are presented for illustrative purposes only and is not necessarily indicative of Disc’s actual financial condition or results of operations of future periods, or the financial condition or results of operations that would have been realized had the entities been combined during the periods presented. Disc’s actual results and financial position after the merger may differ materially and adversely from the unaudited pro forma financial data included in this Current Report on Form 8-K. The exchange ratio reflected in this Current Report on Form 8-K was preliminary. The final exchange ratio could differ materially from the preliminary exchange ratio used to prepare the pro forma adjustments. For more information see the Unaudited Pro Forma Condensed Combined Financial Information filed with this Current Report on Form 8-K.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Provisions in Disc’s charter documents and under Delaware law could make an acquisition of Disc more difficult and may discourage any takeover attempts the company stockholders may consider favorable, and may lead to entrenchment of management.</w:t>
      </w:r>
    </w:p>
    <w:p>
      <w:pPr>
        <w:spacing w:after="0" w:line="15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Provisions of Disc’s amended and restated certificate of incorporation and amended and restated bylaws could delay or prevent changes in control or changes in management without the consent of the board of directors. These provisions will include the following:</w:t>
      </w:r>
    </w:p>
    <w:p>
      <w:pPr>
        <w:spacing w:after="0" w:line="169" w:lineRule="exact"/>
        <w:rPr>
          <w:sz w:val="20"/>
          <w:szCs w:val="20"/>
          <w:color w:val="auto"/>
        </w:rPr>
      </w:pPr>
    </w:p>
    <w:p>
      <w:pPr>
        <w:ind w:left="560" w:hanging="284"/>
        <w:spacing w:after="0"/>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board of directors divided into three classes serving staggered three-year terms, such that not all members of the board will be elected at one time;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cumulative voting in the election of directors, which limits the ability of minority stockholders to elect director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prohibition on stockholder action by written consent, which means that all stockholder action must be taken at an annual or special meeting of the stockholders;</w:t>
      </w:r>
    </w:p>
    <w:p>
      <w:pPr>
        <w:spacing w:after="0" w:line="215" w:lineRule="exact"/>
        <w:rPr>
          <w:rFonts w:ascii="Times New Roman" w:cs="Times New Roman" w:eastAsia="Times New Roman" w:hAnsi="Times New Roman"/>
          <w:sz w:val="16"/>
          <w:szCs w:val="16"/>
          <w:color w:val="auto"/>
        </w:rPr>
      </w:pPr>
    </w:p>
    <w:p>
      <w:pPr>
        <w:ind w:left="560" w:right="400" w:hanging="284"/>
        <w:spacing w:after="0" w:line="270" w:lineRule="auto"/>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that special meetings of stockholders be called only by the chairman of the board of directors, the Chief Executive Officer or by a majority of the total number of authorized directors;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requirements for stockholder proposals and nominations for election to the board of directors;</w:t>
      </w:r>
    </w:p>
    <w:p>
      <w:pPr>
        <w:spacing w:after="0" w:line="215" w:lineRule="exact"/>
        <w:rPr>
          <w:rFonts w:ascii="Times New Roman" w:cs="Times New Roman" w:eastAsia="Times New Roman" w:hAnsi="Times New Roman"/>
          <w:sz w:val="16"/>
          <w:szCs w:val="16"/>
          <w:color w:val="auto"/>
        </w:rPr>
      </w:pPr>
    </w:p>
    <w:p>
      <w:pPr>
        <w:ind w:left="560" w:right="200" w:hanging="284"/>
        <w:spacing w:after="0" w:line="270" w:lineRule="auto"/>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173" w:lineRule="exact"/>
        <w:rPr>
          <w:rFonts w:ascii="Times New Roman" w:cs="Times New Roman" w:eastAsia="Times New Roman" w:hAnsi="Times New Roman"/>
          <w:sz w:val="16"/>
          <w:szCs w:val="16"/>
          <w:color w:val="auto"/>
        </w:rPr>
      </w:pPr>
    </w:p>
    <w:p>
      <w:pPr>
        <w:ind w:left="560" w:right="120" w:hanging="284"/>
        <w:spacing w:after="0" w:line="270" w:lineRule="auto"/>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of approval of not less than two-thirds of all outstanding shares of voting stock to amend any bylaws by stockholder action or to amend specific provisions of the certificate of incorporation; and</w:t>
      </w:r>
    </w:p>
    <w:p>
      <w:pPr>
        <w:spacing w:after="0" w:line="173" w:lineRule="exact"/>
        <w:rPr>
          <w:rFonts w:ascii="Times New Roman" w:cs="Times New Roman" w:eastAsia="Times New Roman" w:hAnsi="Times New Roman"/>
          <w:sz w:val="16"/>
          <w:szCs w:val="16"/>
          <w:color w:val="auto"/>
        </w:rPr>
      </w:pPr>
    </w:p>
    <w:p>
      <w:pPr>
        <w:ind w:left="560" w:right="100" w:hanging="284"/>
        <w:spacing w:after="0" w:line="270" w:lineRule="auto"/>
        <w:tabs>
          <w:tab w:leader="none" w:pos="5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these provisions would apply even if Disc were to receive an offer that some stockholders may consider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0100" cy="146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0" w:name="page311"/>
    <w:bookmarkEnd w:id="310"/>
    <w:p>
      <w:pPr>
        <w:jc w:val="both"/>
        <w:spacing w:after="0" w:line="246" w:lineRule="auto"/>
        <w:rPr>
          <w:sz w:val="20"/>
          <w:szCs w:val="20"/>
          <w:color w:val="auto"/>
        </w:rPr>
      </w:pPr>
      <w:r>
        <w:rPr>
          <w:rFonts w:ascii="Times New Roman" w:cs="Times New Roman" w:eastAsia="Times New Roman" w:hAnsi="Times New Roman"/>
          <w:sz w:val="19"/>
          <w:szCs w:val="19"/>
          <w:color w:val="auto"/>
        </w:rPr>
        <w:t>Disc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The certificate of incorporation and bylaws of Disc provide that the Court of Chancery of the State of Delaware is the exclusive forum for substantially all disputes between Disc and its stockholders, which could limit its stockholders’ ability to obtain a favorable judicial forum for disputes with Disc or its directors, officers or other employees.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certificate of incorporation and bylaws of Disc provide that the Court of Chancery of the State of Delaware is the sole and exclusive forum for any derivative action or proceeding brought on Disc’s behalf, any action asserting a breach of fiduciary duty, any action asserting a claim against it arising pursuant to any provisions of the DGCL, its certificate of incorporation or its bylaws, or any action asserting a claim against it that is governed by the internal affairs doctrine. The exclusive forum provision does not apply to actions arising under the Exchange Act. The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Disc or its directors, officers or other employees, which may discourage such lawsuits against Disc and its directors, officers and other employees. Alternatively, if a court were to find the choice of forum provision contained in the certificate of incorporation and bylaws to be inapplicable or unenforceable in an action, Disc may incur additional costs associated with resolving such action in other jurisdictions, which could materially and adversely affect its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 does not anticipate that it will pay any cash dividends in the foreseeable future.</w:t>
      </w:r>
    </w:p>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The current expectation is that Disc will retain its future earnings, if any, to fund the growth of Disc’s business as opposed to paying dividends. As a result, capital appreciation, if any, of the common stock of Disc will be your sole source of gain, if any, for the foreseeable future.</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An active trading market for Disc’s common stock may not develop and its stockholders may not be able to resell their shares of common stock for a profit, if at all.</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Prior to the merger, there had been no public market for shares of Disc capital stock. An active trading market for Disc’s shares of common stock may never develop or be sustained. If an active market for Disc’s common stock does not develop or is not sustained, it may be difficult for its stockholders to sell their shares at an attractive price or at all.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Future sales of shares by existing stockholders could cause Disc’s stock price to decline.</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If existing securityholders of Disc sell, or indicate an intention to sell, substantial amounts of Disc’s common stock in the public market after legal restrictions on resale discussed in Disc’s periodic and current reports lapse, the trading price of the common stock of Disc could decline. Based on shares outstanding as of September 30, 2022, after giving effect to the exchange ratio of 0.1096 which has been adjusted to reflect the anticipated Gemini 1:10 reverse stock split, the shares to be issued in the Disc pre-closing financing and shares expected to be issued upon completion of the merger Disc is expected to have outstanding a total of approximately 16,923,285 shares of common stock immediately following the completion of the merger. Of the shares of common stock, approximately 11,132,590 shares will be available for sale in the public market beginning 180 days after the closing of the merger as a result of the expiration of lock-up agreements between Gemini and Disc on the one hand and certain securityholders of Gemini and Disc on the other hand. All other outstanding shares of common stock, other than shares held by affiliates of Disc and shares of Gemini common stock issued in exchange for shares of Disc common stock issued in the pre-closing financing, will be freely tradable, without restriction, in the public market. In addition, shares of common stock that are subject to outstanding options of Disc will become eligible for sale in the public market to the extent permitted by the provisions of various vesting agreements and Rules 144 and 701 under the Securities Act. If these shares are sold, the trading price of Disc’s common stock could decline.</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Disc’s executive officers, directors and principal stockholders may have the ability to control or significantly influence all matters submitted to Disc’s stockholders for approval.</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Disc’s executive officers, directors and principal stockholders, in the aggregate, beneficially own approximately 77% of Disc’s outstanding shares of common stock. As a result, if these stockholders were to choose to act together, they would be able to control or significantly influence all matters submitted to Disc’s stockholders for approval, as well as Disc’s management and affairs. For example, these persons, if they choose to act together, would control or significantly influence the election of directors and approval of any merger, consolidation or sale of all or substantially all of Disc’s assets. This concentration of voting power could delay or prevent an acquisition of Disc on terms that other stockholders may desire.</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equity research analysts do not publish research or reports, or publish unfavorable research or reports, about Disc, its business or its market, its stock price and trading volume could decline.</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trading market for Disc’s common stock will be influenced by the research and reports that equity research analysts publish about it and its business. Equity research analysts may elect not to provide research coverage of Disc’s common stock after the completion of the merger, and such lack of research coverage may adversely affect the market price of its common stock. In the event it does have equity research analyst coverage, Disc will not have any control over the analysts or the content and opinions included in their reports. The price of Disc’s common stock could decline if one or more equity research analysts downgrade its stock or issue other unfavorable commentary or research. If one or more equity research analysts ceases coverage of Disc or fails to publish reports on it regularly, demand for its common stock could decrease, which in turn could cause its stock price or trading volume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1" w:name="page312"/>
    <w:bookmarkEnd w:id="311"/>
    <w:p>
      <w:pPr>
        <w:jc w:val="both"/>
        <w:ind w:right="2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Disc has broad discretion in the use of the cash and cash equivalents of Disc and the proceeds from the Disc pre-closing financing and may invest or spend the proceeds in ways with which you do not agree and in ways that may not increase the value of your investment.</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has broad discretion over the use of the cash and cash equivalents of Disc and the proceeds from the Disc pre-closing financing. You may not agree with Disc’s decisions, and its use of the proceeds may not yield any return on your investment. Disc’s failure to apply these resources effectively could compromise its ability to pursue its growth strategy and Disc might not be able to yield a significant return, if any, on its investment of these net proceeds. You do not have the opportunity to influence its decisions on how to use Disc’s cash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150100" cy="146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99.3</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DISC’S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is a clinical-stage biopharmaceutical company focused on the discovery, development, and commercialization of novel treatments for patients suffering from serious hematologic diseases. Disc has assembled a portfolio of clinical and preclinical product candidates that aim to modify fundamental biological pathways associated with the formation and function of red blood cells, specifically heme biosynthesis and iron homeostasis. Disc’s current pipeline includes, bitopertin for the treatment of erythropoietic porphyrias, including EPP and XLP, and DBA; and DISC-0974 for the treatment of anemia of MF and anemia of CKD. In addition, Disc has two product candidates in preclinical development: DISC-0998, a product candidate for the treatment of anemia associated with inflammatory diseases; and a Matriptase-2 inhibitor for the treatment of PV and diseases of iron overload. Disc’s approach to product candidate development leverages well-understood molecular mechanisms that have been validated in humans. Disc believes that each of its product candidates, if approved, has the potential to improve the lives of patients suffering from hematologic diseases.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Bitopertin is the lead product candidate in Disc’s heme biosynthesis modulation portfolio. Bitopertin was previously evaluated by Roche in a comprehensive clinical program in over 4,000 individuals in other indications which demonstrated the activity of bitopertin as a glycine transporter 1 (GlyT1) inhibitor and its effect on heme biosynthesis. Disc is planning to initially develop bitopertin for the treatment of erythropoietic porphyrias, including EPP and XLP. In July 2022, Disc received clearance of its IND for “A Randomized, Double-blind, Placebo-Controlled Study of Bitopertin to Evaluate the Safety, Tolerability, Efficacy, and Protoporphyrin IX (PPIX) Concentrations in Participants with Erythropoietic Protoporphyria (EPP)” from the FDA. In July 2022, Disc initiated BEACON, a Phase 2 open-label, parallel-dose clinical trial of bitopertin in EPP and XLP patients that is being conducted at sites in Australia. Separately, in October 2022 Disc initiated AURORA, a Phase 2, randomized, double-blind, placebo-controlled clinical trial of bitopertin in EPP patients that is being conducted at sites in the United States. Disc expects interim data from both of these trials in the first half of 2023. Disc is planning additional studies in Diamond-Blackfan Anemia (DBA) and other indications.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DISC-0974 is the lead product candidate in Disc’s iron homeostasis portfolio. DISC-0974 is designed to suppress hepcidin production and increase serum iron levels. Disc submitted an IND for DISC-0974 in June 2021, received clearance in July 2021, and participants completed a Phase 1 clinical trial in healthy volunteers in the U.S. in June 2022 with results showing evidence of target engagement, iron mobilization and erythropoiesis. Disc initiated a Phase 1b/2 clinical trial in June 2022 in patients with anemia of MF, and plans to initiate a separate Phase 1b/2 clinical trial by the end of 2022 in patients with anemia of CKD. Disc expects interim data from both of these trial in 2023. In addition, Disc is developing a preclinical anti-hemojuvelin, or HJV, monoclonal antibody, DISC-0998, which also targets hepcidin suppression and was in-licensed from AbbVie. DISC-0998 is designed to increase serum iron levels and has an extended serum half-life as compared to DISC-0974. Disc believes this profile may be desirable in certain subsets of patients with anemia associated with inflammatory diseases.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Lastly, Disc is developing a Matriptase-2 inhibitor as part of its iron homeostasis portfolio, which is designed to induce hepcidin production and reduce serum iron levels. Preclinical data has demonstrated positive results, and Disc is in the process of identifying and optimizing a development candidate in its Matriptase-2 inhibitor program. If successful, Disc expects to designate a lead candidate and commence IND-enabling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Heme Biosynthesis Modulation: Bitopertin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Disc’s first therapeutic approach is focused on the modulation of heme biosynthesis, a multistep enzymatic process that is highly active in the formation of new red blood cells. Disc believes this approach has the potential to address a wide range of hematologic diseases where red blood cell formation becomes dysregulated. This includes a family of rare diseases called porphyrias, which are caused by genetic or acquired defects in the enzymes that mediate heme biosynthesis and result in the accumulation of toxic metabolites called porphyrins. Bitopertin is the most advanced product candidate in Disc’s heme biosynthesis portfolio. It is designed to be an oral, selective inhibitor of GlyT1, a key membrane transporter required to supply developing red blood cells with sufficient amounts of the amino acid glycine to support erythropoiesis. Glycine is necessary for the first step of heme biosynthesis, and by limiting glycine uptake in newly forming red blood cells, bitopertin has the potential to reduce the activity of the heme biosynthesis pathway, thereby reducing the pathological accumulation of toxic metabolites.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50100" cy="146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313" w:name="page314"/>
    <w:bookmarkEnd w:id="313"/>
    <w:p>
      <w:pPr>
        <w:jc w:val="both"/>
        <w:spacing w:after="0" w:line="234" w:lineRule="auto"/>
        <w:rPr>
          <w:sz w:val="20"/>
          <w:szCs w:val="20"/>
          <w:color w:val="auto"/>
        </w:rPr>
      </w:pPr>
      <w:r>
        <w:rPr>
          <w:rFonts w:ascii="Times New Roman" w:cs="Times New Roman" w:eastAsia="Times New Roman" w:hAnsi="Times New Roman"/>
          <w:sz w:val="19"/>
          <w:szCs w:val="19"/>
          <w:color w:val="auto"/>
        </w:rPr>
        <w:t>In May 2021, Disc licensed the worldwide rights to develop and commercialize bitopertin from Roche, a pharmaceutical company that had previously evaluated bitopertin in a comprehensive clinical program in over 4,000 individuals, originally with a focus on treating certain neurologic disorders. The data generated in these clinical trials failed to establish the efficacy of bitopertin in neurologic disorders. However, the data did demonstrate that, by limiting glycine uptake in newly forming red blood cells, bitopertin reduced the activity of the heme biosynthesis pathway, and Disc believes that this effect has the potential to treat many hematologic disorders. In addition, bitopertin was observed to be well tolerated in humans, with adverse events reported to be generally mild and infrequent across all trials conducted by Roche including at daily oral doses well above those that Disc plans to use in its clinical trials. Disc is initially focused on developing bitopertin for the treatment of erythropoietic protoporphyria, or EPP, and X-linked protoporphyria, or XLP, which are both diseases marked by severe photosensitivity and damage to the hepatobiliary system caused by the accumulation of protoporphyrin IX, or PPIX, a toxic metabolite of the heme biosynthesis pathway. Based on the demonstrated activity of bitopertin as a GlyT1 inhibitor and suppressor of heme biosynthesis in the clinical trials conducted by Roche, as well as the preclinical data Disc has generated in disease-relevant animal models and human cellular models, Disc has initiated a clinical program of bitopertin for EPP and XLP. In July 2022, Disc initiated BEACON, a Phase 2 open-label, parallel-dose clinical trial of bitopertin in EPP and XLP patients that is being conducted at sites in Australia. Interim data is expected in the first half of 2023. Separately, in October 2022, Disc initiated AURORA, a Phase 2, randomized, double-blind, placebo-controlled clinical trial of bitopertin in EPP patients that is being conducted at sites in the United States. In July 2022, Disc received IND clearance from the FDA. Interim data is expected in 2023. Disc also plans to explore the potential of bitopertin to treat other hematologic diseases, and plans to submit an IND in 2023 to initiate a clinical trial of bitopertin for DBA.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Targeting the Hepcidin Pathway to Modulate Iron Homeostasis: Anti-Hemojuvelin mAbs and Matriptase-2 inhibitor Programs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is also developing a portfolio of product candidates focused on modulating iron homeostasis. Disc’s initial product candidates aim to control the production of hepcidin, which is the master regulator of iron homeostasis. Iron is an essential element that is required for erythropoiesis as well as other important biological functions, and when iron homeostasis becomes dysregulated, it can cause a wide range of diseases. Disc believes that modulating the production of hepcidin to correct pathologic alterations in iron homeostasis has the potential to be a powerful therapeutic strategy. Disc is leveraging two approaches that are designed to either suppress or induce hepcidin production in order to increase or decrease serum iron levels, respectively.</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lead product candidate in Disc’s iron homeostasis portfolio, DISC-0974, is designed to suppress hepcidin production and is in development for the treatment of anemia associated with inflammatory diseases. DISC-0974, an antibody that Disc in-licensed from AbbVie Deutschland GmbH &amp; Co. KG, or AbbVie, is designed to inhibit HJV, a critical regulator of hepcidin production. Disc selected this target because the effects of inhibiting HJV, namely decreased hepcidin and increased serum iron levels, have been genetically demonstrated in both animal knockout studies and in patients with juvenile hemochromatosis who lack fully functional genes encoding HJV. Disc has completed its Phase 1, placebo-controlled, single-ascending dose clinical trial of DISC-0974 in healthy volunteers. Data from the Phase 1 clinical trial showed evidence of target engagement and iron mobilization and erythropoiesis. At the highest dose, a single 56 mg dose delivered by subcutaneous administration, DISC-0974 increased hemoglobin levels by greater than 1 g/dL relative to the placebo group. Data from the Phase 1 trial were presented at the 2022 European Hematology Association meeting. Disc initiated a Phase 1b/2 open-label clinical trial in patients with anemia of myelofibrosis, or MF, in July 2022 and expects to initiate a separate Phase 1b/2 placebo controlled, multiple ascending dose clinical trial in patients with anemia associated with chronic kidney disease, or CKD, by the end of 2022. Disc expects interim data from these two trials in 2023. DISC-0974 has undergone testing in healthy volunteers and just begun clinical testing for anemia of MF. DISC-0974 has not yet undergone testing for anemia associated with CKD, and therefore there can be no assurance that DISC-0974 will achieve the desired effects in these indications. In addition, Disc is developing a preclinical anti-HJV monoclonal antibody, DISC-0998, which also is designed to target hepcidin suppression and was in-licensed from AbbVie. DISC-0998 is designed to increase serum iron levels and has an extended serum half-life as compared to DISC-0974. Disc believes this profile may be desirable in certain subsets of patients with anemia associated with inflammatory diseases.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As part of Disc’s portfolio to modulate iron homeostasis, Disc is also advancing a preclinical program that has generated compounds designed to increase hepcidin and decrease serum iron levels. This approach is intended to restrict iron availability in a range of diseases where lowering serum iron levels would be beneficial, such as excessive red blood cell production in PV and diseases of iron overload. Disc’s program is focused on inhibiting Matriptase-2, a serine protease encoded by the gene </w:t>
      </w:r>
      <w:r>
        <w:rPr>
          <w:rFonts w:ascii="Times New Roman" w:cs="Times New Roman" w:eastAsia="Times New Roman" w:hAnsi="Times New Roman"/>
          <w:sz w:val="19"/>
          <w:szCs w:val="19"/>
          <w:i w:val="1"/>
          <w:iCs w:val="1"/>
          <w:color w:val="auto"/>
        </w:rPr>
        <w:t>TMPRSS6</w:t>
      </w:r>
      <w:r>
        <w:rPr>
          <w:rFonts w:ascii="Times New Roman" w:cs="Times New Roman" w:eastAsia="Times New Roman" w:hAnsi="Times New Roman"/>
          <w:sz w:val="19"/>
          <w:szCs w:val="19"/>
          <w:color w:val="auto"/>
        </w:rPr>
        <w:t xml:space="preserve"> that normally serves to limit hepcidin production. Disc believes that by inhibiting Matriptase-2, Disc’s compounds have the potential to enable the production of hepcidin and, in turn, restrict iron availability. Disc selected this target based on the genetic confirmation of the effects of decreased Matriptase-2 activity in both animal knockout studies and in patients with iron-refractory iron deficiency anemia who lack fully functional genes encoding Matriptase-2. Disc has generated selective small molecule inhibitors of Matriptase-2 for which Disc has demonstrated effects on hepcidin and serum iron levels in preclinical studies. Disc is in the process of identifying and optimizing a development candidate in its Matriptase-2 inhibitor program and, if successful, Disc expects to designate a lead candidate and commence IND-enabling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0100" cy="146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9"/>
          <w:szCs w:val="19"/>
          <w:b w:val="1"/>
          <w:bCs w:val="1"/>
          <w:color w:val="auto"/>
        </w:rPr>
        <w:t>Disc’s Pipeline</w:t>
      </w:r>
    </w:p>
    <w:p>
      <w:pPr>
        <w:spacing w:after="0" w:line="2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Disc is building an innovative pipeline of product candidates that aim to modify fundamental biological pathways associated with the formation and function of red blood cells. Disc owns worldwide rights to each of its current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Clinical-Stage Product Candidates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diagram below reflects the status of the clinical-stage product candidates, bitopertin and DISC-0974, and clinical trials that have been completed, are ongoing or are expected to initiate by the end of 2022. The timelines described reflect Disc’s current expectations and beliefs based on its internal plans and certain limited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126365</wp:posOffset>
            </wp:positionV>
            <wp:extent cx="5293360" cy="25349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93360" cy="253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also plans to develop bitopertin and DISC-0974 for other indications. For example, Disc is exploring the potential for bitopertin as a treatment for macrocytic anemias, such as DBA and certain types of myelodysplastic syndromes, or MDS, in preclinical studies and plans to submit an IND for the clinical study of biopertin DBA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Preclinical Product Candidates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previously described, Disc also has several preclinical-stage programs in development, including:</w:t>
      </w:r>
    </w:p>
    <w:p>
      <w:pPr>
        <w:spacing w:after="0" w:line="211" w:lineRule="exact"/>
        <w:rPr>
          <w:sz w:val="20"/>
          <w:szCs w:val="20"/>
          <w:color w:val="auto"/>
        </w:rPr>
      </w:pPr>
    </w:p>
    <w:p>
      <w:pPr>
        <w:ind w:left="560" w:right="80" w:hanging="284"/>
        <w:spacing w:after="0" w:line="257" w:lineRule="auto"/>
        <w:tabs>
          <w:tab w:leader="none" w:pos="56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DISC-0998: a separate, preclinical anti-HJV monoclonal antibody, which is also designed to target hepcidin suppression and was in-licensed from AbbVie. DISC-0998 is designed to increase serum iron levels and has an extended serum half-life as compared to DISC-0974. Disc believes this profile may be desirable in certain subsets of patients with anemia associated with inflammatory diseases.</w:t>
      </w:r>
    </w:p>
    <w:p>
      <w:pPr>
        <w:spacing w:after="0" w:line="183" w:lineRule="exact"/>
        <w:rPr>
          <w:rFonts w:ascii="Times New Roman" w:cs="Times New Roman" w:eastAsia="Times New Roman" w:hAnsi="Times New Roman"/>
          <w:sz w:val="16"/>
          <w:szCs w:val="16"/>
          <w:color w:val="auto"/>
        </w:rPr>
      </w:pPr>
    </w:p>
    <w:p>
      <w:pPr>
        <w:ind w:left="560" w:right="200" w:hanging="284"/>
        <w:spacing w:after="0" w:line="257" w:lineRule="auto"/>
        <w:tabs>
          <w:tab w:leader="none" w:pos="56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Matriptase-2 (TMPRSS6) inhibitors: a preclinical program designed to induce hepcidin production and reduce serum iron levels. Disc has generated selective, small molecule inhibitors that have been shown in preclinical studies to increase hepcidin and restrict iron. Disc is in the process of identifying and optimizing a development candidate for further study.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Corporate History and Team</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was founded in 2017 with the mission to design, develop, and commercialize medicines for patients with hematologic diseases. Since inception, Disc has focused on building its pipeline of product candidates through both internal drug discovery activities and external business development, conducting preclinical studies and clinical trials, and establishing and maintaining its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50100" cy="146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15" w:name="page316"/>
    <w:bookmarkEnd w:id="315"/>
    <w:p>
      <w:pPr>
        <w:jc w:val="both"/>
        <w:spacing w:after="0" w:line="236" w:lineRule="auto"/>
        <w:rPr>
          <w:sz w:val="20"/>
          <w:szCs w:val="20"/>
          <w:color w:val="auto"/>
        </w:rPr>
      </w:pPr>
      <w:r>
        <w:rPr>
          <w:rFonts w:ascii="Times New Roman" w:cs="Times New Roman" w:eastAsia="Times New Roman" w:hAnsi="Times New Roman"/>
          <w:sz w:val="19"/>
          <w:szCs w:val="19"/>
          <w:color w:val="auto"/>
        </w:rPr>
        <w:t>Disc has assembled a management team with extensive experience in successfully developing, manufacturing, and commercializing transformative therapies as well as in business development and alliance management. Collectively, Disc’s team led, or was involved in, the development, regulatory approval, and commercialization of therapies for hematologic diseases, such as Idhifa, Reblozyl, Pyrukynd and Tibsovo, as well as numerous late-stage clinical and approved therapies for other therapeutic areas. Disc’s team has significant previous experience at leading biotechnology and pharmaceutical companies, including Acceleron Pharma, Inc., Agios Pharmaceuticals, Inc., Astellas Pharma, Inc., Bristol-Myers Squibb Company, GlaxoSmithKline, Johnson &amp; Johnson, Merck &amp; Co., Inc., Takeda Pharmaceutical Co., and The Medicines Company. Disc’s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18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Since inception, Disc has raised an aggregate of approximately $145 million of gross proceeds from the sale of equity securities. Disc’s principal stockholders include Atlas Venture, Novo Holdings, Access Biotechnology and OrbiMed.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Strategy</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Disc’s mission is to significantly improve the lives of patients suffering from hematologic diseases by developing differentiated product candidates, including ones designed to target fundamental pathways associated with the formation and function of red blood cells. To achieve Disc’s mission, Disc is focused on the following key elements of its strategy:</w:t>
      </w:r>
    </w:p>
    <w:p>
      <w:pPr>
        <w:spacing w:after="0" w:line="181" w:lineRule="exact"/>
        <w:rPr>
          <w:sz w:val="20"/>
          <w:szCs w:val="20"/>
          <w:color w:val="auto"/>
        </w:rPr>
      </w:pPr>
    </w:p>
    <w:p>
      <w:pPr>
        <w:ind w:left="560" w:right="100" w:hanging="284"/>
        <w:spacing w:after="0" w:line="248" w:lineRule="auto"/>
        <w:tabs>
          <w:tab w:leader="none" w:pos="5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Advance the clinical development of bitopertin for the treatment of patients with EPP and XLP and expand into other diseases characterized by dysregulation of the heme biosynthesis pathway. </w:t>
      </w:r>
      <w:r>
        <w:rPr>
          <w:rFonts w:ascii="Times New Roman" w:cs="Times New Roman" w:eastAsia="Times New Roman" w:hAnsi="Times New Roman"/>
          <w:sz w:val="16"/>
          <w:szCs w:val="16"/>
          <w:color w:val="auto"/>
        </w:rPr>
        <w:t>In multiple clinical trials conducted by Roche in other indications, bitopertin was observed to be a regulator of heme biosynthesis.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 is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and the compelling preclinical data Disc has generated, Disc believes bitopertin has the potential to be a disease-modifying treatment for these patients. In July 2022, Disc initiated BEACON, a Phase 2 open-label, parallel-dose clinical trial of bitopertin in EPP and XLP patients that is being conducted at sites in Australia. Interim data are expected in the first half of 2023. Separately, Disc has initiated AURORA, a Phase 2, randomized, double-blind, placebo-controlled clinical trial of bitopertin in EPP patients that is being conducted at sites in the United States. In July 2022, Disc received IND clearance from the FDA and initiated AURORA in October 2022. Disc also plans to explore the potential of bitopertin to treat other hematologic diseases, including a rare, inherited disorder called Diamond-Blackfan Anemia (DBA).</w:t>
      </w:r>
    </w:p>
    <w:p>
      <w:pPr>
        <w:spacing w:after="0" w:line="188" w:lineRule="exact"/>
        <w:rPr>
          <w:rFonts w:ascii="Times New Roman" w:cs="Times New Roman" w:eastAsia="Times New Roman" w:hAnsi="Times New Roman"/>
          <w:sz w:val="16"/>
          <w:szCs w:val="16"/>
          <w:color w:val="auto"/>
        </w:rPr>
      </w:pPr>
    </w:p>
    <w:p>
      <w:pPr>
        <w:ind w:left="560" w:right="80" w:hanging="284"/>
        <w:spacing w:after="0" w:line="249" w:lineRule="auto"/>
        <w:tabs>
          <w:tab w:leader="none" w:pos="5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Advance the clinical development of DISC-0974 for the treatment of anemia associated with myelofibrosis, chronic kidney disease and other inflammatory diseases. </w:t>
      </w:r>
      <w:r>
        <w:rPr>
          <w:rFonts w:ascii="Times New Roman" w:cs="Times New Roman" w:eastAsia="Times New Roman" w:hAnsi="Times New Roman"/>
          <w:sz w:val="16"/>
          <w:szCs w:val="16"/>
          <w:color w:val="auto"/>
        </w:rPr>
        <w:t>Disc is initially developing its lead hepcidin-suppressing program, DISC-0974, for the treatment of anemia associated with MF and CKD. Disc has completed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Phase 1, placebo-controlled, single-ascending dose clinical trial of DISC-0974 in healthy volunteers. Data from the Phase 1 clinical trial showed evidence of target engagement and iron mobilization and erythropoiesis. Disc initiated a Phase 1b/2 open-label clinical trial in patients with anemia of MF in July 2022 and expects to initiate a separate Phase 1b/2 placebo controlled, multiple ascending dose clinical trial in patients with anemia associated with CKD by the end of 2022. Disc expects interim data from these two trials in 2023. Disc also plans to further expand the development of DISC-0974 into anemias associated with other inflammatory diseases, such as inflammatory bowel disease.</w:t>
      </w:r>
    </w:p>
    <w:p>
      <w:pPr>
        <w:spacing w:after="0" w:line="190" w:lineRule="exact"/>
        <w:rPr>
          <w:rFonts w:ascii="Times New Roman" w:cs="Times New Roman" w:eastAsia="Times New Roman" w:hAnsi="Times New Roman"/>
          <w:sz w:val="16"/>
          <w:szCs w:val="16"/>
          <w:color w:val="auto"/>
        </w:rPr>
      </w:pPr>
    </w:p>
    <w:p>
      <w:pPr>
        <w:ind w:left="560" w:right="20" w:hanging="284"/>
        <w:spacing w:after="0" w:line="249" w:lineRule="auto"/>
        <w:tabs>
          <w:tab w:leader="none" w:pos="5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Design and develop a selective, orally available Matriptase-2 inhibitor for the treatment of PV and expand into other diseases associated with excess iron availability. </w:t>
      </w:r>
      <w:r>
        <w:rPr>
          <w:rFonts w:ascii="Times New Roman" w:cs="Times New Roman" w:eastAsia="Times New Roman" w:hAnsi="Times New Roman"/>
          <w:sz w:val="16"/>
          <w:szCs w:val="16"/>
          <w:color w:val="auto"/>
        </w:rPr>
        <w:t>Through Disc’s internal drug discovery and development efforts, Disc is in the process of identifying and optimizing a development candidate for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Matriptase-2 inhibitor program, which is the second program in its iron homeostasis portfolio and is focused on hepcidin induction. The inhibition of Matriptase-2 has been shown in non-clinical and clinical studies to increase hepcidin levels and thereby restrict iron availability and the formation of new red blood cells. In clinical trials conducted by third parties, iron restriction through a hepcidin mechanism resulted in disease control in patients with PV, which is Disc’s initial indication of focus for this program. Disc has designed molecules that have demonstrated rapid increases in hepcidin levels in preclinical models. If Disc’s drug discovery efforts are successful, Disc expects to designate a lead clinical candidate and initiate IND-enabling studies.</w:t>
      </w:r>
    </w:p>
    <w:p>
      <w:pPr>
        <w:spacing w:after="0" w:line="190" w:lineRule="exact"/>
        <w:rPr>
          <w:rFonts w:ascii="Times New Roman" w:cs="Times New Roman" w:eastAsia="Times New Roman" w:hAnsi="Times New Roman"/>
          <w:sz w:val="16"/>
          <w:szCs w:val="16"/>
          <w:color w:val="auto"/>
        </w:rPr>
      </w:pPr>
    </w:p>
    <w:p>
      <w:pPr>
        <w:ind w:left="560" w:right="60" w:hanging="284"/>
        <w:spacing w:after="0" w:line="249" w:lineRule="auto"/>
        <w:tabs>
          <w:tab w:leader="none" w:pos="5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Continue to build Disc’s pipeline through internal research or business development. </w:t>
      </w:r>
      <w:r>
        <w:rPr>
          <w:rFonts w:ascii="Times New Roman" w:cs="Times New Roman" w:eastAsia="Times New Roman" w:hAnsi="Times New Roman"/>
          <w:sz w:val="16"/>
          <w:szCs w:val="16"/>
          <w:color w:val="auto"/>
        </w:rPr>
        <w:t>Though Disc has yet to generate clinical data for its product candidates,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Phase 1 data for DISC-0974, Disc believes that all of its current product candidates, if approved, could have pipeline-in-a-product potential, and for each product candidate, Disc plans to explore its potential across multiple hematologic diseases. In addition, Disc plans to leverage its expertise in hematology to further grow its pipeline through both internal discovery and development of new therapeutic candidates and in-licensing of external assets. This approach includes developing both next-generation programs to support Disc’s existing heme biosynthesis and iron homeostasis portfolios as well as molecules that target other pathways associated with red blood cells that may be of strategic and biological interest. For example, Disc is developing DISC-0998, a preclinical monoclonal antibody as a next generation product candidate against HJV, the same target as DISC-0974. Disc believes DISC-0998 has improved pharmacokinetic and pharmacodynamic properties that may benefit certain subsets of patients with anemia associated with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0100" cy="146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6" w:name="page317"/>
    <w:bookmarkEnd w:id="316"/>
    <w:p>
      <w:pPr>
        <w:ind w:left="560" w:right="60" w:hanging="284"/>
        <w:spacing w:after="0" w:line="269" w:lineRule="auto"/>
        <w:tabs>
          <w:tab w:leader="none" w:pos="560" w:val="left"/>
        </w:tabs>
        <w:numPr>
          <w:ilvl w:val="0"/>
          <w:numId w:val="3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Opportunistically evaluate strategic collaborations to maximize the value of Disc’s product candidates and preclinical programs. </w:t>
      </w:r>
      <w:r>
        <w:rPr>
          <w:rFonts w:ascii="Times New Roman" w:cs="Times New Roman" w:eastAsia="Times New Roman" w:hAnsi="Times New Roman"/>
          <w:sz w:val="15"/>
          <w:szCs w:val="15"/>
          <w:color w:val="auto"/>
        </w:rPr>
        <w:t>Disc has obtained exclusive,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worldwide licenses for the development and commercialization of bitopertin, DISC-0974, and DISC-0998, and Disc owns worldwide rights to its internally developed Matriptase-2 inhibitor program. As Disc advances the development of its product candidates and preclinical programs across multiple indications and continues to generate additional data, Disc intends to continuously evaluate its options for maximizing the value of its overall portfolio. For example, in certain geographies, Disc may opportunistically enter into strategic collaborations to accelerate the development and maximize the commercial potential of any or all of its product candidates or preclinical programs. For each product candidate, preclinical program, indication, and geographic region, Disc’s goal is to find the best path forward for the development of Disc’s product candidates and preclinical programs in order to treat patients in need of new therapies, while also maximizing value for Disc’s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Approach</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Disc’s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data, Disc believes its product candidate portfolio, by targeting fundamental pathways in red blood cell biology, has the potential to address a range of hematologic diseases in which modification of iron and heme plays a critical function.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 is focused on therapeutic approaches that modulate heme and iron to address diseases of heme biosynthesis and red blood cell production.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Disc’s current pipeline is focused on the following three approaches:</w:t>
      </w:r>
    </w:p>
    <w:p>
      <w:pPr>
        <w:spacing w:after="0" w:line="191" w:lineRule="exact"/>
        <w:rPr>
          <w:sz w:val="20"/>
          <w:szCs w:val="20"/>
          <w:color w:val="auto"/>
        </w:rPr>
      </w:pPr>
    </w:p>
    <w:p>
      <w:pPr>
        <w:ind w:left="560" w:right="500" w:hanging="284"/>
        <w:spacing w:after="0" w:line="270" w:lineRule="auto"/>
        <w:tabs>
          <w:tab w:leader="none" w:pos="5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Modulating the heme biosynthesis pathway, which is anticipated to be useful in diseases caused by excesses in toxic heme pathway metabolites, e.g. erythropoietic porphyrias;</w:t>
      </w:r>
    </w:p>
    <w:p>
      <w:pPr>
        <w:spacing w:after="0" w:line="173" w:lineRule="exact"/>
        <w:rPr>
          <w:rFonts w:ascii="Times New Roman" w:cs="Times New Roman" w:eastAsia="Times New Roman" w:hAnsi="Times New Roman"/>
          <w:sz w:val="16"/>
          <w:szCs w:val="16"/>
          <w:color w:val="auto"/>
        </w:rPr>
      </w:pPr>
    </w:p>
    <w:p>
      <w:pPr>
        <w:ind w:left="560" w:right="80" w:hanging="284"/>
        <w:spacing w:after="0" w:line="270" w:lineRule="auto"/>
        <w:tabs>
          <w:tab w:leader="none" w:pos="5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Decreasing iron availability, which is anticipated to lower red blood cell production in diseases of excessive red cell production, e.g. polycythemia vera.</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Additionally, Disc focuses on therapeutic mechanisms that have been validated in humans, through evidence from either human genetics or third-party clinical trials. For example, Disc’s lead program, bitopertin, which has been evaluated in over 4,000 individuals, has demonstrated suppression of heme biosynthesis in multiple clinical trials conducted by Roche. The targets of Disc’s iron homeostasis portfolio, HJV and Matriptase-2, have both been genetically validated in humans and shown to have a role in the regulation of hepcidin and iron homeostasis. For example, individuals with inherited loss of the HJV gene exhibit low levels of hepcidin and individuals with inherited loss of the Matriptase-2 gene exhibit elevated levels of hepcidin.</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By focusing on fundamental red blood cell biology that is validated in humans, Disc believes that its product candidates are more likely to exhibit well-defined biological effects in clinical trials and have the potential for broad applicability across a wide range of hematologic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Heme Biosynthesis Modulation Portfolio</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Disc’s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Heme Biosynthesis: Fundamental to Erythropoiesis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0100" cy="146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19"/>
          <w:szCs w:val="19"/>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147320</wp:posOffset>
            </wp:positionV>
            <wp:extent cx="5353050" cy="20129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353050" cy="201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Heme Biosynthesis as a Therapeutic Target for Diseases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many hematologic diseases, there is abnormal proliferation and differentiation of the progenitor cells that develop into red blood cells. An alteration in any aspect of red blood cell maturation can result in the build-up of metabolic</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Disc believes that inhibitors of heme biosynthesis have the potential to treat a wide range of hematologic diseases by restricting the production of damaging metabolites, including porphyrins, heme and globins, as shown in the figure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Dysregulated Hemoglobin Biosynthesis is a Driver of Multiple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1712595</wp:posOffset>
            </wp:positionV>
            <wp:extent cx="7150100" cy="146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146685</wp:posOffset>
            </wp:positionV>
            <wp:extent cx="5248910" cy="13347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48910" cy="133477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9"/>
          <w:szCs w:val="19"/>
          <w:i w:val="1"/>
          <w:iCs w:val="1"/>
          <w:color w:val="auto"/>
        </w:rPr>
        <w:t>Erythropoietic Porphyrias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146685</wp:posOffset>
            </wp:positionV>
            <wp:extent cx="2453005" cy="21545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53005" cy="215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16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CEP, also known as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50100" cy="146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9"/>
          <w:szCs w:val="19"/>
          <w:i w:val="1"/>
          <w:iCs w:val="1"/>
          <w:color w:val="auto"/>
        </w:rPr>
        <w:t>Current Treatment Options for Erythropoietic Porphyrias</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U.S. Food and Drug Administration, or FDA, in 2019 for the treatment of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Disc’s Solution: Bitopertin, an Oral, Selective GlyT1 Inhibitor</w:t>
      </w:r>
    </w:p>
    <w:p>
      <w:pPr>
        <w:spacing w:after="0" w:line="21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Bitopertin May Treat a Range of Hematologic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146685</wp:posOffset>
            </wp:positionV>
            <wp:extent cx="5368290" cy="1297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368290" cy="129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is initially focused on the ability of bitopertin to suppress the accumulation of PPIX, as shown below, based on preclinical data from cellular and mouse models of disease. Based on its mechanism of action, Disc believes bitopertin has the potential to be a disease-modifying treatment for EPP and XLP.</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Mechanism of Action for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1831975</wp:posOffset>
            </wp:positionV>
            <wp:extent cx="7150100" cy="146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146685</wp:posOffset>
            </wp:positionV>
            <wp:extent cx="3369945" cy="14541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9945" cy="145415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0" w:name="page321"/>
    <w:bookmarkEnd w:id="320"/>
    <w:p>
      <w:pPr>
        <w:jc w:val="both"/>
        <w:spacing w:after="0" w:line="234" w:lineRule="auto"/>
        <w:rPr>
          <w:sz w:val="20"/>
          <w:szCs w:val="20"/>
          <w:color w:val="auto"/>
        </w:rPr>
      </w:pPr>
      <w:r>
        <w:rPr>
          <w:rFonts w:ascii="Times New Roman" w:cs="Times New Roman" w:eastAsia="Times New Roman" w:hAnsi="Times New Roman"/>
          <w:sz w:val="19"/>
          <w:szCs w:val="19"/>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Bitopertin has been evaluated in an extensive clinical program focused on neurological disease conducted by Roche in over 4,000 individuals, which demonstrated the activity of bitopertin as a GlyT1 inhibitor and suppressor of heme biosynthesis. Disc has also conducted preclinical studies in cellular models of EPP and animal models of EPP and XLP, which showed that bitopertin significantly decreased PPIX by 45 and 73%, respectively, which is more than the threshold 30% reduction that has been associated with marked symptom improvement in the studies described above. In a separate study, Disc also demonstrated that bitopertin reduced liver fibrosis in an animal model of EPP. Based on the aggregate of these results, Disc has initiated a clinical program to study bitopertin in EPP and XLP. In July 2022, Disc initiated BEACON, a Phase 2 open-label, parallel-dose clinical trial of bitopertin in EPP and XLP patients that will be conducted at sites in Australia. Interim data is expected in the first half of 2023. Separately, Disc has initiated AURORA, a Phase 2, randomized, double-blind, placebo-controlled clinical trial of bitopertin in EPP patients that is being conducted at sites in the United States. In July 2022, Disc received IND clearance from the FDA and initiated AURORA in October 2022. Disc also plans to explore the potential of bitopertin to treat other hematologic diseases, and plans to submit an IND in 2023 for a study in DBA.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Clinical Data</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May 2021, Disc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those indications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This was observed in multiple clinical trials by a mild, dose-dependent decrease in heme biosynthesis, which manifested as a decrease in hemoglobin of approximately 0.5 to 2 g/dL that stabilized after approximately 16 weeks, the approximate lifespan of a red blood cell.</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9"/>
          <w:szCs w:val="19"/>
          <w:b w:val="1"/>
          <w:bCs w:val="1"/>
          <w:color w:val="auto"/>
        </w:rPr>
        <w:t>Bitopertin Inhibits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147320</wp:posOffset>
            </wp:positionV>
            <wp:extent cx="5219065" cy="19685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19065"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Preclinical Data</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PPIX is well-established as the pathologic driver in EPP and XLP, and Disc believes that the suppression of heme biosynthesis in patients with EPP and XLP will result in reduced levels of PPIX. As described above, there is clinical evidence suggesting that reduction of PPIX by greater than 30% has the potential to significantly reduce photosensitivity in EPP and potentially XLP patients. Based on this clinical evidence, Disc conducted preclinical research to validate the effects of bitopertin on PPIX levels in disease relevant cell and animal models. In Disc’s studies bitopertin reduced PPIX levels in a dose-responsive manner in human cell lines that were genetically modified to recapitulate the EPP disease state and in mice that were genetically modified to recapitulate the EPP and XLP disease states.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To create a cellular model of EPP, Disc genetically modified a human erythroleukemia cell line, K562, to introduce the mutations that cause EPP in human patients. Similar to the human disease state, the genetically modified cells exhibited a greater than 50-fold increase in PPIX levels. In the K562 model, bitopertin decreased the formation of 5-aminolevulinic acid, or 5-ALA, which is the first metabolite of the heme biosynthesis pathway, and prevented PPIX accumulation, as demonstrated by an EC50 of 3 nM to 10 nM, without significantly affecting heme levels, as shown below. EC50, or half maximal effective concentration, refers to the concentration of drug that induces a response halfway between baseline and the maximum potential response after a specified exposure time and nM refers to nanomolar, a measure of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2" w:name="page323"/>
    <w:bookmarkEnd w:id="322"/>
    <w:p>
      <w:pPr>
        <w:jc w:val="center"/>
        <w:spacing w:after="0"/>
        <w:rPr>
          <w:sz w:val="20"/>
          <w:szCs w:val="20"/>
          <w:color w:val="auto"/>
        </w:rPr>
      </w:pPr>
      <w:r>
        <w:rPr>
          <w:rFonts w:ascii="Times New Roman" w:cs="Times New Roman" w:eastAsia="Times New Roman" w:hAnsi="Times New Roman"/>
          <w:sz w:val="19"/>
          <w:szCs w:val="19"/>
          <w:b w:val="1"/>
          <w:bCs w:val="1"/>
          <w:color w:val="auto"/>
        </w:rPr>
        <w:t>Effects of Bitopertin on PPIX and Heme Levels in a Human Erythroid Cell Line Carrying EPP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13335</wp:posOffset>
            </wp:positionV>
            <wp:extent cx="4652645" cy="21545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652645" cy="215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To further assess the potential of bitopertin to reduce PPIX levels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Disc conducted studies in mice that were genetically modified with mutations similar to those that cause EPP and XLP in humans. Bitopertin was evaluated in female Fechm1Pas EPP and male Alas2Q548X/Y XLP mouse models. In both models, mice developed protoporphyria characterized by elevated red blood cell and liver PPIX levels. Fechm1Pas and Alas2Q548X mice were fed a diet containing 0 or 100 ppm of bitopertin for 8 weeks starting at 6 weeks of age, which is a dose level that is similar to a once-daily 30 mg dose of bitopertin in humans. As shown in the figures below, after 8 weeks of treatment, PPIX levels decreased in Fechm1Pas and Alas2Q548X animals receiving bitopertin with a mean reduction of 45% and 73%, respectively, compared to the control group. Changes in hemoglobin levels were limited, indicating bitopertin can potentially reduce PPIX accumulation without impacting erythropoiesis to a degree that is clinically relevant. In a separate study designed to evaluate liver pathology in a mouse model of EPP, bitopertin treatment was shown to significantly reduce liver fibrosis, demonstrating the potential for bitopertin to be disease modifying.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Effects of Bitopertin on PPIX and Hemoglobin Levels in Mouse Models of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12700</wp:posOffset>
            </wp:positionV>
            <wp:extent cx="5338445" cy="21323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338445" cy="213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Clinical Development Plan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believes that the findings from its preclinical studies and the clinical trials conducted by Roche demonstrate that bitopertin has the potential to act as a durable, and well-tolerated inhibitor of heme biosynthesis in humans. Importantly, Disc believes these studies support the potential for bitopertin to reduce PPIX to a degree that has, in third-party studies, been associated with marked symptom improvement in patients with EPP and XLP. Accordingly, Disc has initiated a clinical program to study bitopertin in EPP and XLP. In July 2022, Disc initiated BEACON, a Phase 2 open-label, parallel-dose clinical trial of bitopertin in EPP and XLP patients that is being conducted at sites in Australia. Interim data is expected in the first half of 2023. Separately, in October 2022 Disc initiated AURORA, a Phase 2, randomized, double-blind, placebo-controlled clinical trial of bitopertin in EPP patients being conducted at sites in the United States. Disc filed an IND for this study with the FDA in April 2022 and was on clinical hold until the study design was finalized with the FDA. In July 2022, Disc received IND clearance from the FDA to initiate the study. Disc also plans to explore the potential of bitopertin to treat other hematologic diseases, and plans to submit an IND in 2023 for a study in DBA.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9"/>
          <w:szCs w:val="19"/>
          <w:i w:val="1"/>
          <w:iCs w:val="1"/>
          <w:color w:val="auto"/>
        </w:rPr>
        <w:t>Planned Phase 2 Clinical Development Program in Patients with EPP and XLP</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As part of Disc’s clinical development program, Disc has initiated a clinical development program that consists of two separate Phase 2 clinical trials of bitopertin in patients with EPP and XLP.</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July 2022, Disc initiated BEACON, a Phase 2 clinical trial of bitopertin in EPP and XLP patients that is being conducted at sites in Australia. The study is a randomized, open-label, parallel-dose clinical trial designed to evaluate the safety, tolerability, and efficacy of bitopertin. It is designed to enroll approximately 20 adult patients with EPP or XLP at sites in Australia. The study will primarily assess changes in levels of PPIX as well as the pharmacokinetic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Upon completion of the 24-week treatment period, patients may continue on bitopertin for an additional 24 weeks. Disc expects to report interim data in the first half of 2023. The trial design is summarized in the figure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BEACON Trial Design: Open-Label, Phase 2 Clinical Trial of Bitopertin in Patients with EPP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 XLP (N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147320</wp:posOffset>
            </wp:positionV>
            <wp:extent cx="5442585" cy="14909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442585" cy="149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Separately, in October 2022 Disc initiated AURORA, a Phase 2, randomized, double-blind, placebo-controlled, parallel dosing trial in approximately 75 adult patients with EPP. Disc expects to enroll patients into a placebo group, a 20 mg/day dose group and a 60 mg/day dose group,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will include assessments of blood PPIX levels and patient photosensitivity. Additional study measures will include time to prodromal symptom, hepatobiliary markers, quality of life, safety and tolerability, among others. The FDA has previously approved afamelanotide for the treatment of photosensitivity in EPP patients on the basis of a clinical endpoint measuring a change in pain-free time spent in sunlight in treated patients, relative to patients treated with placebo. In July 2022, Disc received IND clearance from the FDA for the AURORA clinical trial. The proposed trial design is summarized in the figure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1816735</wp:posOffset>
            </wp:positionV>
            <wp:extent cx="7150100" cy="146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147320</wp:posOffset>
            </wp:positionV>
            <wp:extent cx="5241290" cy="14389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41290" cy="143891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9"/>
          <w:szCs w:val="19"/>
          <w:i w:val="1"/>
          <w:iCs w:val="1"/>
          <w:color w:val="auto"/>
        </w:rPr>
        <w:t>Additional Safety Data from Selected Clinical Trials Conducted by Roche</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Based on the comprehensive data package from Roche’s healthy volunteer trials, Disc anticipates that bitopertin will have an acceptable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(n=greater than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Disc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Additional Preclinical Safety Data from Studies Conducted by Roche</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There is also comprehensive nonclinical safety data for bitopertin supporting further development in the EPP and other hematologic diseases. The main targets for bitopertin toxicity in repeat-dose toxicity studies were identified as the CNS and the intended pharmacodynamic effect of altered erythropoiesis. No primary histopathological findings attributable to bitopertin were noted in any organ. The CNS-related effects following repeated treatment with bitopertin were generally mild and reversible upon cessation of treatment. The incidence, severity, and onset of the CNS-related effects were dose-dependent, and histopathology evaluation did not show any morphological lesions. The repeat-dose toxicity studies were performed in rats for up to 26 weeks and in non-human primates, or NHPs, for up to 52 weeks. Two-year carcinogenicity studies showed that bitopertin was not carcinogenic in mice or rats. In juvenile toxicity studies conducted in rats, treatment was generally well-tolerated and no effects specific to the juvenile rat were identified on development or behavior at any dose level tested.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Bitopertin in Additional Indications: Diamond-Blackfan Anemia and Macrocytic Anemias</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Disc believes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Disc anticipates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Disc expects bitopertin may be therapeutically beneficial in these related conditions. Disc is continuing to explore the potential of bitopertin in these additional indications in preclinical studies.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Iron Homeostasis Portfolio</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addition to Disc’s heme biosynthesis therapeutic approach, Disc is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Hepcidin: The Master Regulator of Iron Homeostasis</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9"/>
          <w:szCs w:val="19"/>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147320</wp:posOffset>
            </wp:positionV>
            <wp:extent cx="5211445" cy="20053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1445" cy="200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Hepcidin is a Therapeutic Target for Diseases of Iron Metabolism</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146685</wp:posOffset>
            </wp:positionV>
            <wp:extent cx="5300980" cy="16402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300980" cy="164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 believes that modulating the production of hepcidin to correct pathologic alterations in iron metabolism has the potential to be a powerful therapeutic strategy to address a wide range of diseases. Disc is leveraging two approaches that are designed to suppress or induce hepcidin production in order to increase or decrease serum iron levels, respectively. Disc’s product candidates target novel pathways whose biological functions have been validated by human genetics and are specific to iron modulation.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Hepcidin Suppression</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is developing a portfolio of product candidates designed to lower hepcidin and restore serum iron levels to address anemia of inflammatory diseases. Disc’s lead product candidate, DISC-0974, is a monoclonal antibody, which Disc in-licensed from AbbVie, that is designed to inhibit HJV, a critical target for hepcidin production. Disc selected this target because the effects of inhibiting HJV, namely decreased hepcidin and increased iron availability, have been genetically demonstrated in both animal knockout studies and in patients with juvenile hemochromatosis who lack fully functional genes encoding HJV. Disc has observed the effects of DISC-0974 on hepcidin and serum iron levels in preclinical studies, and has completed a single ascending dose Phase 1 clinical trial to evaluate these effects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9"/>
          <w:szCs w:val="19"/>
          <w:i w:val="1"/>
          <w:iCs w:val="1"/>
          <w:color w:val="auto"/>
        </w:rPr>
        <w:t>Hepcidin Induction</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Disc has also initiated a research program and generated compounds that are designed to increase hepcidin and decrease serum iron levels, an approach that has the potential to address a range of diseases where restricting iron would be beneficial, such as excessive red blood cell production in PV and diseases of iron overload. Disc’s program is focused on inhibiting Matriptase-2, a serine protease encoded by the gene </w:t>
      </w:r>
      <w:r>
        <w:rPr>
          <w:rFonts w:ascii="Times New Roman" w:cs="Times New Roman" w:eastAsia="Times New Roman" w:hAnsi="Times New Roman"/>
          <w:sz w:val="19"/>
          <w:szCs w:val="19"/>
          <w:i w:val="1"/>
          <w:iCs w:val="1"/>
          <w:color w:val="auto"/>
        </w:rPr>
        <w:t>TMPRSS6</w:t>
      </w:r>
      <w:r>
        <w:rPr>
          <w:rFonts w:ascii="Times New Roman" w:cs="Times New Roman" w:eastAsia="Times New Roman" w:hAnsi="Times New Roman"/>
          <w:sz w:val="19"/>
          <w:szCs w:val="19"/>
          <w:color w:val="auto"/>
        </w:rPr>
        <w:t xml:space="preserve"> that normally serves to limit hepcidin production. By inhibiting Matriptase-2, Disc’s compounds have the potential to enable the production of hepcidin and, in turn, restrict iron availability. Disc selected this target based on the genetic confirmation of the effects of inhibiting Matriptase-2 in both animal knockout studies and in patients with iron-refractory iron deficiency anemia who lack fully functional genes encoding Matriptase-2. Disc has generated selective small molecule inhibitors of Matriptase-2 which have demonstrated effects on hepcidin and serum iron levels in preclinical studies. Disc is in the process of identifying and optimizing a development candidate to commence IND-enabling studies.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Lead Hepcidin Suppression Program: DISC-0974 For the Treatment of Anemia of Inflammatory Diseases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is developing DISC-0974, its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Disc believes that abnormally high levels of hepcidin are an important driver of anemia associated with inflammatory diseases and that suppression of hepcidin with DISC-0974 has the potential to provide meaningful benefit in these patients. In July 2021, Disc initiated a single ascending dose Phase 1 clinical trial of DISC-0974 in healthy volunteers. Disc has completed its Phase 1 clinical trial. Data from the Phase 1 clinical trial showed evidence of target engagement and iron mobilization and erythropoiesis. Disc has initiated a Phase 1b/2 clinical trial in patients with anemia of MF in June 2022 and expects to initiate a separate Phase 1b/2 placebo controlled, multiple ascending dose clinical trial in patients with anemia associated with CKD by the end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 of Anemia Associated with Inflammatory Diseases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Anemia of Myelofibrosis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MF is a rare, chronic blood cancer that currently affects an estimated 16,000 to 18,500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0100" cy="146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9"/>
          <w:szCs w:val="19"/>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147320</wp:posOffset>
            </wp:positionV>
            <wp:extent cx="3340100" cy="22517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40100" cy="225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146685</wp:posOffset>
            </wp:positionV>
            <wp:extent cx="2557145" cy="1938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57145" cy="193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Anemia of Chronic Kidney Disease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p>
    <w:p>
      <w:pPr>
        <w:spacing w:after="0" w:line="18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 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9"/>
          <w:szCs w:val="19"/>
          <w:b w:val="1"/>
          <w:bCs w:val="1"/>
          <w:color w:val="auto"/>
        </w:rPr>
        <w:t>Hepcidin Levels Are Elevated in Patients with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147320</wp:posOffset>
            </wp:positionV>
            <wp:extent cx="2811145" cy="20053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11145" cy="200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Disc’s Solution: DISC-0974, an Anti-HJV Monoclonal Antibody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DISC-0974 is designed to be an injectable, selective monoclonal antibody targeting HJV, a co-receptor required for hepcidin expression. In multiple preclinical studies, Disc has demonstrated that DISC-0974 suppressed endogenous production of hepcidin and, as a consequence, increased serum iron levels. Based on this early confirmation of its mechanism, Disc believes DISC-0974 has the potential to treat a wide range of anemias associated with inflammatory diseases where hepcidin levels are pathologically elevated and serum iron levels for erythropoiesis are restricted. Based on data from Disc’s IND-enabling studies, Disc intends to develop DISC-0974 as a once-monthly, subcutaneous injection.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Hemojuvelin Has a Critical and Specific Role for Hepcidin Regulation and Homeostasis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Disc believes that the role of HJV is restricted to iron homeostasis and hepcidin expression, and therefore, Disc believes that targeting HJV has the potential to result in an improved risk-benefit profile as compared to targeting other members of the BMP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9" w:name="page330"/>
    <w:bookmarkEnd w:id="329"/>
    <w:p>
      <w:pPr>
        <w:jc w:val="center"/>
        <w:spacing w:after="0"/>
        <w:rPr>
          <w:sz w:val="20"/>
          <w:szCs w:val="20"/>
          <w:color w:val="auto"/>
        </w:rPr>
      </w:pPr>
      <w:r>
        <w:rPr>
          <w:rFonts w:ascii="Times New Roman" w:cs="Times New Roman" w:eastAsia="Times New Roman" w:hAnsi="Times New Roman"/>
          <w:sz w:val="19"/>
          <w:szCs w:val="19"/>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147320</wp:posOffset>
            </wp:positionV>
            <wp:extent cx="2221865" cy="22593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21865" cy="225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146685</wp:posOffset>
            </wp:positionV>
            <wp:extent cx="2400935" cy="18268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093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Disc believes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Disc believes that DISC-0974 has the potential to normalize serum iron levels and restore the production of red blood cells, thereby addressing a key underlying driver of anemia of inflammatory diseases.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Preclinical Data</w:t>
      </w:r>
    </w:p>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In multiple preclinical studies conducted by Disc and AbbVie, DISC-0974 was observed to be a selective inhibitor of HJV and administration of DISC-0974 resulted in significantly decreased hepcidin production and increased serum iron levels, providing preclinical proof-of-mechanism.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DISC-0974 Decreased Hepcidin Expression and Increased Iron in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0" w:name="page331"/>
    <w:bookmarkEnd w:id="330"/>
    <w:p>
      <w:pPr>
        <w:jc w:val="both"/>
        <w:spacing w:after="0" w:line="239" w:lineRule="auto"/>
        <w:rPr>
          <w:sz w:val="20"/>
          <w:szCs w:val="20"/>
          <w:color w:val="auto"/>
        </w:rPr>
      </w:pPr>
      <w:r>
        <w:rPr>
          <w:rFonts w:ascii="Times New Roman" w:cs="Times New Roman" w:eastAsia="Times New Roman" w:hAnsi="Times New Roman"/>
          <w:sz w:val="19"/>
          <w:szCs w:val="19"/>
          <w:color w:val="auto"/>
        </w:rPr>
        <w:t>In multiple preclinical studies, Disc has established the pharmacology of DISC-0974. These studies demonstrated that inhibition of HJV resulted in suppression of hepcidin and increased serum iron levels and other measures of iron. The figure below is representative of the PK / PD effects of DISC-0974. In this experiment, a single, 5 mg/kg dose of DISC-0974 (serum concentration represented in blue) resulted in a rapid decrease of hepcidin levels (in gray) and an increase in serum iron levels (in red). As serum levels of DISC-0974 decreased over time, these effects were reversed and hepcidin levels increased and serum levels decreased.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 Single Dose of DISC-0974 in an NHP Reduced Hepcidin Levels and Increased Serum Iron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146685</wp:posOffset>
            </wp:positionV>
            <wp:extent cx="2900045" cy="18268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0004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These effects were observed to be robust, dose-dependent, and consistent across several studies in both normal animals and models of inflammation. The three panels below show data from a multiple dose study conducted in NHPs. Animals were given vehicle (0 mg/kg; purple dashes) or 0.6 mg/kg (blue lines), 3 mg/kg (red lines) or 60 mg/kg (black lines) of DISC-0974 in three subcutaneous injections, administered once every 14 days. DISC-0974 treatment resulted in dose-dependent decreases in hepcidin (middle panel) and dose-dependent increases in transferrin saturation (TSAT percentage) (right panel). Notably, transferrin saturation levels reached a maximum theoretical level (100%) at dose levels of 3 mg/kg and greater, demonstrating that DISC-0974 is an agent for controlling iron homeostasis.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Repeat Doses of DISC-0974 in NHPs Reduced Hepcidin Levels and Increased Serum Iron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 has also evaluated the pharmacology of DISC-0974 in various animal models of anemia and inflammation, where hepcidin levels are significantly elevated. These studies included models utilizing different stimuli of inflammation, such as cytokines, peptidoglycan-polysaccharides, or heat-killed bacteria, as well as a genetic model of hepcidin elevation. Across these different settings, Disc observed that inhibition of HJV with DISC-0974 provided suppression of hepcidin and normalization of iron levels.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 xml:space="preserve">In a mouse model of inflammation, animals were injected with either saline (S) or the heat-killed bacteria </w:t>
      </w:r>
      <w:r>
        <w:rPr>
          <w:rFonts w:ascii="Times New Roman" w:cs="Times New Roman" w:eastAsia="Times New Roman" w:hAnsi="Times New Roman"/>
          <w:sz w:val="19"/>
          <w:szCs w:val="19"/>
          <w:i w:val="1"/>
          <w:iCs w:val="1"/>
          <w:color w:val="auto"/>
        </w:rPr>
        <w:t>Brucella abortus</w:t>
      </w:r>
      <w:r>
        <w:rPr>
          <w:rFonts w:ascii="Times New Roman" w:cs="Times New Roman" w:eastAsia="Times New Roman" w:hAnsi="Times New Roman"/>
          <w:sz w:val="19"/>
          <w:szCs w:val="19"/>
          <w:color w:val="auto"/>
        </w:rPr>
        <w:t xml:space="preserve"> (HKBA) to provoke an inflammatory response and induce hepcidin expression. Animals were treated with either an active control antibody (hIgG) or an anti-HJV antibody (an earlier version of DISC-0974 called 5F9-AM8). As shown below, a rapid induction of hepcidin expression was observed in response to the inflammatory stimulus in animals receiving HKBA, as measured by liver Hamp mRNA levels. Administration of 5F9-AM8 inhibited the inflammatory induction of hepcidin, and these animals expressed hepcidin at near normal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1" w:name="page332"/>
    <w:bookmarkEnd w:id="331"/>
    <w:p>
      <w:pPr>
        <w:jc w:val="center"/>
        <w:spacing w:after="0"/>
        <w:rPr>
          <w:sz w:val="20"/>
          <w:szCs w:val="20"/>
          <w:color w:val="auto"/>
        </w:rPr>
      </w:pPr>
      <w:r>
        <w:rPr>
          <w:rFonts w:ascii="Times New Roman" w:cs="Times New Roman" w:eastAsia="Times New Roman" w:hAnsi="Times New Roman"/>
          <w:sz w:val="19"/>
          <w:szCs w:val="19"/>
          <w:b w:val="1"/>
          <w:bCs w:val="1"/>
          <w:color w:val="auto"/>
        </w:rPr>
        <w:t>Anti-HJV Antibody Suppressed Hepcidin in a Mouse Model of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147320</wp:posOffset>
            </wp:positionV>
            <wp:extent cx="2736215" cy="26689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736215" cy="266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To assess the effect of HJV inhibition in a primate setting, Disc established a model of inflammation-induced iron restriction by administering interleukin-6, or IL-6, to NHPs. IL-6 is a key driver of anemia across multiple inflammatory diseases, including CKD, MF, inflammatory bowed disease, and rheumatoid arthritis, among others. Disc observed that administration of IL-6 on day 1 and day 10 resulted in rapid induction of hepcidin and a corresponding suppression of iron, as shown below in gray. However, when the animals were treated with a single dose of DISC-0974 on day 4 in between the IL-6 administrations, this effect was reversed, as shown in blue and red below. Disc studied both low (0.6 mg/kg) and high (6 mg/kg) doses of DISC-0974 and observed that the effects on hepcidin suppression and increasing serum iron levels were dose-dependent.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DISC-0974 Reduced Hepcidin and Increased Serum Iron Levels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12700</wp:posOffset>
            </wp:positionV>
            <wp:extent cx="5293360" cy="18935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93360"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also assessed the potential for DISC-0974 to treat anemia in an established rodent model of chronic kidney disease. In this study, rats were fed either a 0.75% adenine diet, which induced kidney damage and mimicked human CKD or a control diet, and received treatment with either DISC-0974 or vehicle. Disc observed that treatment with DISC-0974 significantly suppressed hepcidin, increased serum iron, and increased hemoglobin levels by +1.7 g/dL compared to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9"/>
          <w:szCs w:val="19"/>
          <w:b w:val="1"/>
          <w:bCs w:val="1"/>
          <w:color w:val="auto"/>
        </w:rPr>
        <w:t>DISC-0974 Reduced Hepcidin, Increased Serum Iron and Increased Hemoglobin Levels in a Rodent Model of CKD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147320</wp:posOffset>
            </wp:positionV>
            <wp:extent cx="5256530" cy="18789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56530" cy="187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Phase 1 Clinical Trial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July 2021, Disc initiated a first-in-human, Phase 1, single ascending dose, randomized, double-blind, placebo-controlled clinical trial of DISC-0974 in healthy volunteers to evaluate safety, tolerability, pharmacokinetics, and pharmacodynamic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146685</wp:posOffset>
            </wp:positionV>
            <wp:extent cx="5300980" cy="20129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300980" cy="201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Disc has completed this Phase 1 clinical trial. Data from the Phase 1 clinical trial showed evidence of target engagement and iron mobilization and erythropoiesis. Additional data is discussed below.</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19"/>
          <w:szCs w:val="19"/>
          <w:b w:val="1"/>
          <w:bCs w:val="1"/>
          <w:color w:val="auto"/>
        </w:rPr>
        <w:t>DISC-0974 Phase 1 SAD Study in Healthy Volunteers: Effects on Hepcidin and Transferrin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147320</wp:posOffset>
            </wp:positionV>
            <wp:extent cx="5219065" cy="19685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9065"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Notably, at the 56 mg SC dose level, a single administration of DISC-0974 resulted in a statistically significant improvement in hemoglobin compared to placebo (+1.1 g/dL, p=0.009) at Day 42 and a marked increase in red blood cell count.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DISC-0974 Phase 1 SAD Study in Healthy Volunteers: Single 56 mg SC Dose Increases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146685</wp:posOffset>
            </wp:positionV>
            <wp:extent cx="5346065" cy="19907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346065" cy="199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European Hematology Association (EHA) Congress in June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Planned Phase 1b / 2 Clinical Development Program in Anemia of Inflammation</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Based on these findings, Disc plans to initiate multiple Phase 1b/2 clinical trials of DISC-0974 in patients with anemia of different inflammatory diseases. This includes a Phase 1b/2 clinical trial of DISC-0974 in patients with anemia of MF, which was initiated in June 2022, and a separate Phase 1b/2 clinical trial of DISC-0974 in patients with anemia of CKD, which Disc expects to initiate by the end of 2022. Disc expects to report interim data from both of these studies in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Phase 1b/2 Clinical Trial in Myelofibrosis Patients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June 2022, Disc initiated an open-label, multi-center, Phase 1b/2 trial to evaluate the safety, tolerability, and efficacy of DISC-0974 in myelofibrosis patients with anemia.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Janus Kinase (JAK) inhibitors. The study will be conducted in two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4" w:name="page335"/>
    <w:bookmarkEnd w:id="334"/>
    <w:p>
      <w:pPr>
        <w:ind w:left="560" w:right="40" w:hanging="284"/>
        <w:spacing w:after="0" w:line="270" w:lineRule="auto"/>
        <w:tabs>
          <w:tab w:leader="none" w:pos="56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1b (Dose-Escalation): Ascending, monthly doses of DISC-0974 administered for six months to MF patients with anemia, (Hb levels &lt; 10 g/dL,), where a dose level will be selected based on optimal increases in hemoglobin and serum iron;</w:t>
      </w:r>
    </w:p>
    <w:p>
      <w:pPr>
        <w:spacing w:after="0" w:line="173" w:lineRule="exact"/>
        <w:rPr>
          <w:rFonts w:ascii="Times New Roman" w:cs="Times New Roman" w:eastAsia="Times New Roman" w:hAnsi="Times New Roman"/>
          <w:sz w:val="16"/>
          <w:szCs w:val="16"/>
          <w:color w:val="auto"/>
        </w:rPr>
      </w:pPr>
    </w:p>
    <w:p>
      <w:pPr>
        <w:ind w:left="560" w:right="300" w:hanging="284"/>
        <w:spacing w:after="0" w:line="257" w:lineRule="auto"/>
        <w:tabs>
          <w:tab w:leader="none" w:pos="56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2 (Expansion Stage): Multiple, doses of DISC-0974 administered once-a-month at the dose level selected from the Phase 1b portion of the study to MF patients with anemia who are transfusion dependent (TD) according to International Working Group-Myeloproliferative Neoplasms Research and Treatment, or IWG-MRT, criteria, defined as receiving &gt;6 units of RBC in a 12-week period.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Phase 1b/2 Open-Label, Clinical Trial of DISC-0974 in Myelofibrosis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146685</wp:posOffset>
            </wp:positionV>
            <wp:extent cx="4674870" cy="18567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674870" cy="185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Phase 1b/2 Clinical Trial in Patients with Non-Dialysis Dependent Chronic Kidney Disease (NDD-CKD)</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Disc plans to initiate a Phase 1b/2 clinical trial to evaluate the safety, tolerability and efficacy of DISC-0974 in patients with CKD who are not receiving dialysis and are anemic. In January 2022, Disc had pre-IND interactions with the non-malignant hematology division of the FDA and is currently finalizing a study protocol and preparing an IND submission to the FDA by the end of 2022 and expects to initiate the Phase 1b/2 clinical trial by the end of 2022. The study will consist of two parts, including: a Phase 1b, randomized, placebo-controlled, single-ascending dose stage, where a dose level will be selected based on optimal increases in serum iron; followed by a Phase 2, open-label, expansion stage where patients will receive multiple doses of DISC-0974 at the selected dose level. The study endpoints will include hepcidin levels, serum iron and markers of iron mobilization and measures of anemia benefit such as hemoglobin.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Phase 1b/2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146685</wp:posOffset>
            </wp:positionV>
            <wp:extent cx="4958080" cy="13944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958080"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Second Hepcidin Suppression Program: DISC-0998</w:t>
      </w:r>
    </w:p>
    <w:p>
      <w:pPr>
        <w:spacing w:after="0" w:line="2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 is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pharmacokinetic, or PK, and pharmacodynamic, or PD, properties.</w:t>
      </w:r>
    </w:p>
    <w:p>
      <w:pPr>
        <w:spacing w:after="0" w:line="17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 confirmed in humans, it would suggest the potential for an infrequent dosing regimen (such as potentially once every 2 or 3 months). Disc expects that such a dosing regimen would be perceived as convenient by patients and promote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9"/>
          <w:szCs w:val="19"/>
          <w:b w:val="1"/>
          <w:bCs w:val="1"/>
          <w:color w:val="auto"/>
        </w:rPr>
        <w:t>DISC-0998 Dose Response PK / PD Study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147320</wp:posOffset>
            </wp:positionV>
            <wp:extent cx="4115435" cy="22517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15435" cy="225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Disc’s Hepcidin Induction Program</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Through Disc’s internal discovery and development efforts, Disc is focused on identifying product candidates designed to increase hepcidin levels and decrease serum iron levels to address a range of diseases where restricting iron would be beneficial, such as erythrocytosis of PV and diseases of iron overload, including HH, beta-thalassemia, and MDS. Disc has generated compounds that inhibit Matriptase-2, a serine protease encoded by the gene </w:t>
      </w:r>
      <w:r>
        <w:rPr>
          <w:rFonts w:ascii="Times New Roman" w:cs="Times New Roman" w:eastAsia="Times New Roman" w:hAnsi="Times New Roman"/>
          <w:sz w:val="19"/>
          <w:szCs w:val="19"/>
          <w:i w:val="1"/>
          <w:iCs w:val="1"/>
          <w:color w:val="auto"/>
        </w:rPr>
        <w:t>TMPRSS6</w:t>
      </w:r>
      <w:r>
        <w:rPr>
          <w:rFonts w:ascii="Times New Roman" w:cs="Times New Roman" w:eastAsia="Times New Roman" w:hAnsi="Times New Roman"/>
          <w:sz w:val="19"/>
          <w:szCs w:val="19"/>
          <w:color w:val="auto"/>
        </w:rPr>
        <w:t>. Matriptase-2 proteolytically degrades HJV in liver cells, as shown below. Inhibitors of Matriptase-2 are expected to increase HJV levels and thereby increase the expression of hepcidin. By inhibiting Matriptase-2, Disc’s compounds are designed to increase hepcidin production and, in turn, restrict iron availability. Disc selected Matriptase-2 as its target because the effects of reducing Matriptase-2 levels have been genetically confirmed in both animal knockout studies and in patients with iron-refractory iron deficiency anemia who lack fully functional genes encoding Matriptase-2. Disc has generated selective small molecule inhibitors of Matriptase-2 that have demonstrated effects on hepcidin and serum iron levels in preclinical studies, and Disc is currently in the process of identifying and optimizing a development candidate to advance into IND-enabling studies.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Matriptase-2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50100" cy="25723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0100" cy="257238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6" w:name="page337"/>
    <w:bookmarkEnd w:id="336"/>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Polycythemia Vera</w:t>
      </w:r>
    </w:p>
    <w:p>
      <w:pPr>
        <w:spacing w:after="0" w:line="209" w:lineRule="exact"/>
        <w:rPr>
          <w:sz w:val="20"/>
          <w:szCs w:val="20"/>
          <w:color w:val="auto"/>
        </w:rPr>
      </w:pPr>
    </w:p>
    <w:p>
      <w:pPr>
        <w:jc w:val="both"/>
        <w:ind w:left="6" w:right="20"/>
        <w:spacing w:after="0" w:line="238" w:lineRule="auto"/>
        <w:rPr>
          <w:sz w:val="20"/>
          <w:szCs w:val="20"/>
          <w:color w:val="auto"/>
        </w:rPr>
      </w:pPr>
      <w:r>
        <w:rPr>
          <w:rFonts w:ascii="Times New Roman" w:cs="Times New Roman" w:eastAsia="Times New Roman" w:hAnsi="Times New Roman"/>
          <w:sz w:val="19"/>
          <w:szCs w:val="19"/>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180"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Current management of PV centers around depleting the number of red blood cells to maintain a patient’s hematocrit (a measure of red blood cell mass) below 45%, the target threshold recommended by the National Comprehensive Cancer Network (NCCN)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Disc believes would be beneficial for both low and high-risk patients.</w:t>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Hereditary Hemochromatosis</w:t>
      </w:r>
    </w:p>
    <w:p>
      <w:pPr>
        <w:spacing w:after="0" w:line="210" w:lineRule="exact"/>
        <w:rPr>
          <w:sz w:val="20"/>
          <w:szCs w:val="20"/>
          <w:color w:val="auto"/>
        </w:rPr>
      </w:pPr>
    </w:p>
    <w:p>
      <w:pPr>
        <w:jc w:val="both"/>
        <w:ind w:left="6" w:hanging="6"/>
        <w:spacing w:after="0" w:line="239" w:lineRule="auto"/>
        <w:tabs>
          <w:tab w:leader="none" w:pos="350"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Caucasians, affecting millions worldwide, including over 1 million individuals in the United States alone.</w:t>
      </w:r>
    </w:p>
    <w:p>
      <w:pPr>
        <w:spacing w:after="0" w:line="180"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9"/>
          <w:szCs w:val="19"/>
          <w:color w:val="auto"/>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p>
    <w:p>
      <w:pPr>
        <w:spacing w:after="0" w:line="17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Other Iron Overload Disorders: Beta-Thalassemia and Myelodysplastic Syndromes</w:t>
      </w:r>
    </w:p>
    <w:p>
      <w:pPr>
        <w:spacing w:after="0" w:line="210" w:lineRule="exact"/>
        <w:rPr>
          <w:sz w:val="20"/>
          <w:szCs w:val="20"/>
          <w:color w:val="auto"/>
        </w:rPr>
      </w:pPr>
    </w:p>
    <w:p>
      <w:pPr>
        <w:jc w:val="both"/>
        <w:ind w:left="6" w:right="20"/>
        <w:spacing w:after="0" w:line="241" w:lineRule="auto"/>
        <w:rPr>
          <w:sz w:val="20"/>
          <w:szCs w:val="20"/>
          <w:color w:val="auto"/>
        </w:rPr>
      </w:pPr>
      <w:r>
        <w:rPr>
          <w:rFonts w:ascii="Times New Roman" w:cs="Times New Roman" w:eastAsia="Times New Roman" w:hAnsi="Times New Roman"/>
          <w:sz w:val="19"/>
          <w:szCs w:val="19"/>
          <w:color w:val="auto"/>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 increases in iron and, ultimately, accumulation of toxic iron levels in organs such as the heart, liver, and kidneys, as well as in the bone marrow, which exacerbates anemia.</w:t>
      </w:r>
    </w:p>
    <w:p>
      <w:pPr>
        <w:spacing w:after="0" w:line="179"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p>
    <w:p>
      <w:pPr>
        <w:spacing w:after="0" w:line="183"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Based on these response rates, many patients do not respond and would benefit from an alternative treatment. Lentiglobin, marketed as Zynteglo, is a gene therapy that was approved by the FDA and EMA for the treatment of a subset of patients with beta-thalassemia requiring RBC transfusions, but uptake has been limited. Patients with more advanced forms of MDS may receive additional therapies such as lenalidomide, demethylating agents such as 5-azacitidine and decitabine, and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7150100" cy="146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1" w:right="31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9"/>
          <w:szCs w:val="19"/>
          <w:b w:val="1"/>
          <w:bCs w:val="1"/>
          <w:i w:val="1"/>
          <w:iCs w:val="1"/>
          <w:color w:val="auto"/>
        </w:rPr>
        <w:t>Disc’s Solution: Matriptase-2 Inhibitor Program</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Disc has initiated a research program to develop an oral, small molecule inhibitor of Matriptase-2, a serine protease encoded by the gene </w:t>
      </w:r>
      <w:r>
        <w:rPr>
          <w:rFonts w:ascii="Times New Roman" w:cs="Times New Roman" w:eastAsia="Times New Roman" w:hAnsi="Times New Roman"/>
          <w:sz w:val="19"/>
          <w:szCs w:val="19"/>
          <w:i w:val="1"/>
          <w:iCs w:val="1"/>
          <w:color w:val="auto"/>
        </w:rPr>
        <w:t>TMPRSS6</w:t>
      </w:r>
      <w:r>
        <w:rPr>
          <w:rFonts w:ascii="Times New Roman" w:cs="Times New Roman" w:eastAsia="Times New Roman" w:hAnsi="Times New Roman"/>
          <w:sz w:val="19"/>
          <w:szCs w:val="19"/>
          <w:color w:val="auto"/>
        </w:rPr>
        <w:t xml:space="preserve"> that selectively degrades HJV, a receptor required for hepcidin expression. Matriptase-2 plays a critical and specific function in iron metabolism by limiting the production of hepcidin. By inhibiting Matriptase-2, Disc’s program is designed to increase the endogenous production of hepcidin to therapeutically reduce serum iron levels. This mechanism has been validated by human genetics, where patients with mutations in </w:t>
      </w:r>
      <w:r>
        <w:rPr>
          <w:rFonts w:ascii="Times New Roman" w:cs="Times New Roman" w:eastAsia="Times New Roman" w:hAnsi="Times New Roman"/>
          <w:sz w:val="19"/>
          <w:szCs w:val="19"/>
          <w:i w:val="1"/>
          <w:iCs w:val="1"/>
          <w:color w:val="auto"/>
        </w:rPr>
        <w:t>TMPRSS6</w:t>
      </w:r>
      <w:r>
        <w:rPr>
          <w:rFonts w:ascii="Times New Roman" w:cs="Times New Roman" w:eastAsia="Times New Roman" w:hAnsi="Times New Roman"/>
          <w:sz w:val="19"/>
          <w:szCs w:val="19"/>
          <w:color w:val="auto"/>
        </w:rPr>
        <w:t xml:space="preserve">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Disc is initially focused on developing its Matriptase-2 program as a potential treatment for PV, diseases of iron overload, and other conditions where restriction of iron would have therapeutic benefit.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Preclinical Data</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Disc believes that its preclinical studies have demonstrated proof-of-mechanism that Matriptase-2 inhibition with a small molecule protease inhibitor has the potential to induce hepcidin expression and consequently restrict iron availability. Specifically, in Disc’s studies, Disc has:</w:t>
      </w:r>
    </w:p>
    <w:p>
      <w:pPr>
        <w:spacing w:after="0" w:line="169" w:lineRule="exact"/>
        <w:rPr>
          <w:sz w:val="20"/>
          <w:szCs w:val="20"/>
          <w:color w:val="auto"/>
        </w:rPr>
      </w:pPr>
    </w:p>
    <w:p>
      <w:pPr>
        <w:ind w:left="560" w:hanging="284"/>
        <w:spacing w:after="0"/>
        <w:tabs>
          <w:tab w:leader="none" w:pos="56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identified a library of selective compounds that have been shown to inhibit Matriptase-2;</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demonstrated dose-dependent induction of endogenous hepcidin production in rodent and NHP studies;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demonstrated consequent reduction in serum iron levels and TSAT in rodent and NHP studies.</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preclinical studies conducted in rats with low hepcidin, treatment with a single, subcutaneously administered dose of one of Disc’s preclinical Matriptase-2 inhibitor compounds resulted in increased hepcidin and decreased TSAT, a marker of serum iron levels. In this study, animals were fed a low iron diet and pre-treated with EPO to suppress endogenous hepcidin levels prior to administration of either a Matriptase-2 inhibitor (60 mg/kg dose, blue circles) or saline (red squares). Animals unchallenged with EPO are shown as black triangles. Disc observed that treatment with this Matriptase-2 inhibitor reduced soluble HJV, induced hepcidin expression by greater than 10-fold, and demonstrated a consequent pharmacodynamic effect of an approximately 50% reduction in TSAT, as shown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Treatment with a Matriptase-2 Inhibitor Reduced sHJV, Induced Hepcidin, and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Reduced Serum Iron Levels in Rats with Low Hepcidin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146685</wp:posOffset>
            </wp:positionV>
            <wp:extent cx="4898390" cy="17595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898390" cy="175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observed similar results in a study in normal NHPs that were treated with a single, subcutaneous dose of one of Disc’s preclinical Matriptase-2 inhibitors. At doses ranging from 5 mg/kg to 50 mg/kg, dose-dependent increases in hepcidin were observed along with associated dose-dependent decreases in serum iron levels, as shown below. In addition, over the course of 48 hours, a 50 mg/kg dose of this Matriptase-2 inhibitor reduced TSAT by approximately 50%, as shown on the right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9"/>
          <w:szCs w:val="19"/>
          <w:b w:val="1"/>
          <w:bCs w:val="1"/>
          <w:color w:val="auto"/>
        </w:rPr>
        <w:t>Treatment with a Matriptase-2 Inhibitor Induced Hepcidin and Decreased Serum Iron Levels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147320</wp:posOffset>
            </wp:positionV>
            <wp:extent cx="4659630" cy="16776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659630"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Next Steps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believes its preclinical studies have demonstrated that a small molecule inhibitor of Matriptase-2 has the potential to increase hepcidin levels sufficiently to reduce iron availability in a variety of animal models. Disc is continuing discovery efforts to optimize lead candidates to generate and select an orally bioavailable product candidate for advancement into IND-enabling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does not own or operate, and currently has no plans to establish, any manufacturing facilities. Disc relies on, and expects to continue to rely on for the foreseeable future, third-party contract development and manufacturing organizations, or CDMOs, to produce its product candidates and preclinical materials, including bitopertin, DISC-0974, DISC-0998, and any candidates arising from Disc’s Matriptase-2 inhibitor program, for preclinical and clinical use. Disc plans to continue to rely on third-party CDMOs for any future trials as well as for the commercial manufacture of its product candidates and preclinical materials, if approved. In addition, Disc contracts with additional CDMOs to package, label, and distribute drug product for preclinical and clinical use.</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Manufacturing biologics is complex, especially in large quantities. Biologic products must be made consistently and in compliance with a clearly defined manufacturing process. Disc requires that its CDMOs produce bulk drug substances and finished drug products in accordance with current Good Manufacturing Practices, or cGMPs, and all other applicable laws and regulations. Disc has assembled a team of experienced employees and external consultants to provide the required technical, quality, and regulatory oversight of Disc’s CDMOs and has implemented a comprehensive plan for regular audits of its CDMOs. Disc maintains agreements with its manufacturers that include confidentiality and intellectual property provisions to protect its proprietary rights related to its product candidates.</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Disc obtains supplies of its product candidates from single-source CDMOs on a purchase order basis and does not currently have any long-term supply arrangements in place. While any reduction or halt in supply of Disc’s product candidates from these CDMOs could limit Disc’s ability to develop its product candidates until Disc finds a qualified replacement CDMO, Disc has procured or is in the process of procuring sufficient supply to support its planned Phase 2 trials for bitopertin and DISC-0974. In addition, Disc believes that it can identify and establish additional CDMOs to provide API and finished drug product without significant disruption to its business or clinical development timelines. As Disc’s pipeline programs expand and Disc builds new process efficiencies, Disc expects to continually evaluate this strategy with the objective of satisfying demand for registration trials and, if approved, the manufacture, sale, and distribution of commercial products.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 commercial-scale production process has been designed for bitopertin, including a four-step chemical synthesis and an optimized oral formulation. The API has been shown to be highly stable for at least 5 years, and Disc has access to substantial drug substance supplies of bitopertin manufactured and stored by Roche under GMP conditions. To support its Phase 2 clinical trials, Disc has requalified, including establishing a shelf-life that would enable its use in clinical trials, Roche-manufactured drug substance and formulating it as film-coated tablets. To support pivotal clinical trials and commercial launch, if approved, Disc is establishing the manufacturing process at a CDMO.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biotechnology and pharmaceutical industries are characterized by rapidly advancing technologies, intense competition, and a strong emphasis on intellectual property. While Disc believes that its product candidates, preclinical programs, scientific capabilities, know-how, and experience provide Disc with competitive advantages, Disc competes in a highly competitive industry and faces significant competition from many sources, including pharmaceutical and biotechnology companies, as well as academic institutions, governmental agencies, and private and public research institutions worldwide. Many of Disc’s competitors, either alone or through collaborations, have significantly greater financial resources and expertise in research and development, manufacturing, preclinical testing, conducting clinical trials, obtaining regulatory approvals, and marketing approved products than Disc does. Mergers and acquisitions in the pharmaceutical and biotechnology industries may result in even more resources being concentrated among a smaller number of Disc’s competitors. Smaller or early-stage companies may also prove to be significant competitors, particularly through collaborative arrangements with large and established companies. These companies also compete with Disc in recruiting and retaining qualified scientific and management personnel, establishing clinical trial sites, and recruiting patients in clinical trials, as well as in acquiring technologies complementary to, or necessary for, Disc’s programs. As a result, Disc’s competitors may discover, develop, license, or commercialize products before or more successfully than Disc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9" w:name="page340"/>
    <w:bookmarkEnd w:id="339"/>
    <w:p>
      <w:pPr>
        <w:jc w:val="both"/>
        <w:spacing w:after="0" w:line="238" w:lineRule="auto"/>
        <w:rPr>
          <w:sz w:val="20"/>
          <w:szCs w:val="20"/>
          <w:color w:val="auto"/>
        </w:rPr>
      </w:pPr>
      <w:r>
        <w:rPr>
          <w:rFonts w:ascii="Times New Roman" w:cs="Times New Roman" w:eastAsia="Times New Roman" w:hAnsi="Times New Roman"/>
          <w:sz w:val="19"/>
          <w:szCs w:val="19"/>
          <w:color w:val="auto"/>
        </w:rPr>
        <w:t>Disc faces competition more specifically from companies that discover, develop, and market therapies for the treatment of hematologic diseases, including a group of diseases called porphyrias and anemia associated with inflammatory diseases. There are many other companies, including large biotechnology and pharmaceutical companies, that have commercialized or are developing therapies for the same diseases that Disc is targeting with its product candidates. These companies include, but are not limited to, Akebia Therapeutics, Inc., Amgen, Inc., Astellas Pharma, Inc., Bristol-Myers Squibb Company, FibroGen, Inc., GlaxoSmithKline, plc, Incyte Corporation, Ionis Pharmaceuticals, Inc., Keros Therapeutics, Inc., Merck &amp; Co., Inc., Otsuka Pharmaceutical Co., Ltd. and Vifor Pharma AG, among others.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is developing bitopertin, its lead product candidate in its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and dersimelagon, an oral therapy in Phase 3 development by Mitsubishi Tanabe Pharma Corporation.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Bitopertin is a selective inhibitor of GlyT1 that Disc is developing to treat porphyrias and hematologic diseases. GlyT1 inhibition has been pursued in the past as an approach to treat schizophrenia. Disc is aware that Boehringer Ingelheim is conducting a Phase 3 clinical study of BI 425809, a GlyT1 inhibitor, for the improvement of cognition in patients with schizophrenia. Other companies have also had research programs designed to inhibit GlyT1 as a treatment for schizophrenia, but to Disc’s knowledge, all of these have been discontinued at various stages of development. These include PF-03463275 (Pfizer Inc.), LY2365109 (Eli Lilly and Company), ORG25935 (Organon &amp; Co.), ALX5407 (NPS Pharmaceuticals, Inc., now Shire plc), ASP2535 (Astellas Pharma Inc.) and others. Disc believes bitopertin has an optimal profile for development as a potential treatment for EP. However, Disc recognizes that other companies may choose to develop a novel GlyT1 inhibitor or repurpose an existing one; if successfully developed as a treatment for EP, such a program would be a potential competitor to bitopertin.</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is also developing DISC-0974, its lead program in its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Phase 3 trial by Bristol-Myers Squibb, and KER-050, which is in a Phase 2 trial by Keros, Inc. In addition, multiple ALK2 inhibitors, which work by a hepcidin-lowering mechanism similar to, but less specific than that of DISC-0974, are in Phase 1/2 development, including KER-047 by Keros, Inc. and INCB00928 by Incyte Corporation. Sierra Oncology, Inc. (recently acquired by GlaxoSmithKline) is developing a JAK2 kinase inhibitor, momelotinib, which has completed a Phase 3 trial and has an NDA under review by the FDA.</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For the treatment of anemia of CKD, there are several therapies approved or in clinical development, including, but not limited to, ESAs, oral hypoxia inducible factor-prolyl hydroxylase inhibitors, or HIF-PHIs, which are approved in ex-U.S. territories but not in the U.S., and various forms of intravenous iron. Disc is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Disc’s ability to compete.</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Disc’s research program to identify orally bioavailable inhibitors of Matriptase-2 is designed to induce hepcidin production. There are several therapies in development that are also designed to increase hepcidin production or mimic hepcidin activity, such as hepcidin mimetics, </w:t>
      </w:r>
      <w:r>
        <w:rPr>
          <w:rFonts w:ascii="Times New Roman" w:cs="Times New Roman" w:eastAsia="Times New Roman" w:hAnsi="Times New Roman"/>
          <w:sz w:val="19"/>
          <w:szCs w:val="19"/>
          <w:i w:val="1"/>
          <w:iCs w:val="1"/>
          <w:color w:val="auto"/>
        </w:rPr>
        <w:t>TMPRSS6</w:t>
      </w:r>
      <w:r>
        <w:rPr>
          <w:rFonts w:ascii="Times New Roman" w:cs="Times New Roman" w:eastAsia="Times New Roman" w:hAnsi="Times New Roman"/>
          <w:sz w:val="19"/>
          <w:szCs w:val="19"/>
          <w:color w:val="auto"/>
        </w:rPr>
        <w:t xml:space="preserve"> inhibitors, and ferroportin inhibitors. These are in various stages of development by companies, including Silence Therapeutics plc, Ionis Pharmaceuticals, Inc., Rallybio, Protagonist Therapeutics, Inc., and CSL Vifor, among others. Disc may also face competition from therapies that are currently marketed or in development that affect pathways unrelated to hepcidin, including growth and differentiation factor-based therapies, cytoreductive therapies, and chemotherapeutic agents, among others.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could see a reduction or elimination of its commercial opportunity if its competitors develop and commercialize products that are safer, more effective, have fewer or less severe side effects, are more convenient to administer, are less expensive, or receive a more favorable label than any products that Disc may develop. Disc’s competitors also may obtain FDA or other regulatory approval for their products more rapidly than Disc may obtain approval for its products, which could result in Disc’s competitors establishing a strong market position before Disc is able to enter the market. The key competitive factors affecting the success of all of Disc’s product candidates, if approved, are likely to be their efficacy, safety, convenience, price, the level of generic competition, and the availability of reimbursement from government and other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0" w:name="page341"/>
    <w:bookmarkEnd w:id="340"/>
    <w:p>
      <w:pPr>
        <w:ind w:left="6"/>
        <w:spacing w:after="0"/>
        <w:rPr>
          <w:sz w:val="20"/>
          <w:szCs w:val="20"/>
          <w:color w:val="auto"/>
        </w:rPr>
      </w:pPr>
      <w:r>
        <w:rPr>
          <w:rFonts w:ascii="Times New Roman" w:cs="Times New Roman" w:eastAsia="Times New Roman" w:hAnsi="Times New Roman"/>
          <w:sz w:val="19"/>
          <w:szCs w:val="19"/>
          <w:b w:val="1"/>
          <w:bCs w:val="1"/>
          <w:color w:val="auto"/>
        </w:rPr>
        <w:t>Collaborations and License Agreement</w:t>
      </w:r>
    </w:p>
    <w:p>
      <w:pPr>
        <w:spacing w:after="0" w:line="2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2019 Exclusive License Agreement with AbbVie Deutschland GmbH &amp; Co. KG</w:t>
      </w:r>
    </w:p>
    <w:p>
      <w:pPr>
        <w:spacing w:after="0" w:line="210"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In September 2019, Disc entered into an exclusive license agreement with AbbVie Deutschland GmbH &amp; Co. KG, or AbbVie. Under the license agreement with AbbVie, or the AbbVie Agreement, Disc obtained an exclusive, worldwide license, with the right to sublicense to commercial pharmaceutical and biopharmaceutical companies (subject to AbbVie’s prior consent or pre-authorization, except with respect to Disc’s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Disc is required to use commercially reasonable efforts to develop and commercialize at least one licensed product in certain major markets and to maximize net sales of licensed products in certain major markets.</w:t>
      </w:r>
    </w:p>
    <w:p>
      <w:pPr>
        <w:spacing w:after="0" w:line="183"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Under the terms of the AbbVie Agreement, Disc made an initial license payment to AbbVie of $0.5 million. Additionally, Disc is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The first potential milestone is a $3.0 million payment payable upon the initiation of the first Phase 2 clinical trial with a licensed product. Disc is also obligated to pay a royalty on net sales of licensed products at a low-single digit rate. The royalty rates are subject to up to a high first decile percentage reduction for lack of a valid claim on a country-by-country basis. See “Disc’s Business—Intellectual Property—Iron Homeostasis Portfolio” for additional information concerning the intellectual property related to the AbbVie Agreement.</w:t>
      </w:r>
    </w:p>
    <w:p>
      <w:pPr>
        <w:spacing w:after="0" w:line="183" w:lineRule="exact"/>
        <w:rPr>
          <w:sz w:val="20"/>
          <w:szCs w:val="20"/>
          <w:color w:val="auto"/>
        </w:rPr>
      </w:pPr>
    </w:p>
    <w:p>
      <w:pPr>
        <w:jc w:val="both"/>
        <w:ind w:left="6"/>
        <w:spacing w:after="0" w:line="243" w:lineRule="auto"/>
        <w:rPr>
          <w:sz w:val="20"/>
          <w:szCs w:val="20"/>
          <w:color w:val="auto"/>
        </w:rPr>
      </w:pPr>
      <w:r>
        <w:rPr>
          <w:rFonts w:ascii="Times New Roman" w:cs="Times New Roman" w:eastAsia="Times New Roman" w:hAnsi="Times New Roman"/>
          <w:sz w:val="19"/>
          <w:szCs w:val="19"/>
          <w:color w:val="auto"/>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w:t>
      </w:r>
    </w:p>
    <w:p>
      <w:pPr>
        <w:ind w:left="6" w:hanging="6"/>
        <w:spacing w:after="0" w:line="238" w:lineRule="auto"/>
        <w:tabs>
          <w:tab w:leader="none" w:pos="289"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last-to-expire improvement patent in such country, whichever is later, (b) the expiration of regulatory exclusivity in such country, and (c) ten years from the first commercial sale of such product in such country.</w:t>
      </w:r>
    </w:p>
    <w:p>
      <w:pPr>
        <w:spacing w:after="0" w:line="181"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Disc’s failure to conduct any relevant material development or commercialization activity in a 12-month period, or, to the extent AbbVie is permitted pursuant to applicable law, a challenge by Disc of the licensed patents. Disc may terminate the agreement for any reason upon specified prior written notice to AbbVie.</w:t>
      </w:r>
    </w:p>
    <w:p>
      <w:pPr>
        <w:spacing w:after="0" w:line="180" w:lineRule="exact"/>
        <w:rPr>
          <w:sz w:val="20"/>
          <w:szCs w:val="20"/>
          <w:color w:val="auto"/>
        </w:rPr>
      </w:pPr>
    </w:p>
    <w:p>
      <w:pPr>
        <w:jc w:val="both"/>
        <w:ind w:left="6" w:right="20"/>
        <w:spacing w:after="0" w:line="241" w:lineRule="auto"/>
        <w:rPr>
          <w:sz w:val="20"/>
          <w:szCs w:val="20"/>
          <w:color w:val="auto"/>
        </w:rPr>
      </w:pPr>
      <w:r>
        <w:rPr>
          <w:rFonts w:ascii="Times New Roman" w:cs="Times New Roman" w:eastAsia="Times New Roman" w:hAnsi="Times New Roman"/>
          <w:sz w:val="19"/>
          <w:szCs w:val="19"/>
          <w:color w:val="auto"/>
        </w:rPr>
        <w:t>In connection with the AbbVie Agreement, Disc also entered into a stock purchase agreement with AbbVie in September 2019, pursuant to which Disc agreed to issue 4,336,841 shares of Disc’s common stock to AbbVie, with 2,295,174 shares vesting immediately and 2,041,667 shares subject to a performance condition tied to the second and third subsequent closings of Disc’s Series A Preferred Stock financing. During the year ended December 31, 2020, the performance conditions were met and the remaining 2,041,667 shares vested.</w:t>
      </w:r>
    </w:p>
    <w:p>
      <w:pPr>
        <w:spacing w:after="0" w:line="179"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The stock purchase agreement provides for an adjustment mechanism in the event AbbVie’s shares represent more than a single digit percentage of Disc’s fully-diluted capitalization at the time of certain specified adjustment events. In addition, the stock purchase agreement provides for a payment to be made by Disc to AbbVie in the amount of a low double digit percentage of the aggregate value of the shares of Disc’s Series A Preferred Stock as of the closing date of Disc’s Series A Preferred stock financing. The stock purchase agreement also contains standard representations and warranties by Disc and AbbVie.</w:t>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2021 Exclusive License Agreement with F. Hoffmann-La Roche Ltd and Hoffmann-La Roche Inc.</w:t>
      </w:r>
    </w:p>
    <w:p>
      <w:pPr>
        <w:spacing w:after="0" w:line="210" w:lineRule="exact"/>
        <w:rPr>
          <w:sz w:val="20"/>
          <w:szCs w:val="20"/>
          <w:color w:val="auto"/>
        </w:rPr>
      </w:pPr>
    </w:p>
    <w:p>
      <w:pPr>
        <w:jc w:val="both"/>
        <w:ind w:left="6"/>
        <w:spacing w:after="0" w:line="259" w:lineRule="auto"/>
        <w:rPr>
          <w:sz w:val="20"/>
          <w:szCs w:val="20"/>
          <w:color w:val="auto"/>
        </w:rPr>
      </w:pPr>
      <w:r>
        <w:rPr>
          <w:rFonts w:ascii="Times New Roman" w:cs="Times New Roman" w:eastAsia="Times New Roman" w:hAnsi="Times New Roman"/>
          <w:sz w:val="18"/>
          <w:szCs w:val="18"/>
          <w:color w:val="auto"/>
        </w:rPr>
        <w:t>In May 2021, Disc entered into the Roche Agreement, pursuant to which Roche granted Disc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163" w:lineRule="exact"/>
        <w:rPr>
          <w:sz w:val="20"/>
          <w:szCs w:val="20"/>
          <w:color w:val="auto"/>
        </w:rPr>
      </w:pPr>
    </w:p>
    <w:p>
      <w:pPr>
        <w:jc w:val="both"/>
        <w:ind w:left="6"/>
        <w:spacing w:after="0" w:line="237" w:lineRule="auto"/>
        <w:rPr>
          <w:sz w:val="20"/>
          <w:szCs w:val="20"/>
          <w:color w:val="auto"/>
        </w:rPr>
      </w:pPr>
      <w:r>
        <w:rPr>
          <w:rFonts w:ascii="Times New Roman" w:cs="Times New Roman" w:eastAsia="Times New Roman" w:hAnsi="Times New Roman"/>
          <w:sz w:val="19"/>
          <w:szCs w:val="19"/>
          <w:color w:val="auto"/>
        </w:rPr>
        <w:t>Under the Roche Agreement, Roche has an exclusive right to negotiate a license or purchase of all licensed compounds and products in certain specified circumstances. If Disc, for a specified period of time following entry into the Roche Agreement or before completion of a Phase 3 clinical trial of a licensed product (whichever is later), intends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Disc is free to enter into the applicable transaction, provided that Disc may not enter into such a transaction on terms less favorable to Disc than the terms offered by Roche during a specified period after the conclusion of the negotiation period.</w:t>
      </w:r>
    </w:p>
    <w:p>
      <w:pPr>
        <w:spacing w:after="0" w:line="181" w:lineRule="exact"/>
        <w:rPr>
          <w:sz w:val="20"/>
          <w:szCs w:val="20"/>
          <w:color w:val="auto"/>
        </w:rPr>
      </w:pPr>
    </w:p>
    <w:p>
      <w:pPr>
        <w:jc w:val="both"/>
        <w:ind w:left="6" w:right="20"/>
        <w:spacing w:after="0" w:line="259" w:lineRule="auto"/>
        <w:rPr>
          <w:sz w:val="20"/>
          <w:szCs w:val="20"/>
          <w:color w:val="auto"/>
        </w:rPr>
      </w:pPr>
      <w:r>
        <w:rPr>
          <w:rFonts w:ascii="Times New Roman" w:cs="Times New Roman" w:eastAsia="Times New Roman" w:hAnsi="Times New Roman"/>
          <w:sz w:val="19"/>
          <w:szCs w:val="19"/>
          <w:color w:val="auto"/>
        </w:rPr>
        <w:t>Disc is required to use commercially reasonable efforts to develop, seek regulatory approval and, on a country-by-country basis where such regulatory approval has been obtained, commercialize at least one licensed product in each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7150100" cy="146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1" w:right="319" w:bottom="1440" w:gutter="0" w:footer="0" w:header="0"/>
        </w:sectPr>
      </w:pPr>
    </w:p>
    <w:bookmarkStart w:id="341" w:name="page342"/>
    <w:bookmarkEnd w:id="341"/>
    <w:p>
      <w:pPr>
        <w:jc w:val="both"/>
        <w:spacing w:after="0" w:line="236" w:lineRule="auto"/>
        <w:rPr>
          <w:sz w:val="20"/>
          <w:szCs w:val="20"/>
          <w:color w:val="auto"/>
        </w:rPr>
      </w:pPr>
      <w:r>
        <w:rPr>
          <w:rFonts w:ascii="Times New Roman" w:cs="Times New Roman" w:eastAsia="Times New Roman" w:hAnsi="Times New Roman"/>
          <w:sz w:val="19"/>
          <w:szCs w:val="19"/>
          <w:color w:val="auto"/>
        </w:rPr>
        <w:t>Under the Roche Agreement, Disc paid Roche an initial license payment of $4.5 million and Disc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 is a $10.0 million payment upon the initiation of the first Phase 3 clinical trial with a licensed product in a first indication. Disc will also pay Roche up to an aggregate of $120.0 million based on achievement of certain thresholds for annual net sales of licensed products. Disc is also obligated to pay a royalty on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17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In connection with the Roche Agreement and pursuant to an addendum to the Roche Agreement between the parties executed in December 2021, Disc has agreed to issue or cause to be issued to Roche or its affiliates, immediately following the closing of the merger and for no additional consideration, shares of common stock estimated to be approximately 2.85% of the combined company’s issued and outstanding capitalization immediately following the closing of the merger and the Disc pre-closing financing.</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Roche Agreement expires upon expiry of the last remaining royalty obligation for the last licensed product. Under the Roche Agreement, either party may terminate the agreement upon the other party’s uncured material breach or insolvency. Disc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Disc in connection with such continued development or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strives to protect the proprietary technology that Disc believes is important to its business, including seeking and maintaining patent protection in the United States and internationally for its current and future product candidates. Disc also relies on trademarks, copyrights, trade secrets, confidentiality procedures, employee disclosure, invention assignment agreements, know-how, continuing technological innovation and in-licensing opportunities to develop and maintain its proprietary position.</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seeks to obtain domestic and international patent protection, and endeavors to promptly file patent applications for new commercially valuable inventions. Disc also relies on trade secrets to protect aspects of its business that are not amenable to, or that Disc does not consider appropriate for, patent protection.</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plans to continue to expand its intellectual property estate by filing patent applications directed to pharmaceutical compositions, methods of treatment, methods of manufacture or identified from its ongoing development of Disc’s product candidates, which include both small molecule and biologic products, such as antibodies. Disc’s success will depend on its ability to obtain and maintain patent and other proprietary protection for commercially important technology, inventions and know-how related to Disc’s business, defend and enforce any patents that Disc may obtain, preserve the confidentiality of Disc’s trade secrets and operate without infringing the valid and enforceable patents and proprietary rights of third parties.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patent positions of companies like Disc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Disc cannot guarantee that its pending patent applications, or any patent applications that Disc may in the future file or license from third parties, will result in the issuance of patents. Disc cannot predict whether the patent applications Disc is currently pursuing will issue as patents in any particular jurisdiction or at all, whether the claims of any patent applications, should they issue, will cover Disc’s product candidates, or whether the claims of any issued patents will provide sufficient protection from competitors or otherwise provide any competitive advantage. Disc cannot predict the scope of claims that may be allowed or enforced in its patents. In addition, the coverage claimed in a patent application can be significantly reduced before the patent is issued, and its scope can be reinterpreted after issuance. Consequently, Disc may not obtain or maintain adequate patent protection for any of its product candidates.</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Disc cannot be certain of the priority of inventions covered by pending patent applications. Accordingly, Disc may not have been the first to invent the subject matter disclosed in some of Disc’s patent applications or the first to file patent applications covering such subject matter, and Disc may have to participate in interference proceedings or derivation proceedings declared by the United States Patent and Trademark Office, or USPTO, to determine priority of invention. For more information regarding the risks related to Disc’s intellectual property, see “Risk Factors—Risks Related to Disc’s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2" w:name="page343"/>
    <w:bookmarkEnd w:id="342"/>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Patent Portfolio</w:t>
      </w:r>
    </w:p>
    <w:p>
      <w:pPr>
        <w:spacing w:after="0" w:line="211" w:lineRule="exact"/>
        <w:rPr>
          <w:sz w:val="20"/>
          <w:szCs w:val="20"/>
          <w:color w:val="auto"/>
        </w:rPr>
      </w:pPr>
    </w:p>
    <w:p>
      <w:pPr>
        <w:jc w:val="both"/>
        <w:ind w:left="6" w:right="20"/>
        <w:spacing w:after="0" w:line="241" w:lineRule="auto"/>
        <w:rPr>
          <w:sz w:val="20"/>
          <w:szCs w:val="20"/>
          <w:color w:val="auto"/>
        </w:rPr>
      </w:pPr>
      <w:r>
        <w:rPr>
          <w:rFonts w:ascii="Times New Roman" w:cs="Times New Roman" w:eastAsia="Times New Roman" w:hAnsi="Times New Roman"/>
          <w:sz w:val="19"/>
          <w:szCs w:val="19"/>
          <w:color w:val="auto"/>
        </w:rPr>
        <w:t>Disc’s patent portfolio includes patents and patent applications in the United States and selected jurisdictions outside of the United States. As of June 30, 2022, Disc’s patent portfolio in total consisted of 10 issued U.S. patents and 195 issued patents in foreign jurisdictions (e.g., Australia, China, United Kingdom, Germany, Mexico, Japan, and others), eight PCT applications, 32 pending non-provisional applications (U.S., EP and other jurisdictions), and two pending U.S. provisional applications, which include claims directed to compositions and methods of use.</w:t>
      </w:r>
    </w:p>
    <w:p>
      <w:pPr>
        <w:spacing w:after="0" w:line="1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patent portfolio includes patents and applications with claims related to the following programs:</w:t>
      </w:r>
    </w:p>
    <w:p>
      <w:pPr>
        <w:spacing w:after="0" w:line="2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i w:val="1"/>
          <w:iCs w:val="1"/>
          <w:color w:val="auto"/>
        </w:rPr>
        <w:t>Bitopertin (GlyT1 Inhibitor)</w:t>
      </w:r>
    </w:p>
    <w:p>
      <w:pPr>
        <w:spacing w:after="0" w:line="208" w:lineRule="exact"/>
        <w:rPr>
          <w:sz w:val="20"/>
          <w:szCs w:val="20"/>
          <w:color w:val="auto"/>
        </w:rPr>
      </w:pPr>
    </w:p>
    <w:p>
      <w:pPr>
        <w:jc w:val="both"/>
        <w:ind w:left="6"/>
        <w:spacing w:after="0" w:line="248" w:lineRule="auto"/>
        <w:rPr>
          <w:sz w:val="20"/>
          <w:szCs w:val="20"/>
          <w:color w:val="auto"/>
        </w:rPr>
      </w:pPr>
      <w:r>
        <w:rPr>
          <w:rFonts w:ascii="Times New Roman" w:cs="Times New Roman" w:eastAsia="Times New Roman" w:hAnsi="Times New Roman"/>
          <w:sz w:val="18"/>
          <w:szCs w:val="18"/>
          <w:color w:val="auto"/>
        </w:rPr>
        <w:t>With regard to Disc’s bitopertin program, Disc owns five pending PCT applications directed to various methods of treatment and use claims related to erythropoietic protoporphyria, or EPP, X-linked protoporphyria, or XLP, congenital erythropoietic porphyria, or CEP, Diamond-Blackfan anemia, or DBA, and polycythemia vera, or PV. In addition, Disc owns one pending U.S. provisional application directed to various methods of treatment and use claims related to hepatic porphyrias. Patents and pending applications directed to bitopertin and methods of making and using are expected to expire between 2041 and 2043, without accounting for any potential terminal disclaimers, available patent term adjustments or extensions. In particular, Disc’s first and second families are directed to methods of treating EPP, XLP, and CEP with bitopertin and related compounds, and solid forms of bitopertin, and these families, upon grant, will have a twenty-year statutory expiration date of 2041 and 2042, respectively. Disc’s third family is directed to methods of treating polycythemias, including PV with bitopertin and related compounds, and this family, upon grant, will have a twenty-year statutory expiration date of 2042. Disc’s fourth family is directed to methods of treating anemia associated with a ribosomal disorder (e.g., DBA) with bitopertin and related compounds, and this family, upon grant, will have a twenty-year statutory expiration date of 2042. Disc’s fifth family is directed to methods of treating hepatic porphyria with bitopertin and related compounds, and this family, upon grant, will have a twenty-year statutory expiration date of 2043. Disc’s sixth family is directed to methods of treating EPP, XLP, and CEP with additional GlyT1 inhibitors, and this family, upon grant, will have a twenty-year statutory expiration date of 2042. The above is summarized below in tabular form:</w:t>
      </w:r>
    </w:p>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8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Jurisdiction of Pending</w:t>
            </w: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Family</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466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Date if</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Applications or Issued</w:t>
            </w:r>
          </w:p>
        </w:tc>
      </w:tr>
      <w:tr>
        <w:trPr>
          <w:trHeight w:val="205"/>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In-Licensed</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Type of Protection</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Patents</w:t>
            </w:r>
          </w:p>
        </w:tc>
      </w:tr>
      <w:tr>
        <w:trPr>
          <w:trHeight w:val="192"/>
        </w:trPr>
        <w:tc>
          <w:tcPr>
            <w:tcW w:w="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171"/>
        </w:trPr>
        <w:tc>
          <w:tcPr>
            <w:tcW w:w="6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1</w:t>
            </w:r>
          </w:p>
        </w:tc>
        <w:tc>
          <w:tcPr>
            <w:tcW w:w="132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color w:val="auto"/>
              </w:rPr>
              <w:t>Disc Medicine</w:t>
            </w:r>
          </w:p>
        </w:tc>
        <w:tc>
          <w:tcPr>
            <w:tcW w:w="466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color w:val="auto"/>
                <w:w w:val="98"/>
              </w:rPr>
              <w:t>Claims to methods of treating EPP, XLP, and CEP with bitopertin and</w:t>
            </w:r>
          </w:p>
        </w:tc>
        <w:tc>
          <w:tcPr>
            <w:tcW w:w="112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2041</w:t>
            </w:r>
          </w:p>
        </w:tc>
        <w:tc>
          <w:tcPr>
            <w:tcW w:w="1280" w:type="dxa"/>
            <w:vAlign w:val="bottom"/>
          </w:tcPr>
          <w:p>
            <w:pPr>
              <w:ind w:left="320"/>
              <w:spacing w:after="0" w:line="171" w:lineRule="exact"/>
              <w:rPr>
                <w:sz w:val="20"/>
                <w:szCs w:val="20"/>
                <w:color w:val="auto"/>
              </w:rPr>
            </w:pPr>
            <w:r>
              <w:rPr>
                <w:rFonts w:ascii="Times New Roman" w:cs="Times New Roman" w:eastAsia="Times New Roman" w:hAnsi="Times New Roman"/>
                <w:sz w:val="16"/>
                <w:szCs w:val="16"/>
                <w:color w:val="auto"/>
              </w:rPr>
              <w:t>PCT</w:t>
            </w:r>
          </w:p>
        </w:tc>
        <w:tc>
          <w:tcPr>
            <w:tcW w:w="222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U.S., Australia,</w:t>
            </w:r>
          </w:p>
        </w:tc>
      </w:tr>
      <w:tr>
        <w:trPr>
          <w:trHeight w:val="188"/>
        </w:trPr>
        <w:tc>
          <w:tcPr>
            <w:tcW w:w="66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related compounds</w:t>
            </w: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Canada, China,</w:t>
            </w:r>
          </w:p>
        </w:tc>
      </w:tr>
      <w:tr>
        <w:trPr>
          <w:trHeight w:val="188"/>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 (regional</w:t>
            </w:r>
          </w:p>
        </w:tc>
      </w:tr>
      <w:tr>
        <w:trPr>
          <w:trHeight w:val="188"/>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application), Japan,</w:t>
            </w:r>
          </w:p>
        </w:tc>
      </w:tr>
      <w:tr>
        <w:trPr>
          <w:trHeight w:val="203"/>
        </w:trPr>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Korea</w:t>
            </w:r>
          </w:p>
        </w:tc>
      </w:tr>
      <w:tr>
        <w:trPr>
          <w:trHeight w:val="36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8"/>
              </w:rPr>
              <w:t>Claims to methods of treating EPP, XLP, and CEP with solid forms of</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2042</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PCT</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w:t>
            </w:r>
          </w:p>
        </w:tc>
      </w:tr>
      <w:tr>
        <w:trPr>
          <w:trHeight w:val="188"/>
        </w:trPr>
        <w:tc>
          <w:tcPr>
            <w:tcW w:w="66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Medicine</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bitopertin</w:t>
            </w: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pending1</w:t>
            </w:r>
          </w:p>
        </w:tc>
      </w:tr>
      <w:tr>
        <w:trPr>
          <w:trHeight w:val="203"/>
        </w:trPr>
        <w:tc>
          <w:tcPr>
            <w:tcW w:w="66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36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methods of treating polycythemias, including PV, with</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2042</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PCT</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w:t>
            </w:r>
          </w:p>
        </w:tc>
      </w:tr>
      <w:tr>
        <w:trPr>
          <w:trHeight w:val="188"/>
        </w:trPr>
        <w:tc>
          <w:tcPr>
            <w:tcW w:w="66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Medicine</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bitopertin and related compounds</w:t>
            </w: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pending1</w:t>
            </w:r>
          </w:p>
        </w:tc>
      </w:tr>
      <w:tr>
        <w:trPr>
          <w:trHeight w:val="203"/>
        </w:trPr>
        <w:tc>
          <w:tcPr>
            <w:tcW w:w="66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36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 Medicine</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methods of treating anemia associated with a ribosomal</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2042</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PCT</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w:t>
            </w:r>
          </w:p>
        </w:tc>
      </w:tr>
      <w:tr>
        <w:trPr>
          <w:trHeight w:val="203"/>
        </w:trPr>
        <w:tc>
          <w:tcPr>
            <w:tcW w:w="66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disorder (e.g., DBA) with bitopertin and related compounds</w:t>
            </w: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pending1</w:t>
            </w:r>
          </w:p>
        </w:tc>
      </w:tr>
      <w:tr>
        <w:trPr>
          <w:trHeight w:val="36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 Medicine</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methods of treating hepatic porphyria with bitopertin and</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2043</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Provisional</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provisional application</w:t>
            </w:r>
          </w:p>
        </w:tc>
      </w:tr>
      <w:tr>
        <w:trPr>
          <w:trHeight w:val="203"/>
        </w:trPr>
        <w:tc>
          <w:tcPr>
            <w:tcW w:w="66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related compounds</w:t>
            </w: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pending2</w:t>
            </w:r>
          </w:p>
        </w:tc>
      </w:tr>
      <w:tr>
        <w:trPr>
          <w:trHeight w:val="36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 Medicine</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methods of treating EPP, XLP, and CEP with additional</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2042</w:t>
            </w:r>
          </w:p>
        </w:tc>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PCT</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w:t>
            </w:r>
          </w:p>
        </w:tc>
      </w:tr>
      <w:tr>
        <w:trPr>
          <w:trHeight w:val="203"/>
        </w:trPr>
        <w:tc>
          <w:tcPr>
            <w:tcW w:w="66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GlyT1 inhibitors</w:t>
            </w: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pending1</w:t>
            </w:r>
          </w:p>
        </w:tc>
      </w:tr>
    </w:tbl>
    <w:p>
      <w:pPr>
        <w:spacing w:after="0" w:line="194" w:lineRule="exact"/>
        <w:rPr>
          <w:sz w:val="20"/>
          <w:szCs w:val="20"/>
          <w:color w:val="auto"/>
        </w:rPr>
      </w:pPr>
    </w:p>
    <w:p>
      <w:pPr>
        <w:ind w:left="286" w:hanging="286"/>
        <w:spacing w:after="0"/>
        <w:tabs>
          <w:tab w:leader="none" w:pos="286" w:val="left"/>
        </w:tabs>
        <w:numPr>
          <w:ilvl w:val="0"/>
          <w:numId w:val="3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Pending Patent Cooperation Treaty (PCT) application is eligible for prosecution and patent issuance in all PCT contracting states.</w:t>
      </w:r>
    </w:p>
    <w:p>
      <w:pPr>
        <w:spacing w:after="0" w:line="215" w:lineRule="exact"/>
        <w:rPr>
          <w:rFonts w:ascii="Times New Roman" w:cs="Times New Roman" w:eastAsia="Times New Roman" w:hAnsi="Times New Roman"/>
          <w:sz w:val="16"/>
          <w:szCs w:val="16"/>
          <w:i w:val="1"/>
          <w:iCs w:val="1"/>
          <w:color w:val="auto"/>
        </w:rPr>
      </w:pPr>
    </w:p>
    <w:p>
      <w:pPr>
        <w:ind w:left="6"/>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2   Pending U.S. provisional application is eligible for filing as PCT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50100" cy="146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0" w:right="319" w:bottom="1440" w:gutter="0" w:footer="0" w:header="0"/>
        </w:sectPr>
      </w:pPr>
    </w:p>
    <w:bookmarkStart w:id="343" w:name="page344"/>
    <w:bookmarkEnd w:id="343"/>
    <w:p>
      <w:pPr>
        <w:jc w:val="both"/>
        <w:spacing w:after="0" w:line="233" w:lineRule="auto"/>
        <w:rPr>
          <w:sz w:val="20"/>
          <w:szCs w:val="20"/>
          <w:color w:val="auto"/>
        </w:rPr>
      </w:pPr>
      <w:r>
        <w:rPr>
          <w:rFonts w:ascii="Times New Roman" w:cs="Times New Roman" w:eastAsia="Times New Roman" w:hAnsi="Times New Roman"/>
          <w:sz w:val="19"/>
          <w:szCs w:val="19"/>
          <w:color w:val="auto"/>
        </w:rPr>
        <w:t>Disc has also in-licensed multiple patent families from F. Hoffmann-La Roche Ltd and Hoffmann-La Roche Inc. comprising eight issued U.S. patents and additional granted patents in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Malta, Mexico, Monaco, Montenegro, Morocco, Netherlands, New Zealand, Norway, Philippines, Poland, Portugal, Republic of Korea, Republic of Serbia, Romania, Russian Federation, Singapore, Slovak Republic, Slovenia, South Africa, Spain, Sweden, Switzerland, Taiwan,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2024 and 2035, without accounting for any potential terminal disclaimers, available patent term adjustments or extensions. In particular, the first family is directed to composition of matter of bitopertin and processes of preparation, and this family has a twenty-year statutory expiration date of 2024. This family has issued patents in the U.S. and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Mexico, Monaco, Montenegro, Morocco, Netherlands, New Zealand, Norway, Philippines, Poland, Portugal, Republic of Korea, Republic of Serbia, Romania, Russian Federation, Singapore, Slovak Republic, Slovenia, South Africa, Spain, Sweden, Switzerland, Taiwan, Turkey, Ukraine, and Vietnam.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 The above is summarized below in tabular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50100" cy="146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Family</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38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Date if</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In-Licensed</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Type of Protection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Jurisdiction of Pending Applications or Issued Patents</w:t>
            </w:r>
          </w:p>
        </w:tc>
        <w:tc>
          <w:tcPr>
            <w:tcW w:w="0" w:type="dxa"/>
            <w:vAlign w:val="bottom"/>
          </w:tcPr>
          <w:p>
            <w:pPr>
              <w:spacing w:after="0"/>
              <w:rPr>
                <w:sz w:val="1"/>
                <w:szCs w:val="1"/>
                <w:color w:val="auto"/>
              </w:rPr>
            </w:pPr>
          </w:p>
        </w:tc>
      </w:tr>
      <w:tr>
        <w:trPr>
          <w:trHeight w:val="204"/>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 w:type="dxa"/>
            <w:vAlign w:val="bottom"/>
            <w:vMerge w:val="continue"/>
          </w:tcPr>
          <w:p>
            <w:pPr>
              <w:spacing w:after="0"/>
              <w:rPr>
                <w:sz w:val="14"/>
                <w:szCs w:val="14"/>
                <w:color w:val="auto"/>
              </w:rPr>
            </w:pPr>
          </w:p>
        </w:tc>
        <w:tc>
          <w:tcPr>
            <w:tcW w:w="12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w w:val="99"/>
              </w:rPr>
              <w:t>Claims to composition of matter of</w:t>
            </w:r>
          </w:p>
        </w:tc>
        <w:tc>
          <w:tcPr>
            <w:tcW w:w="106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2024</w:t>
            </w:r>
          </w:p>
        </w:tc>
        <w:tc>
          <w:tcPr>
            <w:tcW w:w="1220" w:type="dxa"/>
            <w:vAlign w:val="bottom"/>
          </w:tcPr>
          <w:p>
            <w:pPr>
              <w:ind w:left="260"/>
              <w:spacing w:after="0" w:line="171" w:lineRule="exact"/>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U.S. and the following jurisdictions: Algeria, Australia, Austria,</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bitopertin and processes of</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Belarus, Belgium, Brazil, Bulgaria, Canada, Chile, China, Colombia,</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preparation</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Costa Rica, Croatia, Cyprus, Czech Republic, Denmark, Ecuador,</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Egypt, Estonia, Eurasian Patent Convention, European Patent</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Convention, Finland, France, Germany, Great Britain, Greece, Gulf</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Cooperation Council, Hong Kong, Hungary, India, Indonesia, Ireland,</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Israel, Italy, Japan, Kazakhstan, Kosovo, Latvia, Lithuania,</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Luxembourg, Malaysia, Mexico, Monaco, Montenegro, Morocco,</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Netherlands, New Zealand, Norway, Philippines, Poland, Portugal,</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Republic of Korea, Republic of Serbia, Romania, Russian Federation,</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Singapore, Slovak Republic, Slovenia, South Africa, Spain, Sweden,</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Switzerland, Taiwan, Turkey, Ukraine, and Vietnam</w:t>
            </w: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Claims to processes of preparation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2028</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and the following jurisdictions: Australia, Austria, Belgium,</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bitopertin</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Brazil, Canada, China, European Patent Convention, Finland, France,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7"/>
              </w:rPr>
              <w:t>Germany, Great Britain, Hungary, Ireland, Israel, Italy, Japan, Mexico,</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Netherlands, Republic of Korea, Spain, Sweden, and Switzerland</w:t>
            </w: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Claims to synthetic processes for</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2026</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and the following jurisdictions: China, European Patent</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synthetic intermediates</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Convention, France, Germany, Great Britain, Japan, and Switzerland</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Claims to synthetic processes for</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and the following jurisdictions: China, European Patent</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synthetic intermediates</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Convention, France, Germany, Great Britain, Japan, and Switzerland</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Claims to methods of treating</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2035</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U.S. and the following jurisdictions: Algeria, China, Croatia, Cyprus,</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hematological disorders</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7"/>
              </w:rPr>
              <w:t>European Patent Convention, France, Germany, Great Britain, Greece,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characterized by elevated cellular</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Hong Kong, Indonesia, Italy, Japan, Malaysia, Morocco, Portugal,</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hemoglobin levels with bitopertin</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Republic of Korea, Republic of Serbia, Slovenia, South Africa, Spain,</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Switzerland, and Turkey</w:t>
            </w:r>
          </w:p>
        </w:tc>
        <w:tc>
          <w:tcPr>
            <w:tcW w:w="0" w:type="dxa"/>
            <w:vAlign w:val="bottom"/>
          </w:tcPr>
          <w:p>
            <w:pPr>
              <w:spacing w:after="0"/>
              <w:rPr>
                <w:sz w:val="1"/>
                <w:szCs w:val="1"/>
                <w:color w:val="auto"/>
              </w:rPr>
            </w:pPr>
          </w:p>
        </w:tc>
      </w:tr>
      <w:tr>
        <w:trPr>
          <w:trHeight w:val="382"/>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Family</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38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Date if</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In-Licensed</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Type of Protection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Jurisdiction of Pending Applications or Issued Patents</w:t>
            </w:r>
          </w:p>
        </w:tc>
        <w:tc>
          <w:tcPr>
            <w:tcW w:w="0" w:type="dxa"/>
            <w:vAlign w:val="bottom"/>
          </w:tcPr>
          <w:p>
            <w:pPr>
              <w:spacing w:after="0"/>
              <w:rPr>
                <w:sz w:val="1"/>
                <w:szCs w:val="1"/>
                <w:color w:val="auto"/>
              </w:rPr>
            </w:pPr>
          </w:p>
        </w:tc>
      </w:tr>
      <w:tr>
        <w:trPr>
          <w:trHeight w:val="204"/>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6</w:t>
            </w:r>
          </w:p>
        </w:tc>
        <w:tc>
          <w:tcPr>
            <w:tcW w:w="1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 w:type="dxa"/>
            <w:vAlign w:val="bottom"/>
            <w:vMerge w:val="continue"/>
          </w:tcPr>
          <w:p>
            <w:pPr>
              <w:spacing w:after="0"/>
              <w:rPr>
                <w:sz w:val="14"/>
                <w:szCs w:val="14"/>
                <w:color w:val="auto"/>
              </w:rPr>
            </w:pPr>
          </w:p>
        </w:tc>
        <w:tc>
          <w:tcPr>
            <w:tcW w:w="12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w w:val="99"/>
              </w:rPr>
              <w:t>Claims to composition of matter of</w:t>
            </w:r>
          </w:p>
        </w:tc>
        <w:tc>
          <w:tcPr>
            <w:tcW w:w="106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2026</w:t>
            </w:r>
          </w:p>
        </w:tc>
        <w:tc>
          <w:tcPr>
            <w:tcW w:w="1220" w:type="dxa"/>
            <w:vAlign w:val="bottom"/>
          </w:tcPr>
          <w:p>
            <w:pPr>
              <w:ind w:left="260"/>
              <w:spacing w:after="0" w:line="171" w:lineRule="exact"/>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U.S. and the following jurisdictions: China, European Patent</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 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GlyT1 inhibitors</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Convention, France, Germany, Great Britain, Hong Kong, Japan, and</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7</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In-Licensed from</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Claims to composition of matter of</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Australia, Austria, Belgium, Brazil, Bulgaria, Chile, Croatia, Cyprus,</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F. Hoffmann- La</w:t>
            </w:r>
          </w:p>
        </w:tc>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crystalline forms of bitopertin</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Czech Republic, Denmark, Estonia, European Patent Convention,</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Roche</w:t>
            </w: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Finland, France, Germany, Great Britain, Greece, Gulf Cooperation</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Council, Hungary, Indonesia, Ireland, Italy, Japan, Latvia, Lithuania,</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Luxembourg, Malaysia, Malta, Mexico, Monaco, Morocco,</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Netherlands, New Zealand, Norway, Philippines, Poland, Portugal,</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Republic of Korea, Republic of Serbia, Romania, Russian Federation,</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Singapore, Slovak Republic, Slovenia, South Africa, Spain, Sweden,</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Switzerland, Taiwan, Turkey, Ukraine, and Vietnam</w:t>
            </w:r>
          </w:p>
        </w:tc>
        <w:tc>
          <w:tcPr>
            <w:tcW w:w="0" w:type="dxa"/>
            <w:vAlign w:val="bottom"/>
          </w:tcPr>
          <w:p>
            <w:pPr>
              <w:spacing w:after="0"/>
              <w:rPr>
                <w:sz w:val="1"/>
                <w:szCs w:val="1"/>
                <w:color w:val="auto"/>
              </w:rPr>
            </w:pPr>
          </w:p>
        </w:tc>
      </w:tr>
    </w:tbl>
    <w:p>
      <w:pPr>
        <w:jc w:val="both"/>
        <w:spacing w:after="0" w:line="235" w:lineRule="auto"/>
        <w:rPr>
          <w:sz w:val="20"/>
          <w:szCs w:val="20"/>
          <w:color w:val="auto"/>
        </w:rPr>
      </w:pPr>
      <w:r>
        <w:rPr>
          <w:rFonts w:ascii="Times New Roman" w:cs="Times New Roman" w:eastAsia="Times New Roman" w:hAnsi="Times New Roman"/>
          <w:sz w:val="19"/>
          <w:szCs w:val="19"/>
          <w:color w:val="auto"/>
        </w:rPr>
        <w:t>Several of the indications that Disc expects to pursue with bitopertin, including EPP, XLP and DBA, are rare diseases, and Disc expects to file for an orphan drug designation in the United States and other relevant jurisdictions. If successful, orphan drug designation may provide a form of exclusivity for a period of years, described in greater detail below. See “Disc’s Business—Governmental Regulation—Orphan Drug Designation and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0100" cy="146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45" w:name="page346"/>
    <w:bookmarkEnd w:id="345"/>
    <w:p>
      <w:pPr>
        <w:ind w:left="6"/>
        <w:spacing w:after="0"/>
        <w:rPr>
          <w:sz w:val="20"/>
          <w:szCs w:val="20"/>
          <w:color w:val="auto"/>
        </w:rPr>
      </w:pPr>
      <w:r>
        <w:rPr>
          <w:rFonts w:ascii="Times New Roman" w:cs="Times New Roman" w:eastAsia="Times New Roman" w:hAnsi="Times New Roman"/>
          <w:sz w:val="19"/>
          <w:szCs w:val="19"/>
          <w:i w:val="1"/>
          <w:iCs w:val="1"/>
          <w:color w:val="auto"/>
        </w:rPr>
        <w:t>Iron Homeostasis Portfolio</w:t>
      </w:r>
    </w:p>
    <w:p>
      <w:pPr>
        <w:spacing w:after="0" w:line="209" w:lineRule="exact"/>
        <w:rPr>
          <w:sz w:val="20"/>
          <w:szCs w:val="20"/>
          <w:color w:val="auto"/>
        </w:rPr>
      </w:pPr>
    </w:p>
    <w:p>
      <w:pPr>
        <w:jc w:val="both"/>
        <w:ind w:left="6"/>
        <w:spacing w:after="0" w:line="235" w:lineRule="auto"/>
        <w:rPr>
          <w:sz w:val="20"/>
          <w:szCs w:val="20"/>
          <w:color w:val="auto"/>
        </w:rPr>
      </w:pPr>
      <w:r>
        <w:rPr>
          <w:rFonts w:ascii="Times New Roman" w:cs="Times New Roman" w:eastAsia="Times New Roman" w:hAnsi="Times New Roman"/>
          <w:sz w:val="19"/>
          <w:szCs w:val="19"/>
          <w:color w:val="auto"/>
        </w:rPr>
        <w:t>With regard to Disc’s iron homeostasis portfolio, including its DISC-0974 and DISC-0998 programs, Disc owns five patent families, including one PCT patent application that has entered the national phase in Australia, Canada, China, Europe, Israel, Japan, Korea, and United States, one PCT patent application that has entered the national phase in Europe, and United States, two pending PCT patent applications, and two pending U.S. provisional applications containing composition of matter, method of treatment and use claims related to Disc’s initial indication, anemia of myelofibrosis, and Disc’s expansion indications, e.g., chronic kidney disease anemia, anemia of inflammatory bowel disease and other anemias of chronic disease involving iron restriction from elevated hepcidin. Patents issuing from these PCT applications are expected to expire in 2040 and 2041, not including any patent term adjustments and any patent term extensions. Further, the above Disc-owned patent applications within its iron homeostasis portfolio are Joint Patents according to the AbbVie Agreement, whereby Disc owns the patent applications and any patents granted thereon jointly with AbbVie, and Disc holds an exclusive license to AbbVie’s interest in the patent applications and any patents granted thereon pursuant to the AbbVie Agreement.</w:t>
      </w:r>
    </w:p>
    <w:p>
      <w:pPr>
        <w:spacing w:after="0" w:line="186"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Disc also in-licenses a patent family from AbbVie comprised of two issued U.S. patents, US 10,822,403 and US 10,118,958, that are expected to expire in 2032 and 2035, respectively, and issued patents in Australia (AU2012352168 and AU2019261820), China (CN104144947), the United Kingdom (EP2791173), Germany (EP2791173), Mexico (MX357708), and Japan (JP6342812 and JP6926176)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eight pending non-provisional applications in the United States, Australia, Brazil, Canada, China, Europe, Japan and Mexico. Any patents that issue on these pending non-provisional applications are likewise expected to expire in 2032, not including any patent term adjustments and any patent term extensions. The above is summarized below in tabular form:</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Family</w:t>
            </w:r>
          </w:p>
        </w:tc>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48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In-Licensed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Type of Protection</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Jurisdiction of Pending Applications or Issued Patents</w:t>
            </w:r>
          </w:p>
        </w:tc>
        <w:tc>
          <w:tcPr>
            <w:tcW w:w="0" w:type="dxa"/>
            <w:vAlign w:val="bottom"/>
          </w:tcPr>
          <w:p>
            <w:pPr>
              <w:spacing w:after="0"/>
              <w:rPr>
                <w:sz w:val="1"/>
                <w:szCs w:val="1"/>
                <w:color w:val="auto"/>
              </w:rPr>
            </w:pPr>
          </w:p>
        </w:tc>
      </w:tr>
      <w:tr>
        <w:trPr>
          <w:trHeight w:val="204"/>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 w:type="dxa"/>
            <w:vAlign w:val="bottom"/>
            <w:vMerge w:val="continue"/>
          </w:tcPr>
          <w:p>
            <w:pPr>
              <w:spacing w:after="0"/>
              <w:rPr>
                <w:sz w:val="14"/>
                <w:szCs w:val="14"/>
                <w:color w:val="auto"/>
              </w:rPr>
            </w:pPr>
          </w:p>
        </w:tc>
        <w:tc>
          <w:tcPr>
            <w:tcW w:w="11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Disc Medicine</w:t>
            </w:r>
          </w:p>
        </w:tc>
        <w:tc>
          <w:tcPr>
            <w:tcW w:w="248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color w:val="auto"/>
              </w:rPr>
              <w:t>Claims to methods of treating</w:t>
            </w:r>
          </w:p>
        </w:tc>
        <w:tc>
          <w:tcPr>
            <w:tcW w:w="10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2040</w:t>
            </w:r>
          </w:p>
        </w:tc>
        <w:tc>
          <w:tcPr>
            <w:tcW w:w="1220" w:type="dxa"/>
            <w:vAlign w:val="bottom"/>
          </w:tcPr>
          <w:p>
            <w:pPr>
              <w:ind w:left="260"/>
              <w:spacing w:after="0" w:line="171" w:lineRule="exact"/>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United States, Australia, Canada, China, Europe (regional</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myelofibrosis and related</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application), Israel, Japan, and Korea</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conditions with anti-hemojuvelin</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(HJV) antagonists</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Disc Medicine</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methods of treating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2040</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 and Europe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anemia of chronic disease with</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anti-HJV antagonists</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Disc Medicine</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compositions of anti-</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2041</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 pending1</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HJV antibodies for treating anemia</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chronic disease</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Disc Medicine</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compositions of anti-</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2041</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 pending1</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HJV antibodies for treating</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myelofibrosis</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Disc Medicine</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methods of treating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2042</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Provisional</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provisional applications pending2</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anemia of kidney disease with anti-</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HJV antagonists</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In-Licensed</w:t>
            </w: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Claims to compositions and</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2032</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States3, Australia, China, the United Kingdom, Germany,</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methods for the diagnosis and</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Mexico, Brazil, Canada, Mexico, Europe (regional application), and</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treatment of iron-related disorders</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Japan</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 anti-hemojuvelin (HJV)</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antagonists</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86" w:hanging="286"/>
        <w:spacing w:after="0"/>
        <w:tabs>
          <w:tab w:leader="none" w:pos="286"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Pending Patent Cooperation Treaty (PCT) application is eligible for prosecution and patent issuance in all PCT contracting states.</w:t>
      </w:r>
    </w:p>
    <w:p>
      <w:pPr>
        <w:spacing w:after="0" w:line="215" w:lineRule="exact"/>
        <w:rPr>
          <w:rFonts w:ascii="Times New Roman" w:cs="Times New Roman" w:eastAsia="Times New Roman" w:hAnsi="Times New Roman"/>
          <w:sz w:val="16"/>
          <w:szCs w:val="16"/>
          <w:color w:val="auto"/>
        </w:rPr>
      </w:pPr>
    </w:p>
    <w:p>
      <w:pPr>
        <w:ind w:left="6" w:right="5960"/>
        <w:spacing w:after="0" w:line="51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2 Pending U.S. provisional applications are eligible for filing as PCT application. 3 Note that one U.S. patent has PTA that extends the term to 2035.</w:t>
      </w:r>
    </w:p>
    <w:p>
      <w:pPr>
        <w:ind w:left="6"/>
        <w:spacing w:after="0"/>
        <w:rPr>
          <w:sz w:val="20"/>
          <w:szCs w:val="20"/>
          <w:color w:val="auto"/>
        </w:rPr>
      </w:pPr>
      <w:r>
        <w:rPr>
          <w:rFonts w:ascii="Times New Roman" w:cs="Times New Roman" w:eastAsia="Times New Roman" w:hAnsi="Times New Roman"/>
          <w:sz w:val="19"/>
          <w:szCs w:val="19"/>
          <w:i w:val="1"/>
          <w:iCs w:val="1"/>
          <w:color w:val="auto"/>
        </w:rPr>
        <w:t>Matriptase-2 Inhibitor</w:t>
      </w:r>
    </w:p>
    <w:p>
      <w:pPr>
        <w:spacing w:after="0" w:line="208"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With regard to Disc’s Matriptase-2 inhibitor program, Disc owns 7 pending non-provisional applications in U.S., Europe, Japan, Australia, Canada, China and India and one pending PCT international application directed to compounds that inhibit Matriptase-2 and methods of using the same. Any patents that issue in the non-provisional applications are expected to expire in 2039, not including any patent term adjustments and any patent term extensions. Any applications claiming priority to the PCT application that issue as a patent are expected to expire in 2041, not including any patent term adjustments and any patent term extensions. The above is summarized below in tabular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50100" cy="146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1" w:right="319" w:bottom="1440" w:gutter="0" w:footer="0" w:header="0"/>
        </w:sectPr>
      </w:pPr>
    </w:p>
    <w:bookmarkStart w:id="346" w:name="page347"/>
    <w:bookmarkEnd w:id="346"/>
    <w:tbl>
      <w:tblPr>
        <w:tblLayout w:type="fixed"/>
        <w:tblInd w:w="6" w:type="dxa"/>
        <w:tblCellMar>
          <w:top w:w="0" w:type="dxa"/>
          <w:left w:w="0" w:type="dxa"/>
          <w:bottom w:w="0" w:type="dxa"/>
          <w:right w:w="0" w:type="dxa"/>
        </w:tblCellMar>
      </w:tblP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Family</w:t>
            </w:r>
          </w:p>
        </w:tc>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46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Jurisdiction of Pending Applications or Issued</w:t>
            </w:r>
          </w:p>
        </w:tc>
        <w:tc>
          <w:tcPr>
            <w:tcW w:w="0" w:type="dxa"/>
            <w:vAlign w:val="bottom"/>
          </w:tcPr>
          <w:p>
            <w:pPr>
              <w:spacing w:after="0"/>
              <w:rPr>
                <w:sz w:val="1"/>
                <w:szCs w:val="1"/>
                <w:color w:val="auto"/>
              </w:rPr>
            </w:pPr>
          </w:p>
        </w:tc>
      </w:tr>
      <w:tr>
        <w:trPr>
          <w:trHeight w:val="20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In-Licensed</w:t>
            </w:r>
          </w:p>
        </w:tc>
        <w:tc>
          <w:tcPr>
            <w:tcW w:w="24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Type of Protection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Patents</w:t>
            </w:r>
          </w:p>
        </w:tc>
        <w:tc>
          <w:tcPr>
            <w:tcW w:w="0" w:type="dxa"/>
            <w:vAlign w:val="bottom"/>
          </w:tcPr>
          <w:p>
            <w:pPr>
              <w:spacing w:after="0"/>
              <w:rPr>
                <w:sz w:val="1"/>
                <w:szCs w:val="1"/>
                <w:color w:val="auto"/>
              </w:rPr>
            </w:pPr>
          </w:p>
        </w:tc>
      </w:tr>
      <w:tr>
        <w:trPr>
          <w:trHeight w:val="204"/>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 w:type="dxa"/>
            <w:vAlign w:val="bottom"/>
            <w:vMerge w:val="continue"/>
          </w:tcPr>
          <w:p>
            <w:pPr>
              <w:spacing w:after="0"/>
              <w:rPr>
                <w:sz w:val="14"/>
                <w:szCs w:val="14"/>
                <w:color w:val="auto"/>
              </w:rPr>
            </w:pPr>
          </w:p>
        </w:tc>
        <w:tc>
          <w:tcPr>
            <w:tcW w:w="11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Disc Medicine</w:t>
            </w:r>
          </w:p>
        </w:tc>
        <w:tc>
          <w:tcPr>
            <w:tcW w:w="246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color w:val="auto"/>
                <w:w w:val="99"/>
              </w:rPr>
              <w:t>Claims to composition of matter of</w:t>
            </w:r>
          </w:p>
        </w:tc>
        <w:tc>
          <w:tcPr>
            <w:tcW w:w="106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2039</w:t>
            </w:r>
          </w:p>
        </w:tc>
        <w:tc>
          <w:tcPr>
            <w:tcW w:w="1220" w:type="dxa"/>
            <w:vAlign w:val="bottom"/>
          </w:tcPr>
          <w:p>
            <w:pPr>
              <w:ind w:left="260"/>
              <w:spacing w:after="0" w:line="171" w:lineRule="exact"/>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United States, Australia, Canada, China, Europe (regional</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matriptase-2 inhibitors and</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application), Japan, and India</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methods of using the same</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Disc Medicine</w:t>
            </w:r>
          </w:p>
        </w:tc>
        <w:tc>
          <w:tcPr>
            <w:tcW w:w="24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Claims to composition of matter of</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2041</w:t>
            </w: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PCT</w:t>
            </w: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 PCT application pending1</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owned</w:t>
            </w:r>
          </w:p>
        </w:tc>
        <w:tc>
          <w:tcPr>
            <w:tcW w:w="2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matriptase-2 inhibitors and</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methods of using the same</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86" w:hanging="286"/>
        <w:spacing w:after="0"/>
        <w:tabs>
          <w:tab w:leader="none" w:pos="286" w:val="left"/>
        </w:tabs>
        <w:numPr>
          <w:ilvl w:val="0"/>
          <w:numId w:val="3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Pending Patent Cooperation Treaty (PCT) application is eligible for prosecution and patent issuance in all PCT contracting states.</w:t>
      </w:r>
    </w:p>
    <w:p>
      <w:pPr>
        <w:spacing w:after="0" w:line="20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Patent Term</w:t>
      </w:r>
    </w:p>
    <w:p>
      <w:pPr>
        <w:spacing w:after="0" w:line="210" w:lineRule="exact"/>
        <w:rPr>
          <w:sz w:val="20"/>
          <w:szCs w:val="20"/>
          <w:color w:val="auto"/>
        </w:rPr>
      </w:pPr>
    </w:p>
    <w:p>
      <w:pPr>
        <w:jc w:val="both"/>
        <w:ind w:left="6"/>
        <w:spacing w:after="0" w:line="24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Disc files,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178"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In the future, if and when Disc’s product candidates receive FDA approval, Disc expects to apply, if appropriate, for patent term extension on patents directed to those product candidates, their methods of use and/or methods of manufacture. However, there is no guarantee that the applicable authorities, including the FDA in the United States, will agree with Disc’s assessment of whether such extensions should be granted, and if granted, the length of such extensions. For more information regarding the risks related to Disc’s intellectual property, see “Risk Factors—Risks Related to Disc’s Intellectual Property.”</w:t>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Trade Secrets</w:t>
      </w:r>
    </w:p>
    <w:p>
      <w:pPr>
        <w:spacing w:after="0" w:line="210"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In addition to patents, Disc relies on trade secrets and know-how to develop and maintain its competitive position. Disc typically relies on trade secrets to protect aspects of its business that are not amenable to, or that Disc does not consider appropriate for, patent protection. Disc protects trade secrets and know-how by establishing confidentiality agreements and invention assignment agreements with its employees, consultants, scientific advisors, contractors and collaborators. These agreements provide that all confidential information developed or made known during the course of an individual or entities’ relationship with Disc must be kept confidential during and after the relationship. These agreements also provide that all inventions resulting from work performed for Disc or relating to Disc’s business and conceived or completed during the period of employment or assignment, as applicable, shall be Disc’s exclusive property. In addition, Disc takes other appropriate precautions, such as physical and technological security measures, to guard against misappropriation of its proprietary information by third parties.</w:t>
      </w:r>
    </w:p>
    <w:p>
      <w:pPr>
        <w:spacing w:after="0" w:line="183"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9"/>
          <w:szCs w:val="19"/>
          <w:color w:val="auto"/>
        </w:rPr>
        <w:t>Although Disc takes steps to protect its proprietary information and trade secrets, including through contractual means with its employees and consultants, third parties may independently develop substantially equivalent proprietary information and techniques or otherwise gain access to Disc’s trade secrets or disclose Disc’s technology. Thus, Disc may not be able to meaningfully protect its trade secrets. For more information regarding the risks related to Disc’s intellectual property, see “Risk Factors—Risks Related to Disc’s Intellectual Property.”</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Governmental Regulation</w:t>
      </w:r>
    </w:p>
    <w:p>
      <w:pPr>
        <w:spacing w:after="0" w:line="208"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19"/>
          <w:szCs w:val="19"/>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Disc, along with its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Disc wishes to conduct studies or seek approval of its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7150100" cy="146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347" w:name="page348"/>
    <w:bookmarkEnd w:id="347"/>
    <w:p>
      <w:pPr>
        <w:jc w:val="both"/>
        <w:spacing w:after="0" w:line="241" w:lineRule="auto"/>
        <w:rPr>
          <w:sz w:val="20"/>
          <w:szCs w:val="20"/>
          <w:color w:val="auto"/>
        </w:rPr>
      </w:pPr>
      <w:r>
        <w:rPr>
          <w:rFonts w:ascii="Times New Roman" w:cs="Times New Roman" w:eastAsia="Times New Roman" w:hAnsi="Times New Roman"/>
          <w:sz w:val="19"/>
          <w:szCs w:val="19"/>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Disc believes that bitopertin, which is a small molecule, will be regulated by the FDA as a drug product,</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and DISC-0974 and DISC-0998, which are monoclonal antibodies will be regulated by FDA as biologic products. If Disc fails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Disc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Disc’s product candidates must be approved for therapeutic indications by the FDA before they may be marketed in the United States. For drug product candidates regulated under the FD&amp;C Act, FDA must approve a New Drug Application, or NDA. For biologic product candidates regulated under the FD&amp;C Act and PHSA, FDA must approve a Biologics License Application, or BLA. The process is similar for both drugs and biologics and generally involves the following:</w:t>
      </w:r>
    </w:p>
    <w:p>
      <w:pPr>
        <w:spacing w:after="0" w:line="186" w:lineRule="exact"/>
        <w:rPr>
          <w:sz w:val="20"/>
          <w:szCs w:val="20"/>
          <w:color w:val="auto"/>
        </w:rPr>
      </w:pPr>
    </w:p>
    <w:p>
      <w:pPr>
        <w:ind w:left="560" w:right="200" w:hanging="284"/>
        <w:spacing w:after="0" w:line="270" w:lineRule="auto"/>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extensive preclinical studies in accordance with applicable regulations, including studies conducted in accordance with good laboratory practice, or GLP, requirements;</w:t>
      </w:r>
    </w:p>
    <w:p>
      <w:pPr>
        <w:spacing w:after="0" w:line="173" w:lineRule="exact"/>
        <w:rPr>
          <w:rFonts w:ascii="Times New Roman" w:cs="Times New Roman" w:eastAsia="Times New Roman" w:hAnsi="Times New Roman"/>
          <w:sz w:val="16"/>
          <w:szCs w:val="16"/>
          <w:color w:val="auto"/>
        </w:rPr>
      </w:pPr>
    </w:p>
    <w:p>
      <w:pPr>
        <w:ind w:left="560" w:right="80" w:hanging="284"/>
        <w:spacing w:after="0" w:line="270" w:lineRule="auto"/>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which must become effective before clinical trials may begin and must be updated annually and when certain changes are made;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institutional review board, or IRB, or independent ethics committee at each clinical trial site before each trial may be initiated;</w:t>
      </w:r>
    </w:p>
    <w:p>
      <w:pPr>
        <w:spacing w:after="0" w:line="215" w:lineRule="exact"/>
        <w:rPr>
          <w:rFonts w:ascii="Times New Roman" w:cs="Times New Roman" w:eastAsia="Times New Roman" w:hAnsi="Times New Roman"/>
          <w:sz w:val="16"/>
          <w:szCs w:val="16"/>
          <w:color w:val="auto"/>
        </w:rPr>
      </w:pPr>
    </w:p>
    <w:p>
      <w:pPr>
        <w:ind w:left="560" w:right="100" w:hanging="284"/>
        <w:spacing w:after="0" w:line="270" w:lineRule="auto"/>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and submission to the FDA of an NDA or BLA;</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by the FDA within 60 days of its receipt of an NDA or BLA to file the application for review;</w:t>
      </w:r>
    </w:p>
    <w:p>
      <w:pPr>
        <w:spacing w:after="0" w:line="215" w:lineRule="exact"/>
        <w:rPr>
          <w:rFonts w:ascii="Times New Roman" w:cs="Times New Roman" w:eastAsia="Times New Roman" w:hAnsi="Times New Roman"/>
          <w:sz w:val="16"/>
          <w:szCs w:val="16"/>
          <w:color w:val="auto"/>
        </w:rPr>
      </w:pPr>
    </w:p>
    <w:p>
      <w:pPr>
        <w:ind w:left="560" w:right="100" w:hanging="284"/>
        <w:spacing w:after="0" w:line="257" w:lineRule="auto"/>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18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FDA audit of the clinical trial sites that generated the data in support of the NDA or BLA;</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user fees for FDA review of the NDA or BLA; and</w:t>
      </w:r>
    </w:p>
    <w:p>
      <w:pPr>
        <w:spacing w:after="0" w:line="215" w:lineRule="exact"/>
        <w:rPr>
          <w:rFonts w:ascii="Times New Roman" w:cs="Times New Roman" w:eastAsia="Times New Roman" w:hAnsi="Times New Roman"/>
          <w:sz w:val="16"/>
          <w:szCs w:val="16"/>
          <w:color w:val="auto"/>
        </w:rPr>
      </w:pPr>
    </w:p>
    <w:p>
      <w:pPr>
        <w:ind w:left="560" w:right="580" w:hanging="284"/>
        <w:spacing w:after="0" w:line="270" w:lineRule="auto"/>
        <w:tabs>
          <w:tab w:leader="none" w:pos="56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or BLA, including, where applicable, consideration of the views of any FDA advisory committee, prior to any commercial marketing or sale of the drug in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Preclinical Studies and Clinical Trials for Drugs and Biologics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150100" cy="146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8" w:name="page349"/>
    <w:bookmarkEnd w:id="348"/>
    <w:p>
      <w:pPr>
        <w:jc w:val="both"/>
        <w:spacing w:after="0" w:line="234" w:lineRule="auto"/>
        <w:rPr>
          <w:sz w:val="20"/>
          <w:szCs w:val="20"/>
          <w:color w:val="auto"/>
        </w:rPr>
      </w:pPr>
      <w:r>
        <w:rPr>
          <w:rFonts w:ascii="Times New Roman" w:cs="Times New Roman" w:eastAsia="Times New Roman" w:hAnsi="Times New Roman"/>
          <w:sz w:val="19"/>
          <w:szCs w:val="19"/>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Disc based on evolving business objectives and/or competitive climate.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Clinical trials to evaluate therapeutic indications to support NDAs and BLAs for marketing approval are typically conducted in three sequential phases, which may overlap.</w:t>
      </w:r>
    </w:p>
    <w:p>
      <w:pPr>
        <w:spacing w:after="0" w:line="167" w:lineRule="exact"/>
        <w:rPr>
          <w:sz w:val="20"/>
          <w:szCs w:val="20"/>
          <w:color w:val="auto"/>
        </w:rPr>
      </w:pPr>
    </w:p>
    <w:p>
      <w:pPr>
        <w:ind w:left="560" w:right="200" w:hanging="284"/>
        <w:spacing w:after="0" w:line="259" w:lineRule="auto"/>
        <w:tabs>
          <w:tab w:leader="none" w:pos="5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1 </w:t>
      </w:r>
      <w:r>
        <w:rPr>
          <w:rFonts w:ascii="Times New Roman" w:cs="Times New Roman" w:eastAsia="Times New Roman" w:hAnsi="Times New Roman"/>
          <w:sz w:val="16"/>
          <w:szCs w:val="16"/>
          <w:color w:val="auto"/>
        </w:rPr>
        <w:t>– Phase 1 clinical trials involve initial introduction of the investigational product in a limited population of healthy human volunteers or patients with the target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179" w:lineRule="exact"/>
        <w:rPr>
          <w:rFonts w:ascii="Times New Roman" w:cs="Times New Roman" w:eastAsia="Times New Roman" w:hAnsi="Times New Roman"/>
          <w:sz w:val="16"/>
          <w:szCs w:val="16"/>
          <w:color w:val="auto"/>
        </w:rPr>
      </w:pPr>
    </w:p>
    <w:p>
      <w:pPr>
        <w:ind w:left="560" w:right="380" w:hanging="284"/>
        <w:spacing w:after="0" w:line="307" w:lineRule="auto"/>
        <w:tabs>
          <w:tab w:leader="none" w:pos="560" w:val="left"/>
        </w:tabs>
        <w:numPr>
          <w:ilvl w:val="0"/>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Phase 2 </w:t>
      </w:r>
      <w:r>
        <w:rPr>
          <w:rFonts w:ascii="Times New Roman" w:cs="Times New Roman" w:eastAsia="Times New Roman" w:hAnsi="Times New Roman"/>
          <w:sz w:val="15"/>
          <w:szCs w:val="15"/>
          <w:color w:val="auto"/>
        </w:rPr>
        <w:t>– Phase 2 clinical trials typically involve administration of the investigational product to a limited patient population with a specified disease or condition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evaluate the drug’s potential efficacy, to determine the optimal dosages and dosing schedule and to identify possible adverse side effects and safety risks.</w:t>
      </w:r>
    </w:p>
    <w:p>
      <w:pPr>
        <w:spacing w:after="0" w:line="145" w:lineRule="exact"/>
        <w:rPr>
          <w:rFonts w:ascii="Times New Roman" w:cs="Times New Roman" w:eastAsia="Times New Roman" w:hAnsi="Times New Roman"/>
          <w:sz w:val="15"/>
          <w:szCs w:val="15"/>
          <w:color w:val="auto"/>
        </w:rPr>
      </w:pPr>
    </w:p>
    <w:p>
      <w:pPr>
        <w:ind w:left="560" w:right="100" w:hanging="284"/>
        <w:spacing w:after="0" w:line="254" w:lineRule="auto"/>
        <w:tabs>
          <w:tab w:leader="none" w:pos="5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3 </w:t>
      </w:r>
      <w:r>
        <w:rPr>
          <w:rFonts w:ascii="Times New Roman" w:cs="Times New Roman" w:eastAsia="Times New Roman" w:hAnsi="Times New Roman"/>
          <w:sz w:val="16"/>
          <w:szCs w:val="16"/>
          <w:color w:val="auto"/>
        </w:rPr>
        <w:t>– Phase 3 clinical trials typically involve administration of the investigational product to an expanded patient population to further evaluate dosage, to provide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spacing w:after="0" w:line="17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9" w:name="page350"/>
    <w:bookmarkEnd w:id="349"/>
    <w:p>
      <w:pPr>
        <w:jc w:val="both"/>
        <w:spacing w:after="0" w:line="237" w:lineRule="auto"/>
        <w:rPr>
          <w:sz w:val="20"/>
          <w:szCs w:val="20"/>
          <w:color w:val="auto"/>
        </w:rPr>
      </w:pPr>
      <w:r>
        <w:rPr>
          <w:rFonts w:ascii="Times New Roman" w:cs="Times New Roman" w:eastAsia="Times New Roman" w:hAnsi="Times New Roman"/>
          <w:sz w:val="19"/>
          <w:szCs w:val="19"/>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Marketing Approval for Drugs and Biologics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19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50100" cy="146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0" w:name="page351"/>
    <w:bookmarkEnd w:id="350"/>
    <w:p>
      <w:pPr>
        <w:jc w:val="both"/>
        <w:spacing w:after="0" w:line="252"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Orphan Drug Designation and Exclusivity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Disc’s products for seven years if a competitor obtains approval for the same therapeutic agent for the same indication before Disc does, unless Disc is able to demonstrate that Disc’s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FDA may further reevaluate its regulations and policies under the Orphan Drug Act. It is unclear as to how, if at all, the FDA may change the orphan drug regulations and policies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Rare Pediatric Disease Designation and Priority Review Vouchers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Expedited Development and Review Programs for Drugs and Biologics</w:t>
      </w:r>
    </w:p>
    <w:p>
      <w:pPr>
        <w:spacing w:after="0" w:line="21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and biologics to get them to patients more quickly than standard FDA review timelines typically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1" w:name="page352"/>
    <w:bookmarkEnd w:id="351"/>
    <w:p>
      <w:pPr>
        <w:jc w:val="both"/>
        <w:spacing w:after="0" w:line="239" w:lineRule="auto"/>
        <w:rPr>
          <w:sz w:val="20"/>
          <w:szCs w:val="20"/>
          <w:color w:val="auto"/>
        </w:rPr>
      </w:pPr>
      <w:r>
        <w:rPr>
          <w:rFonts w:ascii="Times New Roman" w:cs="Times New Roman" w:eastAsia="Times New Roman" w:hAnsi="Times New Roman"/>
          <w:sz w:val="19"/>
          <w:szCs w:val="19"/>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studies to verify and describe the product’s clinical benefit. The FDA may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Pediatric Information and Pediatric Exclusivity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A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50100" cy="146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9"/>
          <w:szCs w:val="19"/>
          <w:b w:val="1"/>
          <w:bCs w:val="1"/>
          <w:i w:val="1"/>
          <w:iCs w:val="1"/>
          <w:color w:val="auto"/>
        </w:rPr>
        <w:t>U.S. Post-Approval Requirements for Drugs and Biologics</w:t>
      </w: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Disc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87" w:lineRule="exact"/>
        <w:rPr>
          <w:sz w:val="20"/>
          <w:szCs w:val="20"/>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safety alerts, Dear Healthcare Provider letters, press releases or other communications containing warnings or other safety information about the product;</w:t>
      </w:r>
    </w:p>
    <w:p>
      <w:pPr>
        <w:spacing w:after="0" w:line="226"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holds on post-approval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applications or supplements to approved applications, or suspension or revocation of product approvals;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mandated modification of promotional materials and labeling and issuance of corrective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Patent Term Restoration and Marketing Exclusivity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Depending upon the timing, duration and specifics of FDA approval of Disc’s future product candidates, some of Disc’s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Disc may apply for restoration of patent term for its currently owned or licensed patents to add patent life beyond a patent’s current expiration date, depending on the expected length of the clinical trials and other factors involved in the filing of the relevant NDA or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53" w:name="page354"/>
    <w:bookmarkEnd w:id="353"/>
    <w:p>
      <w:pPr>
        <w:jc w:val="both"/>
        <w:spacing w:after="0" w:line="234" w:lineRule="auto"/>
        <w:rPr>
          <w:sz w:val="20"/>
          <w:szCs w:val="20"/>
          <w:color w:val="auto"/>
        </w:rPr>
      </w:pPr>
      <w:r>
        <w:rPr>
          <w:rFonts w:ascii="Times New Roman" w:cs="Times New Roman" w:eastAsia="Times New Roman" w:hAnsi="Times New Roman"/>
          <w:sz w:val="19"/>
          <w:szCs w:val="19"/>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Biosimilars and Exclusivity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Regulatory Matters</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Disc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Disc for violation of these laws, even if Disc successfully defends against it, could cause Disc to incur significant legal expenses and divert its management’s attention from the operation of its business. Prohibitions or restrictions on marketing, sales or withdrawal of future products marketed by Disc could materially affect Disc’s business in an adverse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4" w:name="page355"/>
    <w:bookmarkEnd w:id="354"/>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Changes in statutes, regulations, or the interpretation of existing regulations could impact Disc’s business in the future by requiring, for example: (i) changes to Disc’s manufacturing arrangements; (ii) additions or modifications to product labeling or packaging; (iii) the recall or discontinuation of Disc’s products; or (iv) additional recordkeeping requirements. If any such changes were to be imposed, they could adversely affect the operation of Disc’s business.</w:t>
      </w:r>
    </w:p>
    <w:p>
      <w:pPr>
        <w:spacing w:after="0" w:line="174"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Patients Rely on Insurance Coverage by Third-Party Payors (third-party payors include Medicare and Medicaid (government payors) and commercial insurance companies such as Blue Cross Blue Shield, Humana, Cigna, etc.) to Pay for Products</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Disc’s ability to successfully commercialize its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Disc to establish or maintain pricing sufficient to realize a sufficient return on Disc’s investment. Government authorities and other third-party payors, such as private health insurers and health maintenance organizations, decide which medications they will pay for and establish reimbursement levels.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 Uniform Policy Exists for Coverage and Reimbursement in the U.S.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spacing w:after="0" w:line="18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Further, due to the COVID-19 pandemic, millions of individuals have lost/will be losing employer-based insurance coverage, which may adversely affect Disc’s ability to commercialize its products. It is unclear what effect, if any, the American Rescue Plan will have on the number of covered individuals.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Healthcare Laws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Disc researches, as well as sells, markets and distributes any products for which Disc obtains marketing authorization. Such laws include, without limitation, state and federal anti-kickback, fraud and abuse, false claims, and transparency laws and regulations related to drug pricing and payments and other transfers of value made to physicians and other healthcare providers. If Disc’s operations are found to be in violation of any of such laws or any other governmental regulations that apply, Disc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Affordable Care Act and Legislative Reform Measures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Disc is developing. In both the United States and certain foreign jurisdictions, there have been a number of legislative and regulatory changes to the health care system that could impact Disc’s ability to sell its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Disc’s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150100" cy="146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5" w:name="page356"/>
    <w:bookmarkEnd w:id="355"/>
    <w:p>
      <w:pPr>
        <w:jc w:val="both"/>
        <w:spacing w:after="0" w:line="235" w:lineRule="auto"/>
        <w:rPr>
          <w:sz w:val="20"/>
          <w:szCs w:val="20"/>
          <w:color w:val="auto"/>
        </w:rPr>
      </w:pPr>
      <w:r>
        <w:rPr>
          <w:rFonts w:ascii="Times New Roman" w:cs="Times New Roman" w:eastAsia="Times New Roman" w:hAnsi="Times New Roman"/>
          <w:sz w:val="19"/>
          <w:szCs w:val="19"/>
          <w:color w:val="auto"/>
        </w:rPr>
        <w:t>Other legislative changes have been proposed and adopted in the United States since the Affordable Care Act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in April 2013 and, due to subsequent legislative amendments to the statute, will remain in effect through 2030, with the exception of a temporary suspension that lasted from May 1, 2020 through March 31, 2022 due to the COVID-19 pandemic. Following the suspension, a 1% payment reduction began April 1, 2022, lasting through June 30, 2022. The 2% payment reduction resumed on July 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U.S. Environmental, Health and Safety Laws and Regulations</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Disc may be subject to numerous environmental, health and safety laws and regulations, including those governing laboratory procedures and the handling, use, storage, treatment and disposal of hazardous materials and wastes. From time to time and in the future, Disc’s operations may involve the use of hazardous and flammable materials, including chemicals and biological materials, and may also produce hazardous waste products. Even if Disc contracts with third parties for the disposal of these materials and waste products, Disc cannot completely eliminate the risk of contamination or injury resulting from these materials. In the event of contamination or injury resulting from the use or disposal of Disc’s hazardous materials, Disc could be held liable for any resulting damages, and any liability could exceed Disc’s resources. Disc also could incur significant costs associated with civil or criminal fines and penalties for failure to comply with such laws and regulations.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maintains workers’ compensation insurance to cover costs and expenses Disc may incur due to injuries to its employees as well as insurance for environmental liability, but this insurance may not provide adequate coverage against potential liabilities. However, Disc does not maintain insurance for toxic tort claims that may be asserted against Disc.</w:t>
      </w:r>
    </w:p>
    <w:p>
      <w:pPr>
        <w:spacing w:after="0" w:line="17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In addition, Disc may incur substantial costs in order to comply with current or future environmental, health and safety laws and regulations. Current or future environmental laws and regulations may impair Disc’s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 and Human Capital Resources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As of August 9, 2022, Disc had 37 full-time employees, including 18 who hold Ph.D. or M.D. degrees, and one part-time employee. Of the full-time employees, 27 employees are engaged in research and development and 10 employees are engaged in management or general and administrative activities. None of Disc’s employees are subject to a collective bargaining agreement or represented by a trade or labor union. Disc considers its relationship with its employees to be good.</w:t>
      </w:r>
    </w:p>
    <w:p>
      <w:pPr>
        <w:spacing w:after="0" w:line="17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Disc’s human capital objectives include, as applicable, identifying, recruiting, retaining, incentivizing and integrating its existing and additional employees. The principal purposes of Disc’s equity incentive plans are to attract, retain and motivate selected employees, consultants and directors through the granting of stock-based compensation awards and cash-based performance bonus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Facilities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Disc’s principal office is located at 321 Arsenal Street, Suite 101, Watertown, MA 02472, where Disc leases approximately 7,566 square feet of office space. The lease term began in November 2021 and will end in November 2026. Disc believes that these facilities will be adequate for its near-term needs. If required, Disc believes that suitable additional or substitute space will be available in the future on commercially reasonable terms to accommodate any such expansion of its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Proceedings</w:t>
      </w:r>
    </w:p>
    <w:p>
      <w:pPr>
        <w:spacing w:after="0" w:line="20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From time to time, Disc may be involved in various other claims and legal proceedings relating to claims arising out of Disc’s operations. Disc is not currently a party to any material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150100" cy="146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6" w:name="page357"/>
    <w:bookmarkEnd w:id="356"/>
    <w:p>
      <w:pPr>
        <w:ind w:left="10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99.4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DISC’S MANAGEMENT’S DISCUSSION AND ANALYSIS OF FINANCIAL CONDITION AND RESULTS OF OPERATIONS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On December 29, 2022, in accordance with the terms of the Agreement and Plan of Merger and Reorganization, dated as of August 9, 2022 (the “Merger Agreement”), by and among Disc Medicine, Inc., formerly Gemini Therapeutics, Inc. (the “Company”), Disc Medicine Opco, Inc. (formerly Disc Medicine, Inc.) (“Disc”) and Gemstone Merger Sub, Inc., a Delaware corporation and a wholly owned subsidiary of the Company (“Merger Sub”), pursuant to which, among other matters, Merger Sub merged with and into Disc, with Disc continuing as a wholly owned subsidiary of the Company and the surviving corporation of the merger (the “Merger”). Effective at 5:00 p.m. eastern time on December 29, 2022, the Company effected a 1-for-10 reverse stock split of its common stock (the “Reverse Stock Split”) and implemented a reduction in the number of authorized shares of common stock to 100,000,000 (the “Common Stock Reduction”), effective at 5:01 p.m. eastern time, the Company completed the Merger, and effective at 5:02 p.m. eastern time, the Company changed its name to “Disc Medicine, Inc.” Following the completion of the Merger, the business conducted by the Company became primarily the business conducted by Disc, which is a clinical-stage biopharmaceutical company focused on the discovery, development, and commercialization of novel treatments for patients suffering from serious hematologic diseases.</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i w:val="1"/>
          <w:iCs w:val="1"/>
          <w:color w:val="auto"/>
        </w:rPr>
        <w:t>The following discussion and analysis of Disc’s financial condition and results of operations should be read together with Disc’s consolidated financial statements and the related notes included in Exhibits 99.5 and 99.6 of the Company’s Current Report on Form 8-K of which this Exhibit 99.4 is a part. This discussion contains forward-looking statements that involve risks and uncertainties, such as statements regarding Disc’s plans, objectives, expectations, intentions and projections. Disc’s actual results could differ materially from those described in or implied by these forward-looking statements. Factors that could cause or contribute to such differences include, but are not limited to, those discussed in the Risk Factors included in Exhibit 99.2 of the Company’s Current Report on Form 8-K of which this Exhibit 99.4 is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is a clinical-stage biopharmaceutical company focused on the discovery, development, and commercialization of novel treatments for patients suffering from serious hematologic diseases. Disc has assembled a portfolio of clinical and preclinical product candidates that aim to modify fundamental biological pathways associated with the formation and function of red blood cells, specifically heme biosynthesis and iron homeostasis. Disc’s current pipeline includes bitopertin for the treatment of erythropoietic porphyrias, including erythropoietic protoporphyria (EPP) and X-linked protoporphyria (XLP); and DISC-0974 for the treatment of anemia of myelofibrosis (MF) and anemia of chronic kidney disease (CKD). In addition, Disc has two programs in preclinical development: DISC-0998 for the treatment of anemia associated with inflammatory diseases; and a Matriptase-2 inhibitor for the treatment of polycythemia vera (PV) and diseases of iron overload. Disc’s approach to product candidate development leverages well understood molecular mechanisms that have been validated in humans. Disc believes that each of its product candidates, if approved, has the potential to improve the lives of patients suffering from hematologic diseases.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Bitopertin is the lead product candidate in Disc’s heme biosynthesis modulation portfolio. Bitopertin was previously evaluated by Roche in a comprehensive clinical program in over 4,000 individuals in other indications which demonstrated the activity of bitopertin as a glycine transporter 1 (GlyT1) inhibitor and its effect on heme biosynthesis. Disc is planning to initially develop bitopertin for the treatment of erythropoietic porphyrias, including EPP and XLP. In July 2022, Disc received clearance of its IND for “A Randomized, Double-blind, Placebo-Controlled Study of Bitopertin to Evaluate the Safety, Tolerability, Efficacy, and Protoporphyrin IX (PPIX) Concentrations in Participants with Erythropoietic Protoporphyria (EPP)” from the FDA. In July 2022, Disc initiated BEACON, a Phase 2 open-label, parallel-dose clinical trial of bitopertin in EPP and XLP patients that is being conducted at sites in Australia. Separately, in October 2022 Disc initiated AURORA, a Phase 2, randomized, double-blind, placebo controlled clinical trial of bitopertin in EPP patients that is being conducted at sites in the United States. Disc expects interim data from these two trials in 2023. Disc is planning additional studies in Diamond-Blackfan Anemia (DBA) and other indications.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DISC-0974 is the lead product candidate in Disc’s iron homeostasis portfolio. DISC-0974 is designed to suppress hepcidin production and increase serum iron levels. Disc submitted an IND for DISC-0974 in June 2021, received clearance in July 2021, and completed a Phase 1 clinical trial in healthy volunteers in the U.S. in June 2022 with results showing evidence of target engagement, iron mobilization and erythropoiesis. Disc initiated a Phase 1b/2 clinical trial in June 2022 in patients with anemia of MF, and plans to initiate a separate Phase 1b/2 clinical trial by the end of 2022 in patients with anemia of CKD. Disc expects interim data from these two trials in 2023. In addition, Disc is developing a preclinical anti-hemojuvelin, or HJV, monoclonal antibody, DISC-0998, which also targets hepcidin suppression and was in-licensed from AbbVie. DISC-0998 is designed to increase serum iron levels and has an extended serum half-life as compared to DISC-0974. Disc believes this profile may be desirable in certain subsets of patients with anemia associated with inflammatory diseases.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Lastly, Disc is developing a Matriptase-2 inhibitor as part of its iron homeostasis portfolio, which is designed to induce hepcidin production and reduce serum iron levels. Preclinical data has demonstrated positive results, and Disc is in the process of identifying and optimizing a development candidate in its Matriptase-2 inhibitor program. If successful, Disc expects to designate a lead candidate and commence IND-enabling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50100" cy="146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9"/>
          <w:szCs w:val="19"/>
          <w:b w:val="1"/>
          <w:bCs w:val="1"/>
          <w:color w:val="auto"/>
        </w:rPr>
        <w:t>Financial Operations Overview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has not generated any revenue since its inception and does not expect to generate any revenue from the sale of products in the near future, if at all. If Disc’s development efforts are successful and result in commercialization of one or more product candidates or if Disc enters into collaboration or license agreements with third parties, Disc may generate revenue in the future from product sales, payments from such collaboration or license agreements or a combination thereof.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Research and Development Expenses</w:t>
      </w:r>
    </w:p>
    <w:p>
      <w:pPr>
        <w:spacing w:after="0" w:line="20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Research and development expenses consist primarily of costs incurred in connection with the research and development of Disc’s product candidates. These expenses include:</w:t>
      </w:r>
    </w:p>
    <w:p>
      <w:pPr>
        <w:spacing w:after="0" w:line="169" w:lineRule="exact"/>
        <w:rPr>
          <w:sz w:val="20"/>
          <w:szCs w:val="20"/>
          <w:color w:val="auto"/>
        </w:rPr>
      </w:pPr>
    </w:p>
    <w:p>
      <w:pPr>
        <w:ind w:left="560" w:hanging="284"/>
        <w:spacing w:after="0"/>
        <w:tabs>
          <w:tab w:leader="none" w:pos="5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and stock-based compensation expense, for personnel engaged in research and development functions;</w:t>
      </w:r>
    </w:p>
    <w:p>
      <w:pPr>
        <w:spacing w:after="0" w:line="215" w:lineRule="exact"/>
        <w:rPr>
          <w:rFonts w:ascii="Times New Roman" w:cs="Times New Roman" w:eastAsia="Times New Roman" w:hAnsi="Times New Roman"/>
          <w:sz w:val="16"/>
          <w:szCs w:val="16"/>
          <w:color w:val="auto"/>
        </w:rPr>
      </w:pPr>
    </w:p>
    <w:p>
      <w:pPr>
        <w:ind w:left="560" w:right="460" w:hanging="284"/>
        <w:spacing w:after="0" w:line="270" w:lineRule="auto"/>
        <w:tabs>
          <w:tab w:leader="none" w:pos="5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in connection with Disc’s research and development activities, including under agreements with third parties such as consultants, contractors and CROs;</w:t>
      </w:r>
    </w:p>
    <w:p>
      <w:pPr>
        <w:spacing w:after="0" w:line="173" w:lineRule="exact"/>
        <w:rPr>
          <w:rFonts w:ascii="Times New Roman" w:cs="Times New Roman" w:eastAsia="Times New Roman" w:hAnsi="Times New Roman"/>
          <w:sz w:val="16"/>
          <w:szCs w:val="16"/>
          <w:color w:val="auto"/>
        </w:rPr>
      </w:pPr>
    </w:p>
    <w:p>
      <w:pPr>
        <w:ind w:left="560" w:right="420" w:hanging="284"/>
        <w:spacing w:after="0" w:line="257" w:lineRule="auto"/>
        <w:tabs>
          <w:tab w:leader="none" w:pos="5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contract development and manufacturing organizations, or CDMOs, that are primarily engaged to provide drug substance and product for Disc’s preclinical studies, clinical trials and research and development programs, as well as investigative sites and consultants that conduct Disc’s clinical trials, preclinical studies and other scientific development services;</w:t>
      </w:r>
    </w:p>
    <w:p>
      <w:pPr>
        <w:spacing w:after="0" w:line="18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acquiring and manufacturing preclinical study and clinical trial materials, including manufacturing registration and validation batches;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compliance with quality and regulatory requirements;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made under third-party licensing agreements.</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 expenses research and development costs as incurred. Costs incurred for external development activities are recognized based on an evaluation of the progress to completion of specific tasks using information provided to Disc by its vendors. Payments for these activities are based on the terms of the individual agreements, which may differ from the pattern of costs incurred, and may be reflected in Disc’s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typically uses its employee and infrastructure resources across its product candidates and development programs. Disc tracks outsourced development costs by product candidate or development program, but Disc does not allocate personnel costs or other internal costs to specific product candidates or development programs.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Disc expects that its research and development expenses will increase substantially as Disc advances its programs into and through clinical development, including bitopertin which was licensed from Roche in the second quarter of 2021, and as Disc expands its discovery, research and preclinical activities in the near term and in the future. At this time, Disc cannot accurately estimate or know the nature, timing and costs of the efforts that will be necessary to complete the preclinical and clinical development of any product candidates Disc may develop. A change in the outcome of any number of variables with respect to product candidates Disc may develop could significantly change the costs and timing associated with the development of that product candidate. Disc may never succeed in obtaining regulatory approval for any product candidates it may develop. The successful development of any product candidate is highly uncertain. This is due to the numerous risks and uncertainties associated with product development, including the following:</w:t>
      </w:r>
    </w:p>
    <w:p>
      <w:pPr>
        <w:spacing w:after="0" w:line="190" w:lineRule="exact"/>
        <w:rPr>
          <w:sz w:val="20"/>
          <w:szCs w:val="20"/>
          <w:color w:val="auto"/>
        </w:rPr>
      </w:pPr>
    </w:p>
    <w:p>
      <w:pPr>
        <w:ind w:left="560" w:hanging="284"/>
        <w:spacing w:after="0"/>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progress of preclinical and clinical development activities;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scope of preclinical and clinical programs Disc decides to pursue;</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raise additional funds necessary to complete clinical development of and commercialize Disc’s product candidates;</w:t>
      </w:r>
    </w:p>
    <w:p>
      <w:pPr>
        <w:spacing w:after="0" w:line="215" w:lineRule="exact"/>
        <w:rPr>
          <w:rFonts w:ascii="Times New Roman" w:cs="Times New Roman" w:eastAsia="Times New Roman" w:hAnsi="Times New Roman"/>
          <w:sz w:val="16"/>
          <w:szCs w:val="16"/>
          <w:color w:val="auto"/>
        </w:rPr>
      </w:pPr>
    </w:p>
    <w:p>
      <w:pPr>
        <w:ind w:left="560" w:right="240" w:hanging="284"/>
        <w:spacing w:after="0" w:line="270" w:lineRule="auto"/>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establish new licensing or collaboration arrangements and the progress of the development efforts of third parties with whom Disc may enter into such arrangements;</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maintain its current research and development programs and to establish new programs;</w:t>
      </w:r>
    </w:p>
    <w:p>
      <w:pPr>
        <w:spacing w:after="0" w:line="215" w:lineRule="exact"/>
        <w:rPr>
          <w:rFonts w:ascii="Times New Roman" w:cs="Times New Roman" w:eastAsia="Times New Roman" w:hAnsi="Times New Roman"/>
          <w:sz w:val="16"/>
          <w:szCs w:val="16"/>
          <w:color w:val="auto"/>
        </w:rPr>
      </w:pPr>
    </w:p>
    <w:p>
      <w:pPr>
        <w:ind w:left="560" w:right="420" w:hanging="284"/>
        <w:spacing w:after="0" w:line="270" w:lineRule="auto"/>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successful initiation, enrollment and completion of clinical trials with safety, tolerability and efficacy profiles that are satisfactory to the FDA or any comparable foreign regulatory authority;</w:t>
      </w:r>
    </w:p>
    <w:p>
      <w:pPr>
        <w:spacing w:after="0" w:line="173"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related terms of regulatory approvals from applicable regulatory authorities for any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raw materials for use in production of Disc’s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58" w:name="page359"/>
    <w:bookmarkEnd w:id="358"/>
    <w:p>
      <w:pPr>
        <w:ind w:left="560" w:hanging="284"/>
        <w:spacing w:after="0"/>
        <w:tabs>
          <w:tab w:leader="none" w:pos="5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agreements with third-party manufacturers for supply of product candidate components for Disc’s clinical trials;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obtain and maintain patents, trade secret protection and regulatory exclusivity, both in the United States and internationally;</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protect its other rights in its intellectual property portfolio;</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commercializing product candidates, if and when approved, whether alone or in collaboration with others;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third-party insurance coverage and adequate reimbursement for any approved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General and Administrative Expenses</w:t>
      </w:r>
    </w:p>
    <w:p>
      <w:pPr>
        <w:spacing w:after="0" w:line="2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and administrative consulting services; insurance costs, facility related expenses including maintenance and allocated expenses for rent and other operating costs.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Disc anticipates that its general and administrative expenses will increase substantially in the future as Disc increases its headcount to support its continued research and development and potential commercialization of its product candidates. Disc also expects that it will incur increased expenses associated with being a public company, including costs of accounting, audit, legal, regulatory and tax compliance services, director and officer insurance costs and investor and public relations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income primarily consists of interest earned on money market fund accounts.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Change in Fair Value of Derivative Liability</w:t>
      </w:r>
    </w:p>
    <w:p>
      <w:pPr>
        <w:spacing w:after="0" w:line="2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In May 2021, Disc entered into the Roche Agreement, described in more detail in Note 7 to Disc’s 2021 consolidated financial statements included in Exhibit 99.5 of the Company’s Current Report on Form 8-K of which this Exhibit 99.4 is a part, which included an obligation to issue a variable number of shares of Disc common stock to Roche for no additional consideration upon the completion of a Roche Qualified Transaction as defined by the Roche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the Years Ended December 31, 2020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Disc’s results of operations for the years ended December 31, 2020 and 2021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272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18,020</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25,170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7,150</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5,763</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2,807</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20,976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30,933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9,957</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(20,976)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(30,933)</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(9,957)</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(5,050)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(5,050)</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(5,036)</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(5,076)</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(20,936)</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(35,969)</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(15,033)</w:t>
            </w:r>
          </w:p>
        </w:tc>
      </w:tr>
      <w:tr>
        <w:trPr>
          <w:trHeight w:val="367"/>
        </w:trPr>
        <w:tc>
          <w:tcPr>
            <w:tcW w:w="7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2" w:right="3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9"/>
          <w:szCs w:val="19"/>
          <w:i w:val="1"/>
          <w:iCs w:val="1"/>
          <w:color w:val="auto"/>
        </w:rPr>
        <w:t>Research and Development Expenses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Disc’s research and development expenses for the years ended December 31, 2020 and 2021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272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6"/>
              </w:rPr>
              <w:t>CHANGE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Bitopertin</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120" w:type="dxa"/>
            <w:vAlign w:val="bottom"/>
            <w:shd w:val="clear" w:color="auto" w:fill="CCEEFF"/>
          </w:tcPr>
          <w:p>
            <w:pPr>
              <w:spacing w:after="0"/>
              <w:rPr>
                <w:sz w:val="16"/>
                <w:szCs w:val="16"/>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DISC-0974</w:t>
            </w:r>
          </w:p>
        </w:tc>
        <w:tc>
          <w:tcPr>
            <w:tcW w:w="5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8,538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7,019</w:t>
            </w:r>
          </w:p>
        </w:tc>
        <w:tc>
          <w:tcPr>
            <w:tcW w:w="7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4"/>
              </w:rPr>
              <w:t>(1,519)</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research programs and expenses</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6,345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5,088</w:t>
            </w: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4"/>
              </w:rPr>
              <w:t>(1,257)</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Personnel-related (including equity-based compensation)</w:t>
            </w:r>
          </w:p>
        </w:tc>
        <w:tc>
          <w:tcPr>
            <w:tcW w:w="5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3,137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4,709</w:t>
            </w:r>
          </w:p>
        </w:tc>
        <w:tc>
          <w:tcPr>
            <w:tcW w:w="7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1,572</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18,020</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25,170</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7,150</w:t>
            </w:r>
          </w:p>
        </w:tc>
      </w:tr>
    </w:tbl>
    <w:p>
      <w:pPr>
        <w:spacing w:after="0" w:line="1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Research and development expenses were $18.0 million for the year ended December 31, 2020, compared to $25.2 million for the year ended December 31, 2021. The increase of $7.2 million in research and development expenses was primarily due to an $8.4 million increase in expenses incurred to advance bitopertin which was licensed from Roche in May 2021, including $5.9 million of consideration paid to Roche in connection with the Roche Agreement; a $1.6 million increase in personnel-related costs related to higher research and development headcount; partially offset by decreases in CRO and consulting spend of $1.3 million in Disc’s other research programs and expenses and $1.5 million in the DISC-0974 program as a result of increased research and development headcount and reduced CRO spend.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General and Administrative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Disc’s general and administrative expenses for the years ended December 31, 2020 and 2021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27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consulting and professional fees</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1,080</w:t>
            </w:r>
          </w:p>
        </w:tc>
        <w:tc>
          <w:tcPr>
            <w:tcW w:w="120" w:type="dxa"/>
            <w:vAlign w:val="bottom"/>
            <w:shd w:val="clear" w:color="auto" w:fill="CCEEFF"/>
          </w:tcPr>
          <w:p>
            <w:pPr>
              <w:spacing w:after="0"/>
              <w:rPr>
                <w:sz w:val="16"/>
                <w:szCs w:val="16"/>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Personnel-related (including equity-based compensation)</w:t>
            </w:r>
          </w:p>
        </w:tc>
        <w:tc>
          <w:tcPr>
            <w:tcW w:w="5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2,692</w:t>
            </w:r>
          </w:p>
        </w:tc>
        <w:tc>
          <w:tcPr>
            <w:tcW w:w="7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1,505</w:t>
            </w: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5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410</w:t>
            </w:r>
          </w:p>
        </w:tc>
        <w:tc>
          <w:tcPr>
            <w:tcW w:w="7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2,956</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5,763</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2,807</w:t>
            </w:r>
          </w:p>
        </w:tc>
      </w:tr>
    </w:tbl>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General and administrative expenses were $3.0 million for the year ended December 31, 2020, compared to $5.8 million for the year ended December 31, 2021. The increase of $2.8 million in general and administrative expenses was primarily due to a $1.5 million increase in personnel-related costs related to higher general and administrative headcount and a $1.1 million increase in legal, audit and other services related to ongoing business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Income (Expense), Net</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Other income was less than $0.1 million for the year ended December 31, 2020, compared to other expense of $5.0 million for the year ended December 31, 2021. The decrease of $5.1 million in other income (expense), net was primarily due to the change in fair value of Disc’s derivative liability related to the Roche Agreement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50100" cy="146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the Nine Months Ended September 30, 2021 and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Disc’s results of operations for the nine months ended September 30, 2021 and 2022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7320" w:type="dxa"/>
            <w:vAlign w:val="bottom"/>
            <w:vMerge w:val="continue"/>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732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6"/>
              </w:rPr>
              <w:t>CHANGE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19,511</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23,421</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3,910</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9,033</w:t>
            </w:r>
          </w:p>
        </w:tc>
        <w:tc>
          <w:tcPr>
            <w:tcW w:w="7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5,021</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23,523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32,454</w:t>
            </w: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8,931</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(23,523)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(32,454)</w:t>
            </w:r>
          </w:p>
        </w:tc>
        <w:tc>
          <w:tcPr>
            <w:tcW w:w="7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4"/>
              </w:rPr>
              <w:t>(8,931)</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321</w:t>
            </w:r>
          </w:p>
        </w:tc>
        <w:tc>
          <w:tcPr>
            <w:tcW w:w="7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(3,450)</w:t>
            </w: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(3,129)</w:t>
            </w:r>
          </w:p>
        </w:tc>
        <w:tc>
          <w:tcPr>
            <w:tcW w:w="7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(27,118)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(35,583)</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4"/>
              </w:rPr>
              <w:t>(8,465)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Research and Development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Disc’s research and development expenses for the nine months ended September 30, 2021 and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7320" w:type="dxa"/>
            <w:vAlign w:val="bottom"/>
            <w:vMerge w:val="continue"/>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732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Bitopertin</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w:t>
            </w: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DISC-0974</w:t>
            </w:r>
          </w:p>
        </w:tc>
        <w:tc>
          <w:tcPr>
            <w:tcW w:w="5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6,875</w:t>
            </w:r>
          </w:p>
        </w:tc>
        <w:tc>
          <w:tcPr>
            <w:tcW w:w="7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1,428</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research programs and expenses</w:t>
            </w:r>
          </w:p>
        </w:tc>
        <w:tc>
          <w:tcPr>
            <w:tcW w:w="5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3,804</w:t>
            </w:r>
          </w:p>
        </w:tc>
        <w:tc>
          <w:tcPr>
            <w:tcW w:w="7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Personnel-related (including equity-based compensation)</w:t>
            </w:r>
          </w:p>
        </w:tc>
        <w:tc>
          <w:tcPr>
            <w:tcW w:w="5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3,696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6,518</w:t>
            </w:r>
          </w:p>
        </w:tc>
        <w:tc>
          <w:tcPr>
            <w:tcW w:w="7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2,822</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19,511</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23,421</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3,910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Research and development expenses were $19.5 million for the nine months ended September 30, 2021, compared to $23.4 million for the nine months ended September 30, 2022. The increase of $3.9 million in research and development expenses was primarily due to a $2.8 million increase in personnel-related costs related to higher research and development headcount and an increase in external spend of $1.4 million in the DISC-0974 program due to increased clinical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9"/>
          <w:szCs w:val="19"/>
          <w:i w:val="1"/>
          <w:iCs w:val="1"/>
          <w:color w:val="auto"/>
        </w:rPr>
        <w:t>General and Administrative Expenses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Disc’s general and administrative expenses for the nine months ended September 30, 2021 and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7320" w:type="dxa"/>
            <w:vAlign w:val="bottom"/>
            <w:vMerge w:val="continue"/>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732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consulting and professional fees</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Personnel-related (including equity-based compensation)</w:t>
            </w:r>
          </w:p>
        </w:tc>
        <w:tc>
          <w:tcPr>
            <w:tcW w:w="5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3,622</w:t>
            </w:r>
          </w:p>
        </w:tc>
        <w:tc>
          <w:tcPr>
            <w:tcW w:w="7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1,863</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5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780</w:t>
            </w:r>
          </w:p>
        </w:tc>
        <w:tc>
          <w:tcPr>
            <w:tcW w:w="7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4,012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9,033</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5,021</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General and administrative expenses were $4.0 million for the nine months ended September 30, 2021 compared to $9.0 million for the nine months ended September 30, 2022. The increase of $5.0 million in general and administrative expenses was primarily due to the recognition of $2.2 million of deferred transaction costs in legal and consulting fees related to a planned equity financing that was superseded by the merger, and an increase of $1.9 million in personnel-related costs related to higher general and administrative headcount.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Income (Expense), Net</w:t>
      </w:r>
    </w:p>
    <w:p>
      <w:pPr>
        <w:spacing w:after="0" w:line="20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Other expense was $3.6 million for the nine months ended September 30, 2021, compared to other expense of $3.1 million for the nine months ended September 30, 2022. The decrease of $0.5 million in other expense was due to an increase of $0.3 million in interest income as well as the change in fair value of Disc’s derivative liability related to the Roche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Since Disc’s inception, Disc has not generated any revenue from product sales and has incurred significant operating losses. Disc expects to continue to incur significant expenses and operating losses for the foreseeable future as Disc advances the clinical development of its product candidates. Disc expects that its research and development and general and administrative costs will continue to increase significantly, including in connection with conducting clinical trials and manufacturing for its product candidates to support commercialization and providing general and administrative support for its operations, including the cost associated with operating as a public company. As a result, Disc will need additional capital to fund its operations, which Disc may obtain from additional equity or debt financings, collaborations, licensing arrangements or other sources. See “Risk Factors” for additional risks associated with Disc’s substantial capital requirements.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To date Disc has funded its operations primarily with proceeds from the sale of Disc convertible preferred stock. Through September 30, 2022, Disc received gross proceeds of $145.0 million from sales of Disc Series Seed, Series A and Series B convertible preferred stock. As of September 30, 2022, Disc had cash and cash equivalents of $55.5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Going Concern</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Disc has incurred significant operating losses since inception and, as of September 30, 2022, had an accumulated deficit of $101.0 million. In addition, Disc expects to continue to incur significant and increasing expenses and operating losses for the foreseeable future. These factors raise substantial doubt about Disc’s ability to continue as a going concern. Disc believed that its cash resources would not be sufficient to allow Disc to fund planned operations beyond the twelve months from the date of the proxy statement/prospectus of December 2, 2022, without additional capital.</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On December 29, 2022, Disc completed the proposed merger, as described in the notes to Disc’s unaudited condensed consolidated financial statements included in Exhibit 99.6 of the Company’s Current Report on Form 8-K of which this Exhibit 99.4 is a part (the “merger”). Upon the completion of the business combination transaction and the Disc pre-closing financing transaction, Disc believes that its current cash resources will last into 2025. Disc may also pursue additional cash resources through public or private equity, collaborations or debt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information regarding Disc’s cash flows for each period presented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5980" w:type="dxa"/>
            <w:vAlign w:val="bottom"/>
            <w:vMerge w:val="continue"/>
          </w:tcPr>
          <w:p>
            <w:pPr>
              <w:spacing w:after="0"/>
              <w:rPr>
                <w:sz w:val="9"/>
                <w:szCs w:val="9"/>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980" w:type="dxa"/>
            <w:vAlign w:val="bottom"/>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(19,966)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(27,534)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(21,130)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(32,587)</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4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w:t>
            </w:r>
          </w:p>
        </w:tc>
        <w:tc>
          <w:tcPr>
            <w:tcW w:w="4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w:t>
            </w:r>
          </w:p>
        </w:tc>
        <w:tc>
          <w:tcPr>
            <w:tcW w:w="4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5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34,980</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89,929</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89,933</w:t>
            </w: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14,937</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62,327</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68,798</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(32,563)</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Activities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Disc’s cash flows from operating activities are greatly influenced by Disc’s use of cash for operating expenses and working capital requirements to support Disc’s business. Disc has historically experienced negative cash flows from operating activities as Disc invested in developing its portfolio, drug discovery efforts and related infrastructure. The cash used in operating activities resulted primarily from Disc’s net losses adjusted for non-cash charges and changes in components of operating assets and liabilities, which are primarily the result of increased expenses and timing of vendor payments.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2020, net cash used in operating activities of $20.0 million was primarily due to Disc’s net loss of $20.9 million, partially offset by both non-cash expenses of $0.4 million and changes in operating assets and liabilities of $0.5 million.</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2021, net cash used in operating activities of $27.5 million was primarily due to Disc’s net loss of $36.0 million, partially offset by both non-cash expenses of $7.2 million and changes in operating assets and liabilities of $1.3 million.</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During the nine months ended September 30, 2021, net cash used in operating activities of $21.1 million was primarily due to Disc’s net loss of $27.1 million, partially offset by both non-cash expenses of $5.4 million and changes in operating assets and liabilities of $0.6 million. The $5.4 million of non-cash expenses was driven by a $3.6 million change in the fair value of the Roche derivative liability and $1.4 million in noncash license expense for the Roche agreement.</w:t>
      </w:r>
    </w:p>
    <w:p>
      <w:pPr>
        <w:spacing w:after="0" w:line="17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During the nine months ended September 30, 2022, net cash used in operating activities of $32.6 million was primarily due to Disc’s net loss of $35.6 million, changes in operating assets and liabilities of $1.7 million and offset by non-cash expenses of $4.7 million. The change in operating assets and liabilities was primarily driven by an increase in prepaid CRO contracts and an increase in deferred transaction costs for the planned merger, offset by the recognition of deferred costs for the planned equity financing. The change in non-cash expenses was primarily driven by a $3.5 million change in the fair value of the derivative liability and $1.1 million in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During the years ended December 31, 2020 and 2021, and the nine months ended September 30, 2021 and 2022, net cash used in investing activities was due to purchases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20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2020, net cash provided by financing activities of $35.0 million consisted primarily of net proceeds from the issuances of Disc Series A convertible preferred stock in May 2020 and October 2020.</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2021, net cash provided by financing activities of $89.9 million consisted primarily of net proceeds from the sale and issuance of Disc Series B convertible preferred stock in September 2021.</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nine months ended September 30, 2021, net cash provided by financing activities of $89.9 million consisted primarily of net proceeds from the sale and issuance of our Series B preferred stock in September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nine months ended September 30, 2022, net cash provided by financing activities was due to proceeds from stock option exercises.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Future Funding Requirements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expects its expenses to increase substantially in connection with its ongoing activities, particularly as Disc advances its product candidates into and through clinical development. In addition, upon the completion of the merger, Disc expects to incur additional costs associated with operating as a public company. Disc’s funding requirements and the timing and amount of Disc’s operating expenditures will depend largely on:</w:t>
      </w:r>
    </w:p>
    <w:p>
      <w:pPr>
        <w:spacing w:after="0" w:line="183" w:lineRule="exact"/>
        <w:rPr>
          <w:sz w:val="20"/>
          <w:szCs w:val="20"/>
          <w:color w:val="auto"/>
        </w:rPr>
      </w:pPr>
    </w:p>
    <w:p>
      <w:pPr>
        <w:ind w:left="560" w:hanging="284"/>
        <w:spacing w:after="0"/>
        <w:tabs>
          <w:tab w:leader="none" w:pos="56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progress, timing, costs and results of preclinical studies and clinical trials for Disc’s product candidates or any future product candidates Disc may develop;</w:t>
      </w:r>
    </w:p>
    <w:p>
      <w:pPr>
        <w:spacing w:after="0" w:line="226"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Disc’s product candidates;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applicable to any product candidates Disc may develop, including but not limited to clinical trial requirements for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63" w:name="page364"/>
    <w:bookmarkEnd w:id="363"/>
    <w:p>
      <w:pPr>
        <w:ind w:left="566" w:hanging="284"/>
        <w:spacing w:after="0"/>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obtaining materials to produce adequate product supply for any preclinical or clinical development of any product candidate Disc may develop;</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ability to establish and maintain strategic collaborations, licensing or other arrangements and the financial terms of such arrangements;</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or receipt of milestones, royalties and other collaboration-based revenues, if any;</w:t>
      </w:r>
    </w:p>
    <w:p>
      <w:pPr>
        <w:spacing w:after="0" w:line="215" w:lineRule="exact"/>
        <w:rPr>
          <w:rFonts w:ascii="Times New Roman" w:cs="Times New Roman" w:eastAsia="Times New Roman" w:hAnsi="Times New Roman"/>
          <w:sz w:val="16"/>
          <w:szCs w:val="16"/>
          <w:color w:val="auto"/>
        </w:rPr>
      </w:pPr>
    </w:p>
    <w:p>
      <w:pPr>
        <w:ind w:left="566" w:right="480" w:hanging="284"/>
        <w:spacing w:after="0" w:line="270" w:lineRule="auto"/>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product manufacturing, marketing, sales and distribution, for any product candidate Disc may develop for which Disc obtains marketing approval;</w:t>
      </w:r>
    </w:p>
    <w:p>
      <w:pPr>
        <w:spacing w:after="0" w:line="173"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revenue, if any, received from commercial sales of Disc’s product candidates for which Disc receives marketing approval; and</w:t>
      </w:r>
    </w:p>
    <w:p>
      <w:pPr>
        <w:spacing w:after="0" w:line="215" w:lineRule="exact"/>
        <w:rPr>
          <w:rFonts w:ascii="Times New Roman" w:cs="Times New Roman" w:eastAsia="Times New Roman" w:hAnsi="Times New Roman"/>
          <w:sz w:val="16"/>
          <w:szCs w:val="16"/>
          <w:color w:val="auto"/>
        </w:rPr>
      </w:pPr>
    </w:p>
    <w:p>
      <w:pPr>
        <w:ind w:left="566" w:hanging="284"/>
        <w:spacing w:after="0"/>
        <w:tabs>
          <w:tab w:leader="none" w:pos="566"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costs involved in prosecuting patent applications and enforcing patent claims and other intellectual property claims.</w:t>
      </w:r>
    </w:p>
    <w:p>
      <w:pPr>
        <w:spacing w:after="0" w:line="209"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19"/>
          <w:szCs w:val="19"/>
          <w:color w:val="auto"/>
        </w:rPr>
        <w:t>Disc believes that the anticipated net proceeds from the merger, together with Disc’s existing cash and cash equivalents, will enable Disc to fund its operating expenses and capital expenditure requirements into 2025. Disc based this estimate on assumptions that may prove to be wrong, and Disc could exhaust its available capital resources sooner than expected.</w:t>
      </w:r>
    </w:p>
    <w:p>
      <w:pPr>
        <w:spacing w:after="0" w:line="176"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Identifying potential product candidates and conducting preclinical studies and clinical trials is a time consuming, expensive and uncertain process that takes years to complete, and Disc may never generate the necessary data or results required to obtain marketing approval and achieve product sales. In addition, Disc’s product candidates, if approved, may not achieve commercial success. Disc’s commercial revenues, if any, will be derived from sales of products that Disc does not expect to be commercially available for many years, if ever. Accordingly, Disc will need to obtain substantial additional funds to achieve its business objectives.</w:t>
      </w:r>
    </w:p>
    <w:p>
      <w:pPr>
        <w:spacing w:after="0" w:line="180" w:lineRule="exact"/>
        <w:rPr>
          <w:sz w:val="20"/>
          <w:szCs w:val="20"/>
          <w:color w:val="auto"/>
        </w:rPr>
      </w:pPr>
    </w:p>
    <w:p>
      <w:pPr>
        <w:jc w:val="both"/>
        <w:ind w:left="6"/>
        <w:spacing w:after="0" w:line="234" w:lineRule="auto"/>
        <w:rPr>
          <w:sz w:val="20"/>
          <w:szCs w:val="20"/>
          <w:color w:val="auto"/>
        </w:rPr>
      </w:pPr>
      <w:r>
        <w:rPr>
          <w:rFonts w:ascii="Times New Roman" w:cs="Times New Roman" w:eastAsia="Times New Roman" w:hAnsi="Times New Roman"/>
          <w:sz w:val="19"/>
          <w:szCs w:val="19"/>
          <w:color w:val="auto"/>
        </w:rPr>
        <w:t>Until such time, if ever, as Disc can generate substantial revenue from product sales, Disc expects to finance its cash needs through a combination of equity offerings, debt financings, collaborations, strategic alliances, and marketing, distribution or licensing arrangements with third parties. However, Disc may be unable to raise additional funds or enter into such other arrangements when needed on favorable terms or at all. Market volatility resulting from the COVID-19 pandemic or other factors could also adversely impact Disc’s ability to access capital as and when needed. To the extent that Disc raises additional capital through the sale of equity or convertible debt securities, the ownership interest of Disc’s existing stockholders may be materially diluted, and the terms of such securities could include liquidation or other preferences that adversely affect the rights of Disc’s common stockholders. Debt financing and preferred equity financing, if available, may involve agreements that include restrictive covenants that limit Disc’s ability to take specified actions, such as incurring additional debt, making capital expenditures or declaring dividends. If Disc raises funds through collaborations, strategic alliances or marketing, distribution or licensing arrangements with third parties, Disc may have to relinquish valuable rights to its technologies, future revenue streams, research programs or product candidates or grant licenses on terms that may not be favorable to Disc. If Disc is unable to raise additional funds through equity or debt financings or other arrangements when needed, Disc may be required to delay, reduce or eliminate its product development or future commercialization efforts, or grant rights to develop and market product candidates that Disc would otherwise prefer to develop and market itself.</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Contractual Obligations and Other Commitments</w:t>
      </w:r>
    </w:p>
    <w:p>
      <w:pPr>
        <w:spacing w:after="0" w:line="2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following table summarizes Disc’s contractual obligations as of September 30, 2022 and the effects that such obligations are expected to have on</w:t>
      </w:r>
    </w:p>
    <w:p>
      <w:pPr>
        <w:spacing w:after="0" w:line="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Disc’s liquidity and cash flows in future periods (in thousands):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6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2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6"/>
                <w:szCs w:val="16"/>
                <w:b w:val="1"/>
                <w:bCs w:val="1"/>
                <w:color w:val="auto"/>
              </w:rPr>
              <w:t>1 to 3</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3 to 5</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620" w:type="dxa"/>
            <w:vAlign w:val="bottom"/>
            <w:vMerge w:val="continue"/>
          </w:tcPr>
          <w:p>
            <w:pPr>
              <w:spacing w:after="0"/>
              <w:rPr>
                <w:sz w:val="9"/>
                <w:szCs w:val="9"/>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Pr>
          <w:p>
            <w:pPr>
              <w:spacing w:after="0"/>
              <w:rPr>
                <w:sz w:val="9"/>
                <w:szCs w:val="9"/>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6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commitments(1)</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2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770</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436</w:t>
            </w:r>
          </w:p>
        </w:tc>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86" w:right="100" w:hanging="286"/>
        <w:spacing w:after="0" w:line="270" w:lineRule="auto"/>
        <w:tabs>
          <w:tab w:leader="none" w:pos="286"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payments due for Disc’s leased office space in Watertown, Massachusetts as of September 30, 2022. The lease term began in November 2021 and will end in November 2026.</w:t>
      </w:r>
    </w:p>
    <w:p>
      <w:pPr>
        <w:spacing w:after="0" w:line="167"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Disc enters into contracts in the normal course of business with CROs, CDMOs and other third parties for preclinical studies, clinical trials and manufacturing services. These contracts typically do not contain minimum purchase commitments and are generally cancelable by Disc upon written notice. Payments due upon cancellation consist of payments for services provided or expenses incurred, including noncancelable obligations of Disc’s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50100" cy="146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364" w:name="page365"/>
    <w:bookmarkEnd w:id="364"/>
    <w:p>
      <w:pPr>
        <w:jc w:val="both"/>
        <w:spacing w:after="0" w:line="238" w:lineRule="auto"/>
        <w:rPr>
          <w:sz w:val="20"/>
          <w:szCs w:val="20"/>
          <w:color w:val="auto"/>
        </w:rPr>
      </w:pPr>
      <w:r>
        <w:rPr>
          <w:rFonts w:ascii="Times New Roman" w:cs="Times New Roman" w:eastAsia="Times New Roman" w:hAnsi="Times New Roman"/>
          <w:sz w:val="19"/>
          <w:szCs w:val="19"/>
          <w:color w:val="auto"/>
        </w:rPr>
        <w:t>Disc has also entered into license agreements under which Disc is obligated to make specified milestone and royalty payments. Disc has not included future payments under these agreements in the table of contractual obligations above since the payment obligations under these agreements are contingent upon future events such as regulatory milestones or generating product sales. Disc is unable to estimate the timing or likelihood of achieving these milestones or generating future product sales. For additional information about Disc’s license agreements and amounts that could become payable in the future under such agreements, see Disc’s consolidated financial statements included in Exhibits 99.5 and 99.6 of the Company’s Current Report on Form 8-K of which this Exhibit 99.4 is a part. See also “Licensing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Disc’s management’s discussion and analysis of its financial condition and results of operations is based on Disc’s consolidated financial statements, which have been prepared in accordance with U.S. generally accepted accounting principles, or GAAP. The preparation of Disc’s consolidated financial statements and related disclosures requires Disc to make estimates and judgments that affect the reported amounts of assets, liabilities, costs and expenses, and the disclosure of contingent assets and liabilities in Disc’s consolidated financial statements. Disc bases its estimates on historical experience, known trends and events and various other factors that Disc believes are reasonable under the circumstances, the results of which form the basis for making judgments about the carrying values of assets and liabilities that are not readily apparent from other sources. Disc evaluates its estimates and assumptions on an ongoing basis. Disc’s actual results may differ from these estimates under different assumptions or conditions.</w:t>
      </w:r>
    </w:p>
    <w:p>
      <w:pPr>
        <w:spacing w:after="0" w:line="16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While Disc’s significant accounting policies are described in more detail in Note 2 to Disc’s consolidated financial statements included in Exhibit 99.5 of the Company’s Current Report on Form 8-K of which this Exhibit 99.4 is a part, Disc believes that the following accounting policies are those most critical to the judgments and estimates used in the preparation of Disc’s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Contract Costs and Accruals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part of the process of preparing Disc’s consolidated financial statements, Disc is required to estimate its accrued and prepaid research and development expenses. This process involves reviewing open contracts and purchase orders, communicating with applicable personnel to identify services that have been performed on Disc’s behalf and estimating the level of service performed and the associated cost incurred for the service when Disc has not yet been invoiced or otherwise notified of actual costs. The majority of Disc’s service providers invoice Disc in arrears for services performed, on a pre-determined schedule or when contractual milestones are met; however, some require advance payments. Disc makes estimates of its accrued expenses as of each balance sheet date in the consolidated financial statements based on facts and circumstances known to Disc at that time. Disc periodically confirms the accuracy of these estimates with the service providers and makes adjustments, if necessary. Examples of estimated accrued research and development expenses include fees paid to:</w:t>
      </w:r>
    </w:p>
    <w:p>
      <w:pPr>
        <w:spacing w:after="0" w:line="190" w:lineRule="exact"/>
        <w:rPr>
          <w:sz w:val="20"/>
          <w:szCs w:val="20"/>
          <w:color w:val="auto"/>
        </w:rPr>
      </w:pPr>
    </w:p>
    <w:p>
      <w:pPr>
        <w:ind w:left="560" w:hanging="284"/>
        <w:spacing w:after="0"/>
        <w:tabs>
          <w:tab w:leader="none" w:pos="5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vendors in connection with preclinical development activities;</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 and investigative sites in connection with preclinical studies and clinical trials; and</w:t>
      </w:r>
    </w:p>
    <w:p>
      <w:pPr>
        <w:spacing w:after="0" w:line="215"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CDMOs in connection with the production of preclinical study and clinical trial materials.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financial terms of these agreements are subject to negotiation, vary from contract to contract and may result in uneven payment flows. There may be instances in which payments made to Disc’s vendors will exceed the level of services provided and result in a prepayment of the expense. In accruing service fees, Disc estimates the time period over which services will be performed and the level of effort to be expended in each period. If the actual timing of the performance of services or the level of effort varies from the estimate, Disc adjusts the accrual or the amount of prepaid expenses accordingly. Although Disc does not expect its estimates to be materially different from amounts actually incurred, Disc’s understanding of the status and timing of services performed relative to the actual status and timing of services performed may vary and may result in reporting amounts that are too high or too low in any particular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Derivative Liability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 May 2021, Disc entered into a license agreement (the “Roche Agreement”) with F. Hoffmann-La Roche Ltd. and Hoffmann-La Roche Inc. (together, “Roche”) pursuant to which Roche granted Disc an exclusive and sublicensable worldwide license under certain patent rights and know-how to develop, manufacture and commercialize certain compounds (the “Compounds”) as further described in Note 7 to Disc’s consolidated financial statements included in Exhibit 99.5 of the Company’s Current Report on Form 8-K of which this Exhibit 99.4 is a part. Disc recognized a liability in connection with the Roche Agreement which includes an obligation to issue a variable number of shares of Disc common stock to Roche for no additional consideration upon Disc’s completion of an initial public offering or certain merger transactions, a “Roche Qualified Transaction.” The number of shares of common stock to be issued to Roche was estimated to be approximately 2.85% of the outstanding shares of Disc common stock as of immediately after the completion of a Roche Qualified Transaction. Disc has determined that the obligation to issue common stock upon completion of a Roche Qualified Transaction represents a liability classified financial instrument. The liability is measured at fair value as of each reporting date and the change in the fair value for the period is recorded in the consolidated statements of operations in the change in fair value of derivative liability. The fair value measurement of the derivative liability is classified as Level 3 under the fair value hierarchy as it has been valued using certain unobservable inputs. These inputs include: (1) Disc’s fair value upon completion of a Roche Qualified Transaction and (2) the probability of Disc completing a Roche Qualified Transaction. The probability of Disc completing a Roche Qualified Transaction was low double-digits upon the execution of the Roche Agreement, adjusted periodically based on Disc’s progress towards a Roche Qualified Transaction. Significant increases or decreases in any of those inputs could result in a significantly lower or higher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50100" cy="146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Disc measures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Disc recognizes compensation expense using the straight-line method. For stock-based awards with performance-based vesting conditions, Disc uses the accelerated attribution method to expense the awards over the implicit service period based on the probability of achieving the performance conditions. The fair value of each stock option grant is estimated on the date of grant using the Black-Scholes option-pricing model, which requires inputs based on certain subjective assumptions, including the fair value of Disc common stock, the expected stock price volatility, the expected term of the option, the risk-free interest rate for a period that approximates the expected term of the option, and the expected dividend yield. As there is no public market for Disc common stock, Disc determined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Disc expects to continue to do so until such time as Disc has adequate historical data regarding the volatility of Disc’s own traded stock price. The expected term of Disc’s stock options granted to employees has been determined utilizing the “simplified” method for awards that qualify as “plain-vanilla” options, using the average between the vesting date and the contractual term. The fair value of each restricted common stock award is estimated on the date of grant based on the estimated fair value of Disc common stock on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Determination of the Fair Value of Common Stock</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As there has been no public market for Disc common stock to date, the estimated fair value of Disc common stock has been determined by Disc’s board of directors as of the date of each option grant with input from management, considering Disc’s most recently available third-party valuation of common stock, and Disc’s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w:t>
      </w:r>
      <w:r>
        <w:rPr>
          <w:rFonts w:ascii="Times New Roman" w:cs="Times New Roman" w:eastAsia="Times New Roman" w:hAnsi="Times New Roman"/>
          <w:sz w:val="19"/>
          <w:szCs w:val="19"/>
          <w:i w:val="1"/>
          <w:iCs w:val="1"/>
          <w:color w:val="auto"/>
        </w:rPr>
        <w:t>American Institute of Certified Public Accountants’ Accounting and Valuation Guide, Valuation of Privately-Held-Company Equity Securities Issued as Compensation.</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Disc’s common stock valuations were prepared using either an option pricing method, or OPM, or a hybrid method, both of which used market approaches to estimate Disc’s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assumptions underlying these valuations were highly complex and subjective and represented management’s best estimates, which involved inherent uncertainties and the application of management’s judgment. As a result, if Disc had used significantly different assumptions or estimates, the fair value of Disc common stock and stock-based compensation expense could be materially different.</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These independent third-party valuations were performed at various dates, which resulted in estimated valuations of Disc common stock by Disc’s board of directors of $0.11 per share as of September 13, 2019, $0.29 per share as of May 31, 2020, $1.08 per share as of August 15, 2021, $1.58 per share as of November 1, 2021, $1.61 per share as of January 31, 2022, $1.00 per share as of May 31, 2022, and $2.19 per share as of August 31, 2022.</w:t>
      </w:r>
    </w:p>
    <w:p>
      <w:pPr>
        <w:spacing w:after="0" w:line="17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Once a public trading market for Disc common stock has been established in connection with the completion of the merger, it will no longer be necessary for Disc’s board of directors to estimate the fair value of Disc common stock in connection with its accounting for granted stock options and other such awards Disc may grant, as the fair value of Disc common stock will be determined based on the quoted market price of Disc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50100" cy="146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20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granted between January 1, 2020 and December 23, 2022, the per share exercise price of the options, the fair value of common stock per share on each grant date, and the per share estimated fair value of the options: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 Share Fair</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Subject</w:t>
            </w: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on</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on Grant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 Option</w:t>
            </w:r>
          </w:p>
        </w:tc>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11, 2020</w:t>
            </w:r>
          </w:p>
        </w:tc>
        <w:tc>
          <w:tcPr>
            <w:tcW w:w="1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2,868,382</w:t>
            </w:r>
          </w:p>
        </w:tc>
        <w:tc>
          <w:tcPr>
            <w:tcW w:w="2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85"/>
              </w:rPr>
              <w:t>0.06</w:t>
            </w:r>
          </w:p>
        </w:tc>
        <w:tc>
          <w:tcPr>
            <w:tcW w:w="120" w:type="dxa"/>
            <w:vAlign w:val="bottom"/>
            <w:shd w:val="clear" w:color="auto" w:fill="CCEEFF"/>
          </w:tcPr>
          <w:p>
            <w:pPr>
              <w:spacing w:after="0"/>
              <w:rPr>
                <w:sz w:val="16"/>
                <w:szCs w:val="16"/>
                <w:color w:val="auto"/>
              </w:rPr>
            </w:pP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August 11, 2020</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989,097</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15, 2020</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123,637</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October 23, 2020</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1,692,775</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27, 2020</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256,468</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February 12, 2021</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705,287</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18, 2021</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89,000</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April 26, 2021</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192,350</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0.29</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10, 2021</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1,003,926</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0.62</w:t>
            </w: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September 14, 2021</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4,112,590</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0.62</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1, 2021</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665,000</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0.89</w:t>
            </w: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February 7, 2022</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1,356,149</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0.86</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6, 2022</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335,000</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1.61</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1.61</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0.87</w:t>
            </w: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July 11, 2022</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518,200</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0.54</w:t>
            </w: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4, 2022</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640,000</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1.24</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per share estimated fair value of options reflects the fair value of options as estimated at the date of grant using the Black-Scholes option-pricing model.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Off-Balance Sheet Arrangements</w:t>
      </w:r>
    </w:p>
    <w:p>
      <w:pPr>
        <w:spacing w:after="0" w:line="20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Disc did not have during the periods presented, and does not currently have, any off-balance sheet arrangements, as defined in the rules and regulations of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and Adopted Accounting Pronouncements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A description of recently issued and certain recently adopted accounting pronouncements that have or may potentially impact Disc’s financial position and results of operations is included in Note 2 to Disc’s consolidated financial statements included in Exhibit 99.5 of the Company’s Current Report on Form 8-K of which this Exhibit 99.4 is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50100" cy="146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9"/>
          <w:szCs w:val="19"/>
          <w:b w:val="1"/>
          <w:bCs w:val="1"/>
          <w:color w:val="auto"/>
        </w:rPr>
        <w:t>Quantitative and Qualitative Disclosures About Market Risk</w:t>
      </w: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As of December 31, 2020 and 2021, Disc had cash and cash equivalents of $25.8 million and $88.0 million, respectively, which consisted of cash and money market funds. As of September 30, 2022, Disc had cash and cash equivalents of $55.5 million. Interest income is sensitive to changes in the general level of interest rates; however, due to the nature of these investments, an immediate 10% change in market interest rates would not have a material effect on the fair market value of Disc’s cash or cash equivalents.</w:t>
      </w:r>
    </w:p>
    <w:p>
      <w:pPr>
        <w:spacing w:after="0" w:line="17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Disc’s employees and operations are primarily located in the United States. Disc has, from time to time, engaged in contracts with contractors or other vendors in a currency other than the U.S. dollar. To date, Disc has had minimal exposure to fluctuations in foreign currency exchange rates as the time period between the date that transactions are initiated, and the date of payment or receipt of payment is generally of short duration. Accordingly, Disc believes it does not have a material exposure to foreign currency risk.</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Inflation generally affects Disc by increasing its cost of labor. Disc does not believe that inflation had a material effect on its business, financial condition or results of operations during the years ended December 31, 2020 or 2021 or during the nine months ended September 30,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150100" cy="146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68" w:name="page369"/>
    <w:bookmarkEnd w:id="368"/>
    <w:p>
      <w:pPr>
        <w:ind w:left="10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99.5</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INDEX TO DISC’S CONSOLIDATED FINANCIAL STATEMENTS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Year ended December 31, 2021 and year ended December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5880" w:type="dxa"/>
            <w:vAlign w:val="bottom"/>
            <w:shd w:val="clear" w:color="auto" w:fill="CCEEFF"/>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tc>
        <w:tc>
          <w:tcPr>
            <w:tcW w:w="58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2</w:t>
            </w:r>
          </w:p>
        </w:tc>
      </w:tr>
      <w:tr>
        <w:trPr>
          <w:trHeight w:val="188"/>
        </w:trPr>
        <w:tc>
          <w:tcPr>
            <w:tcW w:w="538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58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3</w:t>
            </w:r>
          </w:p>
        </w:tc>
      </w:tr>
      <w:tr>
        <w:trPr>
          <w:trHeight w:val="188"/>
        </w:trPr>
        <w:tc>
          <w:tcPr>
            <w:tcW w:w="538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Loss</w:t>
            </w:r>
          </w:p>
        </w:tc>
        <w:tc>
          <w:tcPr>
            <w:tcW w:w="58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4</w:t>
            </w:r>
          </w:p>
        </w:tc>
      </w:tr>
      <w:tr>
        <w:trPr>
          <w:trHeight w:val="188"/>
        </w:trPr>
        <w:tc>
          <w:tcPr>
            <w:tcW w:w="538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Convertible Preferred Stock and Stockholders’ Deficit</w:t>
            </w:r>
          </w:p>
        </w:tc>
        <w:tc>
          <w:tcPr>
            <w:tcW w:w="58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5</w:t>
            </w:r>
          </w:p>
        </w:tc>
      </w:tr>
      <w:tr>
        <w:trPr>
          <w:trHeight w:val="188"/>
        </w:trPr>
        <w:tc>
          <w:tcPr>
            <w:tcW w:w="538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58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6</w:t>
            </w:r>
          </w:p>
        </w:tc>
      </w:tr>
      <w:tr>
        <w:trPr>
          <w:trHeight w:val="188"/>
        </w:trPr>
        <w:tc>
          <w:tcPr>
            <w:tcW w:w="538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58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7</w:t>
            </w:r>
          </w:p>
        </w:tc>
      </w:tr>
      <w:tr>
        <w:trPr>
          <w:trHeight w:val="508"/>
        </w:trPr>
        <w:tc>
          <w:tcPr>
            <w:tcW w:w="5380" w:type="dxa"/>
            <w:vAlign w:val="bottom"/>
          </w:tcPr>
          <w:p>
            <w:pPr>
              <w:spacing w:after="0"/>
              <w:rPr>
                <w:sz w:val="24"/>
                <w:szCs w:val="24"/>
                <w:color w:val="auto"/>
              </w:rPr>
            </w:pPr>
          </w:p>
        </w:tc>
        <w:tc>
          <w:tcPr>
            <w:tcW w:w="5880" w:type="dxa"/>
            <w:vAlign w:val="bottom"/>
          </w:tcPr>
          <w:p>
            <w:pPr>
              <w:jc w:val="right"/>
              <w:ind w:right="5524"/>
              <w:spacing w:after="0"/>
              <w:rPr>
                <w:sz w:val="20"/>
                <w:szCs w:val="20"/>
                <w:color w:val="auto"/>
              </w:rPr>
            </w:pPr>
            <w:r>
              <w:rPr>
                <w:rFonts w:ascii="Times New Roman" w:cs="Times New Roman" w:eastAsia="Times New Roman" w:hAnsi="Times New Roman"/>
                <w:sz w:val="13"/>
                <w:szCs w:val="13"/>
                <w:color w:val="auto"/>
              </w:rPr>
              <w:t>1</w:t>
            </w:r>
          </w:p>
        </w:tc>
      </w:tr>
      <w:tr>
        <w:trPr>
          <w:trHeight w:val="36"/>
        </w:trPr>
        <w:tc>
          <w:tcPr>
            <w:tcW w:w="5380" w:type="dxa"/>
            <w:vAlign w:val="bottom"/>
            <w:tcBorders>
              <w:bottom w:val="single" w:sz="8" w:color="auto"/>
            </w:tcBorders>
          </w:tcPr>
          <w:p>
            <w:pPr>
              <w:spacing w:after="0"/>
              <w:rPr>
                <w:sz w:val="3"/>
                <w:szCs w:val="3"/>
                <w:color w:val="auto"/>
              </w:rPr>
            </w:pPr>
          </w:p>
        </w:tc>
        <w:tc>
          <w:tcPr>
            <w:tcW w:w="58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253" w:right="319" w:bottom="1440" w:gutter="0" w:footer="0" w:header="0"/>
        </w:sectPr>
      </w:pPr>
    </w:p>
    <w:bookmarkStart w:id="369" w:name="page370"/>
    <w:bookmarkEnd w:id="369"/>
    <w:p>
      <w:pPr>
        <w:ind w:left="240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Stockholders and Board of Directors of Disc Medicine,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08" w:lineRule="exact"/>
        <w:rPr>
          <w:sz w:val="20"/>
          <w:szCs w:val="20"/>
          <w:color w:val="auto"/>
        </w:rPr>
      </w:pPr>
    </w:p>
    <w:p>
      <w:pPr>
        <w:jc w:val="both"/>
        <w:ind w:right="20" w:firstLine="313"/>
        <w:spacing w:after="0" w:line="239"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Disc Medicine, Inc. (the Company) as of December 31, 2020 and 2021, the related consolidated statements of operations and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2021, and the results of its operations and its cash flows for the years then ended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08"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jc w:val="both"/>
        <w:ind w:right="20" w:firstLine="313"/>
        <w:spacing w:after="0" w:line="239"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Boston, Massachusetts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25, 2022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0" w:name="page371"/>
    <w:bookmarkEnd w:id="37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71"/>
        </w:trPr>
        <w:tc>
          <w:tcPr>
            <w:tcW w:w="86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25,825</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88,036</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365</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2,448</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26,190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90,484</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1,056</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1,641</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27,377</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92,411</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588</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2,559</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2,437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4,096</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liability</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3,224</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13,424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1,334</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4,074</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14,758</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1"/>
        </w:trPr>
        <w:tc>
          <w:tcPr>
            <w:tcW w:w="86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Series Seed convertible preferred stock, $0.0001 par value; 5,000,000 shares authorized, issued and outstanding as of December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2020 and 2021 (liquidation preference of $5,000 as of December 31, 2020 and 2021)</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2,350</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2,350</w:t>
            </w:r>
          </w:p>
        </w:tc>
      </w:tr>
      <w:tr>
        <w:trPr>
          <w:trHeight w:val="172"/>
        </w:trPr>
        <w:tc>
          <w:tcPr>
            <w:tcW w:w="86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Series A convertible preferred stock, $0.0001 par value; 41,666,666 shares authorized, issued and outstanding as of December 31, 2020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4"/>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2021 (liquidation preference of $50,000 as of December 31, 2020 and 2021)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49,762</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49,762</w:t>
            </w:r>
          </w:p>
        </w:tc>
      </w:tr>
      <w:tr>
        <w:trPr>
          <w:trHeight w:val="171"/>
        </w:trPr>
        <w:tc>
          <w:tcPr>
            <w:tcW w:w="86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Series B convertible preferred stock, $0.0001 par value; no shares authorized, issued or outstanding, as of December 31, 2020;</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37,499,999 shares authorized, issued and outstanding as of December 31, 2021 (liquidation preference of $90,000 as of December 31,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89,744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1"/>
        </w:trPr>
        <w:tc>
          <w:tcPr>
            <w:tcW w:w="86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Common stock, $0.0001 par value; 70,000,000 and 108,108,833 shares authorized as of December 31, 2020 and 2021, respectively;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7,924,528 and 8,390,438 shares issued December 31, 2020 and 2021, respectively; and 7,696,947 and 8,297,664 shares outstanding as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December 31, 2020 and 2021, respectively</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1,185</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(29,420)</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(65,389)</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(28,809)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(64,203)</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27,377</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92,411</w:t>
            </w:r>
          </w:p>
        </w:tc>
      </w:tr>
    </w:tbl>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1" w:name="page372"/>
    <w:bookmarkEnd w:id="371"/>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1"/>
        </w:trPr>
        <w:tc>
          <w:tcPr>
            <w:tcW w:w="86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18,020</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25,170</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2,956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5,763</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30,933</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(20,976)</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(30,933)</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(5,050)</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(5,036)</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(20,936)</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(35,969)</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(20,936)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(35,969)</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6,930,451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8,014,679</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(4.49)</w:t>
            </w:r>
          </w:p>
        </w:tc>
      </w:tr>
    </w:tbl>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2" w:name="page373"/>
    <w:bookmarkEnd w:id="372"/>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CONVERTIBLE PREFERRED STOCK</w:t>
      </w:r>
    </w:p>
    <w:p>
      <w:pPr>
        <w:spacing w:after="0" w:line="2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AND STOCKHOLDERS’ DEFICIT  </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Convertible Preferred Stock</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260" w:type="dxa"/>
            <w:vAlign w:val="bottom"/>
          </w:tcPr>
          <w:p>
            <w:pPr>
              <w:spacing w:after="0"/>
              <w:rPr>
                <w:sz w:val="14"/>
                <w:szCs w:val="14"/>
                <w:color w:val="auto"/>
              </w:rPr>
            </w:pPr>
          </w:p>
        </w:tc>
        <w:tc>
          <w:tcPr>
            <w:tcW w:w="1160" w:type="dxa"/>
            <w:vAlign w:val="bottom"/>
            <w:gridSpan w:val="3"/>
          </w:tcPr>
          <w:p>
            <w:pPr>
              <w:jc w:val="center"/>
              <w:ind w:left="262"/>
              <w:spacing w:after="0" w:line="169" w:lineRule="exact"/>
              <w:rPr>
                <w:sz w:val="20"/>
                <w:szCs w:val="20"/>
                <w:color w:val="auto"/>
              </w:rPr>
            </w:pPr>
            <w:r>
              <w:rPr>
                <w:rFonts w:ascii="Times New Roman" w:cs="Times New Roman" w:eastAsia="Times New Roman" w:hAnsi="Times New Roman"/>
                <w:sz w:val="16"/>
                <w:szCs w:val="16"/>
                <w:b w:val="1"/>
                <w:bCs w:val="1"/>
                <w:color w:val="auto"/>
                <w:w w:val="96"/>
              </w:rPr>
              <w:t>Series Seed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left="402"/>
              <w:spacing w:after="0" w:line="169" w:lineRule="exact"/>
              <w:rPr>
                <w:sz w:val="20"/>
                <w:szCs w:val="20"/>
                <w:color w:val="auto"/>
              </w:rPr>
            </w:pPr>
            <w:r>
              <w:rPr>
                <w:rFonts w:ascii="Times New Roman" w:cs="Times New Roman" w:eastAsia="Times New Roman" w:hAnsi="Times New Roman"/>
                <w:sz w:val="16"/>
                <w:szCs w:val="16"/>
                <w:b w:val="1"/>
                <w:bCs w:val="1"/>
                <w:color w:val="auto"/>
                <w:w w:val="95"/>
              </w:rPr>
              <w:t>Series A</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jc w:val="center"/>
              <w:ind w:left="342"/>
              <w:spacing w:after="0" w:line="169" w:lineRule="exact"/>
              <w:rPr>
                <w:sz w:val="20"/>
                <w:szCs w:val="20"/>
                <w:color w:val="auto"/>
              </w:rPr>
            </w:pPr>
            <w:r>
              <w:rPr>
                <w:rFonts w:ascii="Times New Roman" w:cs="Times New Roman" w:eastAsia="Times New Roman" w:hAnsi="Times New Roman"/>
                <w:sz w:val="16"/>
                <w:szCs w:val="16"/>
                <w:b w:val="1"/>
                <w:bCs w:val="1"/>
                <w:color w:val="auto"/>
                <w:w w:val="97"/>
              </w:rPr>
              <w:t>Series B</w:t>
            </w: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left="142"/>
              <w:spacing w:after="0" w:line="169"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spacing w:after="0"/>
              <w:rPr>
                <w:sz w:val="16"/>
                <w:szCs w:val="16"/>
                <w:color w:val="auto"/>
              </w:rPr>
            </w:pPr>
          </w:p>
        </w:tc>
        <w:tc>
          <w:tcPr>
            <w:tcW w:w="1160" w:type="dxa"/>
            <w:vAlign w:val="bottom"/>
            <w:gridSpan w:val="3"/>
          </w:tcPr>
          <w:p>
            <w:pPr>
              <w:jc w:val="center"/>
              <w:ind w:left="262"/>
              <w:spacing w:after="0"/>
              <w:rPr>
                <w:sz w:val="20"/>
                <w:szCs w:val="20"/>
                <w:color w:val="auto"/>
              </w:rPr>
            </w:pPr>
            <w:r>
              <w:rPr>
                <w:rFonts w:ascii="Times New Roman" w:cs="Times New Roman" w:eastAsia="Times New Roman" w:hAnsi="Times New Roman"/>
                <w:sz w:val="16"/>
                <w:szCs w:val="16"/>
                <w:b w:val="1"/>
                <w:bCs w:val="1"/>
                <w:color w:val="auto"/>
                <w:w w:val="96"/>
              </w:rPr>
              <w:t>$0.0001 Par</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$0.0001 Par</w:t>
            </w:r>
          </w:p>
        </w:tc>
        <w:tc>
          <w:tcPr>
            <w:tcW w:w="1680" w:type="dxa"/>
            <w:vAlign w:val="bottom"/>
            <w:tcBorders>
              <w:right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$0.0001 Par</w:t>
            </w:r>
          </w:p>
        </w:tc>
        <w:tc>
          <w:tcPr>
            <w:tcW w:w="80" w:type="dxa"/>
            <w:vAlign w:val="bottom"/>
          </w:tcPr>
          <w:p>
            <w:pPr>
              <w:spacing w:after="0"/>
              <w:rPr>
                <w:sz w:val="16"/>
                <w:szCs w:val="16"/>
                <w:color w:val="auto"/>
              </w:rPr>
            </w:pPr>
          </w:p>
        </w:tc>
        <w:tc>
          <w:tcPr>
            <w:tcW w:w="1340" w:type="dxa"/>
            <w:vAlign w:val="bottom"/>
            <w:gridSpan w:val="3"/>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8"/>
              </w:rPr>
              <w:t>$0.0001 Par</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1260" w:type="dxa"/>
            <w:vAlign w:val="bottom"/>
          </w:tcPr>
          <w:p>
            <w:pPr>
              <w:spacing w:after="0"/>
              <w:rPr>
                <w:sz w:val="18"/>
                <w:szCs w:val="18"/>
                <w:color w:val="auto"/>
              </w:rPr>
            </w:pPr>
          </w:p>
        </w:tc>
        <w:tc>
          <w:tcPr>
            <w:tcW w:w="1160" w:type="dxa"/>
            <w:vAlign w:val="bottom"/>
            <w:tcBorders>
              <w:bottom w:val="single" w:sz="8" w:color="auto"/>
            </w:tcBorders>
            <w:gridSpan w:val="3"/>
          </w:tcPr>
          <w:p>
            <w:pPr>
              <w:jc w:val="center"/>
              <w:ind w:left="26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gridSpan w:val="4"/>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center"/>
              <w:ind w:left="34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4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gridSpan w:val="3"/>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2"/>
              </w:rPr>
              <w:t>Paid-In</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191"/>
        </w:trPr>
        <w:tc>
          <w:tcPr>
            <w:tcW w:w="1260" w:type="dxa"/>
            <w:vAlign w:val="bottom"/>
          </w:tcPr>
          <w:p>
            <w:pPr>
              <w:spacing w:after="0"/>
              <w:rPr>
                <w:sz w:val="16"/>
                <w:szCs w:val="16"/>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4"/>
              </w:rPr>
              <w:t>Capital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r>
      <w:tr>
        <w:trPr>
          <w:trHeight w:val="169"/>
        </w:trPr>
        <w:tc>
          <w:tcPr>
            <w:tcW w:w="12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88"/>
              </w:rPr>
              <w:t>2,350</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12,499,999</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14,783</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5,499,137</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(8,484)</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(8,221)</w:t>
            </w:r>
          </w:p>
        </w:tc>
      </w:tr>
      <w:tr>
        <w:trPr>
          <w:trHeight w:val="171"/>
        </w:trPr>
        <w:tc>
          <w:tcPr>
            <w:tcW w:w="12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Issuance of Series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convertible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issuance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 of $21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29,166,667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34,979</w:t>
            </w:r>
          </w:p>
        </w:tc>
        <w:tc>
          <w:tcPr>
            <w:tcW w:w="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Vesting of</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issued to</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AbbVie (Note 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2,041,667</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w:t>
            </w:r>
          </w:p>
        </w:tc>
      </w:tr>
      <w:tr>
        <w:trPr>
          <w:trHeight w:val="171"/>
        </w:trPr>
        <w:tc>
          <w:tcPr>
            <w:tcW w:w="12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Issuance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upon exercise of</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12,295</w:t>
            </w:r>
          </w:p>
        </w:tc>
        <w:tc>
          <w:tcPr>
            <w:tcW w:w="42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172"/>
        </w:trPr>
        <w:tc>
          <w:tcPr>
            <w:tcW w:w="1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Vesting of</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143,848</w:t>
            </w:r>
          </w:p>
        </w:tc>
        <w:tc>
          <w:tcPr>
            <w:tcW w:w="4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71"/>
        </w:trPr>
        <w:tc>
          <w:tcPr>
            <w:tcW w:w="12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Stock-based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r>
      <w:tr>
        <w:trPr>
          <w:trHeight w:val="188"/>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(20,936)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(20,936)</w:t>
            </w:r>
          </w:p>
        </w:tc>
      </w:tr>
      <w:tr>
        <w:trPr>
          <w:trHeight w:val="169"/>
        </w:trPr>
        <w:tc>
          <w:tcPr>
            <w:tcW w:w="126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8"/>
              </w:rPr>
              <w:t>2,350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41,666,666</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49,762</w:t>
            </w:r>
          </w:p>
        </w:tc>
        <w:tc>
          <w:tcPr>
            <w:tcW w:w="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7,696,947</w:t>
            </w:r>
          </w:p>
        </w:tc>
        <w:tc>
          <w:tcPr>
            <w:tcW w:w="180" w:type="dxa"/>
            <w:vAlign w:val="bottom"/>
          </w:tcPr>
          <w:p>
            <w:pPr>
              <w:spacing w:after="0"/>
              <w:rPr>
                <w:sz w:val="17"/>
                <w:szCs w:val="17"/>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(29,420)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(28,809)</w:t>
            </w:r>
          </w:p>
        </w:tc>
      </w:tr>
      <w:tr>
        <w:trPr>
          <w:trHeight w:val="172"/>
        </w:trPr>
        <w:tc>
          <w:tcPr>
            <w:tcW w:w="1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 Series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 convertible</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issuance</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costs of $256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37,499,999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89,744</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71"/>
        </w:trPr>
        <w:tc>
          <w:tcPr>
            <w:tcW w:w="12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Issuance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upon exercise of</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465,910</w:t>
            </w:r>
          </w:p>
        </w:tc>
        <w:tc>
          <w:tcPr>
            <w:tcW w:w="42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r>
      <w:tr>
        <w:trPr>
          <w:trHeight w:val="172"/>
        </w:trPr>
        <w:tc>
          <w:tcPr>
            <w:tcW w:w="1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Vesting of</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8"/>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134,807</w:t>
            </w:r>
          </w:p>
        </w:tc>
        <w:tc>
          <w:tcPr>
            <w:tcW w:w="4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71"/>
        </w:trPr>
        <w:tc>
          <w:tcPr>
            <w:tcW w:w="12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Stock-based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507</w:t>
            </w:r>
          </w:p>
        </w:tc>
      </w:tr>
      <w:tr>
        <w:trPr>
          <w:trHeight w:val="188"/>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(35,969)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(35,969)</w:t>
            </w:r>
          </w:p>
        </w:tc>
      </w:tr>
      <w:tr>
        <w:trPr>
          <w:trHeight w:val="169"/>
        </w:trPr>
        <w:tc>
          <w:tcPr>
            <w:tcW w:w="126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8"/>
              </w:rPr>
              <w:t>2,350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41,666,666</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49,762</w:t>
            </w:r>
          </w:p>
        </w:tc>
        <w:tc>
          <w:tcPr>
            <w:tcW w:w="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37,499,999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89,744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8,297,664</w:t>
            </w:r>
          </w:p>
        </w:tc>
        <w:tc>
          <w:tcPr>
            <w:tcW w:w="180" w:type="dxa"/>
            <w:vAlign w:val="bottom"/>
          </w:tcPr>
          <w:p>
            <w:pPr>
              <w:spacing w:after="0"/>
              <w:rPr>
                <w:sz w:val="17"/>
                <w:szCs w:val="17"/>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(65,389)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(64,203)</w:t>
            </w: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3" w:name="page374"/>
    <w:bookmarkEnd w:id="373"/>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(20,936)</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(35,969)</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507</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5,050</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license expense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224</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1,400</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(261)</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(1,366)</w:t>
            </w:r>
          </w:p>
        </w:tc>
      </w:tr>
      <w:tr>
        <w:trPr>
          <w:trHeight w:val="188"/>
        </w:trPr>
        <w:tc>
          <w:tcPr>
            <w:tcW w:w="8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18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(510)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1,315</w:t>
            </w:r>
          </w:p>
        </w:tc>
      </w:tr>
      <w:tr>
        <w:trPr>
          <w:trHeight w:val="188"/>
        </w:trPr>
        <w:tc>
          <w:tcPr>
            <w:tcW w:w="8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1,365</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1,542</w:t>
            </w:r>
          </w:p>
        </w:tc>
      </w:tr>
      <w:tr>
        <w:trPr>
          <w:trHeight w:val="18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w:t>
            </w:r>
          </w:p>
        </w:tc>
      </w:tr>
      <w:tr>
        <w:trPr>
          <w:trHeight w:val="188"/>
        </w:trPr>
        <w:tc>
          <w:tcPr>
            <w:tcW w:w="86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(19,966)</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(27,534)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convertible preferred stock, net of issuance costs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34,979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89,861</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34,980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89,929</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14,937</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62,327</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10,949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25,886</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25,886</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88,213</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1,156</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1,670</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right-of-use assets related to lease modification</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896</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operating lease liabilities due to lease modification</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896</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issuance costs on Series B convertible preferred stock in accounts payable and accruals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 accruals at end of period</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656</w:t>
            </w: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4" w:name="page375"/>
    <w:bookmarkEnd w:id="374"/>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Organization and Nature of the Business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Disc Medicine, Inc. (the “Company”) is a clinical-stage biopharmaceutical company focused on the discovery, development and commercialization of novel treatments for patients suffering from serious hematologic disorders. The Company was incorporated in October 2017 under the laws of the State of Delaware. Its principal offices are in Watertown, Massachusetts.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and Uncertainties</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the COVID-19 pandemic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8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Through December 31, 2021, the Company funded its operations primarily with proceeds from the sale of Series Seed convertible preferred stock (“Series Seed Preferred Stock”), Series A convertible preferred stock (“Series A Preferred Stock”) and Series B convertible preferred stock (“Series B Preferred Stock”), collectively referred to as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Liquidity and Going Concern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 has incurred recurring losses and negative cash flows from operations since inception. As of December 31, 2021, the Company had an accumulated deficit of $65.4 million. The Company expects its operating losses and negative operating cash flows to continue into the foreseeable future.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As of the issuance date of these consolidated financial statements, the Company expects that its existing cash and cash equivalents as of December 31, 2021 of $88.0 million will enable the Company to fund its planned operating expense and capital expenditure requirements for at least twelve months from the date of issuance of these consolidated financial statements, March 25, 2022.</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The future viability of the Company is dependent on its ability to generate cash from operating activities or to raise additional capital to finance its operations.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is seeking to complete an initial public offering of its common stock. Upon the closing of a qualified public offering, the Company’s outstanding convertible preferred stock will automatically convert into shares of common stock (see Note 8).</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the event that the initial public offering is not completed, the Company may seek funding through private equity financings, debt financing or collaboration agreements until it can generate sufficient operating cash flows from its operations. The terms of any financing may adversely affect the holdings or the rights of the Company’s stockholders. There is no assurance that the Company will be successful in obtaining sufficient funding on terms acceptable to the Company, if at all. If the Company is unable to obtain funding, the Company could be forced to delay, reduce or eliminate its research and development programs, product portfolio expansion or commercialization efforts, which could adversely affect its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 and Principles of Consolidation</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consolidated financial statements include the Company and its wholly-owned subsidiary, Disc Medicine Securities Corp. All intercompany transactions and balances have been eliminated in consolidation.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the fair value of the derivative liability;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ectPr>
          <w:pgSz w:w="11900" w:h="16838" w:orient="portrait"/>
          <w:cols w:equalWidth="0" w:num="1">
            <w:col w:w="11260"/>
          </w:cols>
          <w:pgMar w:left="320" w:top="111" w:right="319" w:bottom="658"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658" w:gutter="0" w:footer="0" w:header="0"/>
          <w:type w:val="continuous"/>
        </w:sectPr>
      </w:pPr>
    </w:p>
    <w:bookmarkStart w:id="375" w:name="page376"/>
    <w:bookmarkEnd w:id="375"/>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Segment Information</w:t>
      </w:r>
    </w:p>
    <w:p>
      <w:pPr>
        <w:spacing w:after="0" w:line="211"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19"/>
          <w:szCs w:val="19"/>
          <w:color w:val="auto"/>
        </w:rPr>
        <w:t>The Company manages its operations as a single operating segment for the purposes of assessing performance and making operating decisions, resulting in a single reportable segment. The Company has assembled a portfolio of clinical and preclinical product candidates that aim to modify fundamental biological pathways associated with the formation and function of red blood cells, specifically heme biosynthesis and iron homeostasis.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w:t>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Concentration of Credit Risk and of Significant Suppliers</w:t>
      </w:r>
    </w:p>
    <w:p>
      <w:pPr>
        <w:spacing w:after="0" w:line="210"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179"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10"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19"/>
          <w:szCs w:val="19"/>
          <w:color w:val="auto"/>
        </w:rPr>
        <w:t>The Company considers all highly liquid investments with original maturities of three months or less at the date of purchase to be cash equivalents. Cash and cash equivalents include cash in readily available checking and money market accounts. Cash equivalents are reflected at fair value based on quoted market prices as further described in Note 3.</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Restricted Cash</w:t>
      </w:r>
    </w:p>
    <w:p>
      <w:pPr>
        <w:spacing w:after="0" w:line="210" w:lineRule="exact"/>
        <w:rPr>
          <w:sz w:val="20"/>
          <w:szCs w:val="20"/>
          <w:color w:val="auto"/>
        </w:rPr>
      </w:pPr>
    </w:p>
    <w:p>
      <w:pPr>
        <w:jc w:val="both"/>
        <w:ind w:left="6" w:right="20"/>
        <w:spacing w:after="0" w:line="259" w:lineRule="auto"/>
        <w:rPr>
          <w:sz w:val="20"/>
          <w:szCs w:val="20"/>
          <w:color w:val="auto"/>
        </w:rPr>
      </w:pPr>
      <w:r>
        <w:rPr>
          <w:rFonts w:ascii="Times New Roman" w:cs="Times New Roman" w:eastAsia="Times New Roman" w:hAnsi="Times New Roman"/>
          <w:sz w:val="19"/>
          <w:szCs w:val="19"/>
          <w:color w:val="auto"/>
        </w:rPr>
        <w:t>The Company maintained letters of credit for the benefit of its landlords related to its leased office space in Cambridge, Massachusetts and Watertown, Massachusetts. The Company was required to maintain separate cash balances to secure its letters of credit.</w:t>
      </w:r>
    </w:p>
    <w:p>
      <w:pPr>
        <w:spacing w:after="0" w:line="162"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9"/>
          <w:szCs w:val="19"/>
          <w:color w:val="auto"/>
        </w:rPr>
        <w:t>The Company classified the separate cash balance related to the leased office space in Cambridge, Massachusetts as other assets (non-current) in the consolidated balance sheet as of December 31, 2020 based on the contractual release date of the restrictions on this cash. Due to the lease termination in September 2021, the letter of credit related to the leased office space in Cambridge, Massachusetts was reclassified to prepaid expenses and other current assets as of December 31, 2021. See Note 14 for more information regarding the Company’s leases.</w:t>
      </w:r>
    </w:p>
    <w:p>
      <w:pPr>
        <w:spacing w:after="0" w:line="17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Deferred Offering Costs</w:t>
      </w:r>
    </w:p>
    <w:p>
      <w:pPr>
        <w:spacing w:after="0" w:line="210" w:lineRule="exact"/>
        <w:rPr>
          <w:sz w:val="20"/>
          <w:szCs w:val="20"/>
          <w:color w:val="auto"/>
        </w:rPr>
      </w:pPr>
    </w:p>
    <w:p>
      <w:pPr>
        <w:jc w:val="both"/>
        <w:ind w:left="6"/>
        <w:spacing w:after="0" w:line="237" w:lineRule="auto"/>
        <w:rPr>
          <w:sz w:val="20"/>
          <w:szCs w:val="20"/>
          <w:color w:val="auto"/>
        </w:rPr>
      </w:pPr>
      <w:r>
        <w:rPr>
          <w:rFonts w:ascii="Times New Roman" w:cs="Times New Roman" w:eastAsia="Times New Roman" w:hAnsi="Times New Roman"/>
          <w:sz w:val="19"/>
          <w:szCs w:val="19"/>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preferred stock or in stockholders’ deficit as a reduction of additional paid-in capital generated as a result of the common stock offering. Should the in-process equity financing be abandoned, the deferred offering costs would be expensed immediately as a charge to operating expenses in the consolidated statements of operations and comprehensive loss. As of December 31, 2021, the Company capitalized $1.7 million of deferred offering costs related to the Company’s planned initial public offering.</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210" w:lineRule="exact"/>
        <w:rPr>
          <w:sz w:val="20"/>
          <w:szCs w:val="20"/>
          <w:color w:val="auto"/>
        </w:rPr>
      </w:pPr>
    </w:p>
    <w:p>
      <w:pPr>
        <w:jc w:val="both"/>
        <w:ind w:left="6" w:right="20"/>
        <w:spacing w:after="0" w:line="238" w:lineRule="auto"/>
        <w:rPr>
          <w:sz w:val="20"/>
          <w:szCs w:val="20"/>
          <w:color w:val="auto"/>
        </w:rPr>
      </w:pPr>
      <w:r>
        <w:rPr>
          <w:rFonts w:ascii="Times New Roman" w:cs="Times New Roman" w:eastAsia="Times New Roman" w:hAnsi="Times New Roman"/>
          <w:sz w:val="19"/>
          <w:szCs w:val="19"/>
          <w:color w:val="auto"/>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186" w:lineRule="exact"/>
        <w:rPr>
          <w:sz w:val="20"/>
          <w:szCs w:val="20"/>
          <w:color w:val="auto"/>
        </w:rPr>
      </w:pPr>
    </w:p>
    <w:p>
      <w:pPr>
        <w:ind w:left="286" w:hanging="286"/>
        <w:spacing w:after="0"/>
        <w:tabs>
          <w:tab w:leader="none" w:pos="286"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1—Quoted prices (unadjusted) in active markets for identical assets or liabilities;</w:t>
      </w:r>
    </w:p>
    <w:p>
      <w:pPr>
        <w:spacing w:after="0" w:line="21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2—Inputs other than quoted prices included within Level 1 that are either directly or indirectly observable; and</w:t>
      </w:r>
    </w:p>
    <w:p>
      <w:pPr>
        <w:spacing w:after="0" w:line="215" w:lineRule="exact"/>
        <w:rPr>
          <w:rFonts w:ascii="Times New Roman" w:cs="Times New Roman" w:eastAsia="Times New Roman" w:hAnsi="Times New Roman"/>
          <w:sz w:val="16"/>
          <w:szCs w:val="16"/>
          <w:color w:val="auto"/>
        </w:rPr>
      </w:pPr>
    </w:p>
    <w:p>
      <w:pPr>
        <w:ind w:left="286" w:right="400" w:hanging="286"/>
        <w:spacing w:after="0" w:line="270" w:lineRule="auto"/>
        <w:tabs>
          <w:tab w:leader="none" w:pos="286"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in which little or no market activity exists, therefore requiring an entity to develop its own assumptions about the assumptions that market participants would use in pricing.</w:t>
      </w:r>
    </w:p>
    <w:p>
      <w:pPr>
        <w:spacing w:after="0" w:line="3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0" w:right="319" w:bottom="1440" w:gutter="0" w:footer="0" w:header="0"/>
        </w:sectPr>
      </w:pPr>
    </w:p>
    <w:bookmarkStart w:id="376" w:name="page377"/>
    <w:bookmarkEnd w:id="376"/>
    <w:p>
      <w:pPr>
        <w:jc w:val="both"/>
        <w:spacing w:after="0" w:line="246" w:lineRule="auto"/>
        <w:rPr>
          <w:sz w:val="20"/>
          <w:szCs w:val="20"/>
          <w:color w:val="auto"/>
        </w:rPr>
      </w:pPr>
      <w:r>
        <w:rPr>
          <w:rFonts w:ascii="Times New Roman" w:cs="Times New Roman" w:eastAsia="Times New Roman" w:hAnsi="Times New Roman"/>
          <w:sz w:val="19"/>
          <w:szCs w:val="19"/>
          <w:color w:val="auto"/>
        </w:rPr>
        <w:t>The fair value of the Company’s cash equivalents are determined according to the fair value hierarchy described above (see Note 3). The carrying values of the Company’s prepaid expenses and other current assets, accounts payable and accrued expenses approximate their fair values due to the short-term nature of these assets and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Property and equipment are stated at cost, less accumulated depreciation. Depreciation is calculated using the straight-line method over the estimated useful lives of the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5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 Useful Life</w:t>
            </w:r>
          </w:p>
        </w:tc>
      </w:tr>
      <w:tr>
        <w:trPr>
          <w:trHeight w:val="18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5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 years</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5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3.0 years</w:t>
            </w:r>
          </w:p>
        </w:tc>
      </w:tr>
    </w:tbl>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As required under the applicable accounting guidance, the Company periodically reevaluates the original assumptions and rationale used in the establishment of the carrying value and estimated lives of all of its long-lived assets, including property and equipment. 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2020 and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Effective January 1, 2020, the Company adopted and accounts for its leases under ASC 842, using the modified retrospective transition approach. 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for any class of underlying asset.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Leases are classified at their lease commencement date, which is defined as the date on which the lessor makes the underlying asset available for use by the lessee, as either operating or finance leases based on the economic substance of the agreement. All of the Company’s leases are classified as operating leases. Operating lease liabilities and their corresponding ROU assets are recorded based on the present value of future lease payments over the expected remaining lease term. Fixed lease cost for operating leases is recognized on a straight-line basis over the lease term as an operating expense. Variable lease costs, such as common area maintenance expenses, are recognized in the period incurred. Certain adjustments to the ROU asset may be required for items such as lease prepayments or incentives received. The interest rate implicit in lease contracts is typically not readily determinable. As a result, the Company utilizes its estimated incremental borrowing rate, which reflects the estimated fixed rate at which the Company could borrow on a collateralized basis the amount of the lease payments in the same currency, for a similar term, in a similar economic environment.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elected to account for the lease and non-lease components together for existing classes of underlying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Preferred Stock</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 xml:space="preserve">The Company applies the guidance of ASC Topic 480, </w:t>
      </w:r>
      <w:r>
        <w:rPr>
          <w:rFonts w:ascii="Times New Roman" w:cs="Times New Roman" w:eastAsia="Times New Roman" w:hAnsi="Times New Roman"/>
          <w:sz w:val="19"/>
          <w:szCs w:val="19"/>
          <w:i w:val="1"/>
          <w:iCs w:val="1"/>
          <w:color w:val="auto"/>
        </w:rPr>
        <w:t>Distinguishing Liabilities from Equity</w:t>
      </w:r>
      <w:r>
        <w:rPr>
          <w:rFonts w:ascii="Times New Roman" w:cs="Times New Roman" w:eastAsia="Times New Roman" w:hAnsi="Times New Roman"/>
          <w:sz w:val="19"/>
          <w:szCs w:val="19"/>
          <w:color w:val="auto"/>
        </w:rPr>
        <w:t xml:space="preserve"> (“ASC 480”), when determining the classification and measurement of its preferred stock. Preferred stock subject to mandatory redemption (if any) are classified as liability instruments and are measured at fair value. The Company classifies contingently redeemable preferred stock (if any),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deficit.</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The Company has classified its convertible preferred stock as temporary equity in the accompanying consolidated balance sheets due to terms that allow for redemption of the shares upon the occurrence of a contingent event that is not solely within the Company’s control. The Company did not accrete the carrying values of the preferred stock to the redemption values since the contingent event was not considered probable as of December 31, 2020 and 2021. Subsequent adjustments of the carrying values to the ultimate redemption values will be made only when it becomes probable that such an event will occur.</w:t>
      </w:r>
    </w:p>
    <w:p>
      <w:pPr>
        <w:sectPr>
          <w:pgSz w:w="11900" w:h="16838" w:orient="portrait"/>
          <w:cols w:equalWidth="0" w:num="1">
            <w:col w:w="11260"/>
          </w:cols>
          <w:pgMar w:left="320" w:top="115" w:right="31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377" w:name="page378"/>
    <w:bookmarkEnd w:id="377"/>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17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xml:space="preserve">, and the acquired in-process research and development does not have an alternative future use, any related upfront license payment is expensed as incurred in accordance with guidance in ASC Topic 730, </w:t>
      </w:r>
      <w:r>
        <w:rPr>
          <w:rFonts w:ascii="Times New Roman" w:cs="Times New Roman" w:eastAsia="Times New Roman" w:hAnsi="Times New Roman"/>
          <w:sz w:val="19"/>
          <w:szCs w:val="19"/>
          <w:i w:val="1"/>
          <w:iCs w:val="1"/>
          <w:color w:val="auto"/>
        </w:rPr>
        <w:t>Research and Development</w:t>
      </w:r>
      <w:r>
        <w:rPr>
          <w:rFonts w:ascii="Times New Roman" w:cs="Times New Roman" w:eastAsia="Times New Roman" w:hAnsi="Times New Roman"/>
          <w:sz w:val="19"/>
          <w:szCs w:val="19"/>
          <w:color w:val="auto"/>
        </w:rPr>
        <w:t>. In general, contingent payments are recognized when it becomes probable the payment will be required.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 Costs</w:t>
      </w:r>
    </w:p>
    <w:p>
      <w:pPr>
        <w:spacing w:after="0" w:line="21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general and administrative expenses within the Company’s consolidated statements of operations and comprehensive loss.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The Company accounts for all stock-based awards granted to employees and non-employees as stock-based compensation expense at fair value.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The fair value of each restricted stock award is estimated on the date of grant based on the fair value of the Company’s common stock on that same date. As there is no public market for its common stock,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9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classifies 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10 for a summary of the stock-based award activity under the Company’s stock-based compensation plan.</w:t>
      </w:r>
    </w:p>
    <w:p>
      <w:pPr>
        <w:sectPr>
          <w:pgSz w:w="11900" w:h="16838" w:orient="portrait"/>
          <w:cols w:equalWidth="0" w:num="1">
            <w:col w:w="11260"/>
          </w:cols>
          <w:pgMar w:left="320" w:top="111" w:right="319" w:bottom="1440" w:gutter="0" w:footer="0" w:header="0"/>
        </w:sect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378" w:name="page379"/>
    <w:bookmarkEnd w:id="378"/>
    <w:p>
      <w:pPr>
        <w:spacing w:after="0"/>
        <w:rPr>
          <w:sz w:val="20"/>
          <w:szCs w:val="20"/>
          <w:color w:val="auto"/>
        </w:rPr>
      </w:pPr>
      <w:r>
        <w:rPr>
          <w:rFonts w:ascii="Times New Roman" w:cs="Times New Roman" w:eastAsia="Times New Roman" w:hAnsi="Times New Roman"/>
          <w:sz w:val="19"/>
          <w:szCs w:val="19"/>
          <w:b w:val="1"/>
          <w:bCs w:val="1"/>
          <w:i w:val="1"/>
          <w:iCs w:val="1"/>
          <w:color w:val="auto"/>
        </w:rPr>
        <w:t>Determination of Fair Value of Common Stock on Grant Dates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Due to the absence of an active market for the Company’s common stock, the Company and the Board were required to determine the fair value of the Company’s common stock at the time of each grant of a stock-based award. The Company estimated the fair value of its common stock utilizing methodologies in accordance with the framework of the American Institute of Certified Public Accountants’ Technical Practice Aid, </w:t>
      </w:r>
      <w:r>
        <w:rPr>
          <w:rFonts w:ascii="Times New Roman" w:cs="Times New Roman" w:eastAsia="Times New Roman" w:hAnsi="Times New Roman"/>
          <w:sz w:val="19"/>
          <w:szCs w:val="19"/>
          <w:i w:val="1"/>
          <w:iCs w:val="1"/>
          <w:color w:val="auto"/>
        </w:rPr>
        <w:t>Valuation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Privately-Held Company Equity Securities Issued as Compensation</w:t>
      </w:r>
      <w:r>
        <w:rPr>
          <w:rFonts w:ascii="Times New Roman" w:cs="Times New Roman" w:eastAsia="Times New Roman" w:hAnsi="Times New Roman"/>
          <w:sz w:val="19"/>
          <w:szCs w:val="19"/>
          <w:color w:val="auto"/>
        </w:rPr>
        <w:t>. In determining the exercise prices for options granted, the Company has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considered the estimated fair value of the common stock as of the measurement date. The estimated fair value of the common stock has been determined at each grant date based upon a variety of factors, including prices paid for the Company’s convertible preferred stock and the rights, preferences, and privileges of the Company’s Preferred Stock and common stock; the Company’s stage of development and status of technological developments within the Company’s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18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Company’s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Company’s common stock. The Company utilized significant estimates and assumptions in determining the fair value of its equity and equity-based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Comprehensive loss includes net loss, as well as other changes in stockholders’ deficit that result from transactions and economic events other than those with stockholders. The Company’s comprehensive loss was equal to net loss for the years ended December 31, 2020 and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at December 31, 2020 or 2021. The Company’s practice is to recognize interest and penalties related to income tax matters in income tax expense. The Company has not recognized interest or penalties in its consolidated statements of operations and comprehensive loss since inception.</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Company files income tax returns in the United States and in Massachusetts. The Company’s income tax returns are subject to review and tax assessment from an income tax examination. As of December 31, 2021, the Company was not under examination by the Internal Revenue Service or other jurisdictions for any tax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Net loss per share attributable to common stockholders is calculated using the two-class method, which is an earnings allocation formula that determines net loss per share for the holders of the Company’s common shares and participating securities. The Company’s Preferred Stock contains participation rights in any dividend paid by the Company and is deemed to be a participating security. Net income attributable to common stockholders and participating preferred shares are allocated to each share as if all of the earnings for the period had been distributed. The participating securities do not include a contractual obligation to share in losses of the Company and are not included in the calculation of net loss per share in the periods in which a net loss is recorded. Net loss attributable to common stockholders is equal to the net loss for the period.</w:t>
      </w:r>
    </w:p>
    <w:p>
      <w:pPr>
        <w:sectPr>
          <w:pgSz w:w="11900" w:h="16838" w:orient="portrait"/>
          <w:cols w:equalWidth="0" w:num="1">
            <w:col w:w="11260"/>
          </w:cols>
          <w:pgMar w:left="320" w:top="111" w:right="319" w:bottom="1440" w:gutter="0" w:footer="0" w:header="0"/>
        </w:sect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379" w:name="page380"/>
    <w:bookmarkEnd w:id="379"/>
    <w:p>
      <w:pPr>
        <w:jc w:val="both"/>
        <w:spacing w:after="0" w:line="237" w:lineRule="auto"/>
        <w:rPr>
          <w:sz w:val="20"/>
          <w:szCs w:val="20"/>
          <w:color w:val="auto"/>
        </w:rPr>
      </w:pPr>
      <w:r>
        <w:rPr>
          <w:rFonts w:ascii="Times New Roman" w:cs="Times New Roman" w:eastAsia="Times New Roman" w:hAnsi="Times New Roman"/>
          <w:sz w:val="19"/>
          <w:szCs w:val="19"/>
          <w:color w:val="auto"/>
        </w:rPr>
        <w:t>Diluted net loss per share is computed using the more dilutive of (a) the two-class method or (b) the treasury stock method and if-converted method. The Company allocates earnings first to preferred stockholders based on dividend rights and then to common and preferred stockholders based on ownership interests. The weighted-average number of common shares included in the computation of diluted net loss gives effect to all potentially dilutive common equivalent shares, including outstanding stock options and Preferred Stock. 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Subsequent Events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Company considers events or transactions that occur after the consolidated balance sheet date but prior to the issuance of the consolidated financial statements to provide additional evidence for certain estimates or to identify matters that require additional disclosure. The Company has evaluated events occurring after the date of its consolidated balance sheet, through March 25, 2022, the date these consolidated financial statements were available to be issued. See Note 15.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 xml:space="preserve">In August 2018, the FASB issued ASU No. 2018-15, </w:t>
      </w:r>
      <w:r>
        <w:rPr>
          <w:rFonts w:ascii="Times New Roman" w:cs="Times New Roman" w:eastAsia="Times New Roman" w:hAnsi="Times New Roman"/>
          <w:sz w:val="19"/>
          <w:szCs w:val="19"/>
          <w:i w:val="1"/>
          <w:iCs w:val="1"/>
          <w:color w:val="auto"/>
        </w:rPr>
        <w:t>Intangibles—Goodwill and Other—Internal-Use Software (Topic 350): Customer’s Accounting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 Implementation Costs Incurred in a Cloud Computing Arrangement That Is a Service Contract</w:t>
      </w:r>
      <w:r>
        <w:rPr>
          <w:rFonts w:ascii="Times New Roman" w:cs="Times New Roman" w:eastAsia="Times New Roman" w:hAnsi="Times New Roman"/>
          <w:sz w:val="19"/>
          <w:szCs w:val="19"/>
          <w:color w:val="auto"/>
        </w:rPr>
        <w:t>. This standard requires capitalizing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implementation costs incurred to develop or obtain internal-use software (and hosting arrangements that include an internal-use software license). The Company adopted ASU 2018-15 on January 1, 2021 using the prospective method. The adoption of this standard did not have a material effect on the Company’s financial position, results of operations or disclosures.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In December 2019, the FASB issued ASU No. 2019-12, </w:t>
      </w:r>
      <w:r>
        <w:rPr>
          <w:rFonts w:ascii="Times New Roman" w:cs="Times New Roman" w:eastAsia="Times New Roman" w:hAnsi="Times New Roman"/>
          <w:sz w:val="19"/>
          <w:szCs w:val="19"/>
          <w:i w:val="1"/>
          <w:iCs w:val="1"/>
          <w:color w:val="auto"/>
        </w:rPr>
        <w:t>Income Taxes (Topic 740): Simplifying the Accounting for Income Taxes</w:t>
      </w:r>
      <w:r>
        <w:rPr>
          <w:rFonts w:ascii="Times New Roman" w:cs="Times New Roman" w:eastAsia="Times New Roman" w:hAnsi="Times New Roman"/>
          <w:sz w:val="19"/>
          <w:szCs w:val="19"/>
          <w:color w:val="auto"/>
        </w:rPr>
        <w:t>. This standard removes certain exceptions for investments, intra-period allocations and interim calculations, and adds guidance to reduce complexity in accounting for income taxes. The Company adopted ASU 2019-12 on January 1, 2021 using the prospective method. The adoption of this standard did not have a material effect on the Company’s financial position, results of operations or disclosures.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In August 2020, the FASB issued ASU No. 2020-06, </w:t>
      </w:r>
      <w:r>
        <w:rPr>
          <w:rFonts w:ascii="Times New Roman" w:cs="Times New Roman" w:eastAsia="Times New Roman" w:hAnsi="Times New Roman"/>
          <w:sz w:val="19"/>
          <w:szCs w:val="19"/>
          <w:i w:val="1"/>
          <w:iCs w:val="1"/>
          <w:color w:val="auto"/>
        </w:rPr>
        <w:t>Debt—Debt with Conversion and Other Options (Subtopic 470-20) and Derivatives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Hedging—Contracts in Entity’s Own Equity (Subtopic 815-40): Accounting for Convertible Instruments and Contracts in an Entity’s Own Equity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standard amends the guidance on convertible instruments and the derivatives scope exception for contracts in an entity’s own equity and improves and amends the related earnings per share guidance for both subtopics. The Company early adopted ASU 2020-06 on January 1, 2021 using a modified retrospective approach. The adoption of this standard did not have a material effect on the Company’s financial position, results of operations or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 Not Yet Adopted</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In June 2016, the FASB issued ASU No. 2016-13, </w:t>
      </w:r>
      <w:r>
        <w:rPr>
          <w:rFonts w:ascii="Times New Roman" w:cs="Times New Roman" w:eastAsia="Times New Roman" w:hAnsi="Times New Roman"/>
          <w:sz w:val="19"/>
          <w:szCs w:val="19"/>
          <w:i w:val="1"/>
          <w:iCs w:val="1"/>
          <w:color w:val="auto"/>
        </w:rPr>
        <w:t>Credit Losses (Topic 326): Measurement of Credit Losses on Financial Instruments</w:t>
      </w:r>
      <w:r>
        <w:rPr>
          <w:rFonts w:ascii="Times New Roman" w:cs="Times New Roman" w:eastAsia="Times New Roman" w:hAnsi="Times New Roman"/>
          <w:sz w:val="19"/>
          <w:szCs w:val="19"/>
          <w:color w:val="auto"/>
        </w:rPr>
        <w:t>. This standard changes how companies account for credit losses for most financial assets and certain other instruments. For trade receivables, loans and held-to-maturity debt securities, companies will be required to recognize an allowance for credit losses rather than reducing the carrying value of the asset. The amendments in this standard should be applied on a modified retrospective basis to all periods presented. For public business entities that meet the definition of a U.S. Securities and Exchange Commission (“SEC”) filer, excluding entities eligible to be smaller reporting companies as defined by the SEC, the standard is effective for fiscal calendar years beginning January 1, 2020, including interim periods within those fiscal years. For all other entities, the standard is effective for fiscal calendar years beginning January 1, 2023. Early adoption is permitted. The Company is currently evaluating the impact of this new guidance but does not expect the impact of adopting this standard to be material to its consolidated financial statements and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Fair Value Measurements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Financial assets and liabilities measured at fair value on a recurring basis are summarized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4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r>
      <w:tr>
        <w:trPr>
          <w:trHeight w:val="187"/>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 in cash and cash equivalents</w:t>
            </w:r>
          </w:p>
        </w:tc>
        <w:tc>
          <w:tcPr>
            <w:tcW w:w="38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880" w:type="dxa"/>
            <w:vAlign w:val="bottom"/>
            <w:gridSpan w:val="2"/>
          </w:tcPr>
          <w:p>
            <w:pPr>
              <w:jc w:val="right"/>
              <w:ind w:right="70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492"/>
        </w:trPr>
        <w:tc>
          <w:tcPr>
            <w:tcW w:w="4300" w:type="dxa"/>
            <w:vAlign w:val="bottom"/>
          </w:tcPr>
          <w:p>
            <w:pPr>
              <w:spacing w:after="0"/>
              <w:rPr>
                <w:sz w:val="24"/>
                <w:szCs w:val="24"/>
                <w:color w:val="auto"/>
              </w:rPr>
            </w:pPr>
          </w:p>
        </w:tc>
        <w:tc>
          <w:tcPr>
            <w:tcW w:w="3020" w:type="dxa"/>
            <w:vAlign w:val="bottom"/>
          </w:tcPr>
          <w:p>
            <w:pPr>
              <w:jc w:val="right"/>
              <w:ind w:right="1567"/>
              <w:spacing w:after="0"/>
              <w:rPr>
                <w:sz w:val="20"/>
                <w:szCs w:val="20"/>
                <w:color w:val="auto"/>
              </w:rPr>
            </w:pPr>
            <w:r>
              <w:rPr>
                <w:rFonts w:ascii="Times New Roman" w:cs="Times New Roman" w:eastAsia="Times New Roman" w:hAnsi="Times New Roman"/>
                <w:sz w:val="13"/>
                <w:szCs w:val="13"/>
                <w:color w:val="auto"/>
              </w:rPr>
              <w:t>12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3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5" w:right="319" w:bottom="1440" w:gutter="0" w:footer="0" w:header="0"/>
        </w:sectPr>
      </w:pPr>
    </w:p>
    <w:bookmarkStart w:id="380" w:name="page381"/>
    <w:bookmarkEnd w:id="380"/>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 in cash and cash equivalents</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86,119</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86,119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w:t>
            </w:r>
          </w:p>
        </w:tc>
      </w:tr>
      <w:tr>
        <w:trPr>
          <w:trHeight w:val="18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6,450</w:t>
            </w:r>
          </w:p>
        </w:tc>
      </w:tr>
    </w:tbl>
    <w:p>
      <w:pPr>
        <w:spacing w:after="0" w:line="188"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The fair value of the Company’s cash equivalents, consisting of money market funds, is based on quoted market prices in active markets with no valuation adjustment. There have been no impairments of the Company’s assets measured and carried at fair value during the years ended December 31, 2020 and 2021. In addition, there were no changes in valuation techniques or transfers between Level 1 and Level 2 financial assets during the years ended December 31, 2020 and 2021. The Company did not have any non-recurring fair value measurements on any assets or liabilities during the years ended December 31, 2020 and 2021.</w:t>
      </w:r>
    </w:p>
    <w:p>
      <w:pPr>
        <w:spacing w:after="0" w:line="180" w:lineRule="exact"/>
        <w:rPr>
          <w:sz w:val="20"/>
          <w:szCs w:val="20"/>
          <w:color w:val="auto"/>
        </w:rPr>
      </w:pPr>
    </w:p>
    <w:p>
      <w:pPr>
        <w:jc w:val="both"/>
        <w:ind w:left="6"/>
        <w:spacing w:after="0" w:line="235" w:lineRule="auto"/>
        <w:rPr>
          <w:sz w:val="20"/>
          <w:szCs w:val="20"/>
          <w:color w:val="auto"/>
        </w:rPr>
      </w:pPr>
      <w:r>
        <w:rPr>
          <w:rFonts w:ascii="Times New Roman" w:cs="Times New Roman" w:eastAsia="Times New Roman" w:hAnsi="Times New Roman"/>
          <w:sz w:val="19"/>
          <w:szCs w:val="19"/>
          <w:color w:val="auto"/>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7. The Company recognized a liability in connection with the Roche Agreement which includes an obligation to issue a variable number of shares of the Company’s common stock to Roche for no additional consideration upon the Company’s completion of an initial public offering or certain merger transactions, a “Roche Qualified Transaction.” The number of shares of common stock to be issued to Roche was estimated to be approximately 2.85% of the outstanding shares of common stock of the Company as of immediately after the completion of a Roche Qualified Transaction. The Company has determined that the obligation to issue common stock upon completion of a Roche Qualified Transaction represents a liability classified financial instrument. The liability is measured at fair value as of each reporting date and the change in the fair value for the period is recorded in the consolidated statements of operations in the change in fair</w:t>
      </w:r>
    </w:p>
    <w:p>
      <w:pPr>
        <w:spacing w:after="0" w:line="186"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18"/>
          <w:szCs w:val="18"/>
          <w:color w:val="auto"/>
        </w:rPr>
        <w:t>value of derivative liability. The fair value measurement of the derivative liability is classified as Level 3 under the fair value hierarchy as it has been valued using certain unobservable inputs. These inputs include: (1) the Company’s fair value upon completion of a Roche Qualified Transaction and</w:t>
      </w:r>
    </w:p>
    <w:p>
      <w:pPr>
        <w:spacing w:after="0" w:line="1" w:lineRule="exact"/>
        <w:rPr>
          <w:sz w:val="20"/>
          <w:szCs w:val="20"/>
          <w:color w:val="auto"/>
        </w:rPr>
      </w:pPr>
    </w:p>
    <w:p>
      <w:pPr>
        <w:jc w:val="both"/>
        <w:ind w:left="6" w:right="20" w:hanging="6"/>
        <w:spacing w:after="0" w:line="235" w:lineRule="auto"/>
        <w:tabs>
          <w:tab w:leader="none" w:pos="302"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probability of the Company completing a Roche Qualified Transaction. The probability of the Company completing a Roche Qualified Transaction was low double-digits upon the execution of the Roche Agreement, adjusted periodically based on the Company’s progress towards a Roche Qualified Transaction. Significant increases or decreases in any of those inputs could result in a significantly lower or higher fair value measurement.</w:t>
      </w:r>
    </w:p>
    <w:p>
      <w:pPr>
        <w:spacing w:after="0" w:line="1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following table provides a summary of changes in fair value of the Level 3 liabilities related to the Roche Agreement (in thousands):</w:t>
      </w:r>
    </w:p>
    <w:p>
      <w:pPr>
        <w:spacing w:after="0" w:line="20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0"/>
        </w:trPr>
        <w:tc>
          <w:tcPr>
            <w:tcW w:w="8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Rollforward</w:t>
            </w:r>
          </w:p>
        </w:tc>
      </w:tr>
      <w:tr>
        <w:trPr>
          <w:trHeight w:val="18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8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8"/>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recognized upon execution of Roche license agreement</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1,400</w:t>
            </w:r>
          </w:p>
        </w:tc>
      </w:tr>
      <w:tr>
        <w:trPr>
          <w:trHeight w:val="18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5,050</w:t>
            </w:r>
          </w:p>
        </w:tc>
      </w:tr>
      <w:tr>
        <w:trPr>
          <w:trHeight w:val="203"/>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w:t>
            </w:r>
          </w:p>
        </w:tc>
      </w:tr>
      <w:tr>
        <w:trPr>
          <w:trHeight w:val="416"/>
        </w:trPr>
        <w:tc>
          <w:tcPr>
            <w:tcW w:w="8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4. Cash, Cash Equivalents and Restricted Cash</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816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 (in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4"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88,036</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as shown on the consolidated statements of cash flows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25,886</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88,213</w:t>
            </w:r>
          </w:p>
        </w:tc>
      </w:tr>
      <w:tr>
        <w:trPr>
          <w:trHeight w:val="508"/>
        </w:trPr>
        <w:tc>
          <w:tcPr>
            <w:tcW w:w="8680" w:type="dxa"/>
            <w:vAlign w:val="bottom"/>
          </w:tcPr>
          <w:p>
            <w:pPr>
              <w:jc w:val="right"/>
              <w:ind w:right="2926"/>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8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6"/>
          </w:cols>
          <w:pgMar w:left="314" w:top="120" w:right="31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9"/>
          <w:szCs w:val="19"/>
          <w:b w:val="1"/>
          <w:bCs w:val="1"/>
          <w:color w:val="auto"/>
        </w:rPr>
        <w:t>5. Property and Equipment, Net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Property and equipment, net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74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87"/>
              </w:rPr>
              <w:t>42</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740" w:type="dxa"/>
            <w:vAlign w:val="bottom"/>
          </w:tcPr>
          <w:p>
            <w:pPr>
              <w:spacing w:after="0"/>
              <w:rPr>
                <w:sz w:val="16"/>
                <w:szCs w:val="16"/>
                <w:color w:val="auto"/>
              </w:rPr>
            </w:pPr>
          </w:p>
        </w:tc>
        <w:tc>
          <w:tcPr>
            <w:tcW w:w="38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87"/>
              </w:rPr>
              <w:t>52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(24)</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40" w:type="dxa"/>
            <w:vAlign w:val="bottom"/>
          </w:tcPr>
          <w:p>
            <w:pPr>
              <w:jc w:val="right"/>
              <w:ind w:right="61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87"/>
              </w:rPr>
              <w:t>70</w:t>
            </w:r>
          </w:p>
        </w:tc>
        <w:tc>
          <w:tcPr>
            <w:tcW w:w="240" w:type="dxa"/>
            <w:vAlign w:val="bottom"/>
          </w:tcPr>
          <w:p>
            <w:pPr>
              <w:spacing w:after="0"/>
              <w:rPr>
                <w:sz w:val="17"/>
                <w:szCs w:val="17"/>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r>
      <w:tr>
        <w:trPr>
          <w:trHeight w:val="416"/>
        </w:trPr>
        <w:tc>
          <w:tcPr>
            <w:tcW w:w="8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6. Accrued Expenses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8680" w:type="dxa"/>
            <w:vAlign w:val="bottom"/>
          </w:tcPr>
          <w:p>
            <w:pPr>
              <w:spacing w:after="0"/>
              <w:rPr>
                <w:sz w:val="20"/>
                <w:szCs w:val="20"/>
                <w:color w:val="auto"/>
              </w:rPr>
            </w:pPr>
            <w:r>
              <w:rPr>
                <w:rFonts w:ascii="Times New Roman" w:cs="Times New Roman" w:eastAsia="Times New Roman" w:hAnsi="Times New Roman"/>
                <w:sz w:val="19"/>
                <w:szCs w:val="19"/>
                <w:color w:val="auto"/>
              </w:rPr>
              <w:t>Accrued expenses consisted of the following (in thousands):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w:t>
            </w:r>
          </w:p>
        </w:tc>
        <w:tc>
          <w:tcPr>
            <w:tcW w:w="74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1,269</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Accrued employee-related expenses</w:t>
            </w:r>
          </w:p>
        </w:tc>
        <w:tc>
          <w:tcPr>
            <w:tcW w:w="74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727</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415</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601</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expenses</w:t>
            </w:r>
          </w:p>
        </w:tc>
        <w:tc>
          <w:tcPr>
            <w:tcW w:w="74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2,437</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4,096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Development and License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 and Master Service Agreement with Aurigene Discoveries Technology Limited (“Aurigene”)</w:t>
      </w:r>
    </w:p>
    <w:p>
      <w:pPr>
        <w:spacing w:after="0" w:line="21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provides for Aurigene to provide future development services to the Company on a full-time equivalent cost basis and consumable costs incurred basis.</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During the years ended December 31, 2020 and 2021, the Company recorded research and development expense of $2.5 million and $1.7 million, respectively, related to its arrangements with Aurigene.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and Stock Purchase Agreement with AbbVie Deutschland GmbH &amp; Co. KG (“AbbVie”)</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September 2019, the Company entered into an agreement with AbbVie, pursuant to which AbbVie granted the Company an exclusive license, with the right to grant sublicenses, to certain AbbVie intellectual property.</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December 31, 2021, none of the milestones had been achieved.</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As part of the arrangement, the Company entered into a stock purchase agreement with AbbVie in September 2019, pursuant to which the Company agreed to issue 4,336,841 shares of the Company’s common stock to AbbVie, with 2,295,174 shares vesting immediately and 2,041,667 shares subject to a performance condition tied to the second and third subsequent closings of the Company’s Series A Preferred Stock financing. During the year ended December 31, 2020, the performance conditions were met and the remaining 2,041,667 shares vested, resulting in research and development expense of $0.2 million equal to the grant date fair value.</w:t>
      </w:r>
    </w:p>
    <w:p>
      <w:pPr>
        <w:sectPr>
          <w:pgSz w:w="11900" w:h="16838" w:orient="portrait"/>
          <w:cols w:equalWidth="0" w:num="1">
            <w:col w:w="11260"/>
          </w:cols>
          <w:pgMar w:left="320" w:top="111" w:right="319" w:bottom="1440" w:gutter="0" w:footer="0" w:header="0"/>
        </w:sect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382" w:name="page383"/>
    <w:bookmarkEnd w:id="382"/>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 with Roche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connection with the Roche Agreement, the Company paid Roche an upfront, non-refundable exclusivity payment of $0.5 million in March 2021.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Upon execution of the Roche Agreement in May 2021, the Company paid Roche an additional upfront, non-refundable payment of $4.0 million.</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Company is obligated to make contingent payments to Roche totaling up to $205.0 million upon achievement of certain development, regulatory and commercial milestones. Roche is also eligible to receive tiered royalties on net sales of commercialized products, at rates ranging from high single-digits to high teens.</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addition, the Company is obligated to issue shares of the Company to Roche in connection with the completion of a Roche Qualified Transaction as defined by the Roche Agreement. The number of shares of common stock to be issued to Roche was estimated to be approximately 2.85% of the outstanding shares of common stock of the Company as of immediately after the completion of a Roche Qualified Transaction, including the exercise by the underwriters thereof of any overallotment option. The Company has determined that the obligation to issue common stock upon completion of a Roche Qualified Transaction represents a liability classified financial instrument. The resulting liability is initially recorded at fair value in research and development expense, with gains and losses arising from changes in fair value recognized in other income (expense), net in the consolidated statement of operations and comprehensive loss at each period while the instrument is outstanding.</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the event that certain partnership or change of control arrangements occur prior to a Roche Qualified Transaction, the Company will pay Roche an upfront royalty based on a percentage of the net proceeds from the arrangement attributable to the Compounds ranging from low to mid- teens.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During the year ended December 31, 2021, the Company recorded research and development expense of $5.9 million related to the Roche Agreement, comprised of the upfront payment of $4.5 million and the initial fair value of the derivative liability of $1.4 million. During the year ended December 31, 2021, the Company recorded additional expense of $5.1 million from the change in fair value of the derivative liability within 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Convertible Preferred Stock</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September 2019, the Company entered into a Series A Preferred Stock Purchase Agreement to issue an aggregate of 41,666,666 shares of Series A Preferred Stock at a price of $1.20 per share for total gross cash proceeds of $50.0 million in three tranches. The Company evaluated the terms of the Series A Preferred Stock and concluded that the investors’ right to acquire additional shares of Series A Preferred Stock was not legally detachable and therefore was not required to be separated from the Series A Preferred Stock.</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2019, the Company closed the initial tranche, in which the Company issued and sold 12,499,999 shares of Series A Preferred Stock at $1.20 per share less issuance costs of $0.2 million for net proceeds of $14.8 million.</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2020, the Company closed the second and third tranches, in which the Company issued and sold an aggregate of 29,166,667 shares of Series A Preferred Stock at $1.20 per share for total net proceeds of $35.0 million.</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During the year ended December 31, 2021, the Company issued and sold 37,499,999 shares of Series B Preferred Stock to existing and new preferred stockholders at a price of $2.40 per share for cash proceeds of $89.7 million, net of issuance costs of $0.3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Preferred Stock consisted of the following (in thousands, except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9"/>
        </w:trPr>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b w:val="1"/>
                <w:bCs w:val="1"/>
                <w:color w:val="auto"/>
                <w:w w:val="95"/>
              </w:rPr>
              <w:t>Preferred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20" w:type="dxa"/>
            <w:vAlign w:val="bottom"/>
          </w:tcPr>
          <w:p>
            <w:pPr>
              <w:spacing w:after="0"/>
              <w:rPr>
                <w:sz w:val="14"/>
                <w:szCs w:val="14"/>
                <w:color w:val="auto"/>
              </w:rPr>
            </w:pPr>
          </w:p>
        </w:tc>
      </w:tr>
      <w:tr>
        <w:trPr>
          <w:trHeight w:val="188"/>
        </w:trPr>
        <w:tc>
          <w:tcPr>
            <w:tcW w:w="46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Stock Issued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188"/>
        </w:trPr>
        <w:tc>
          <w:tcPr>
            <w:tcW w:w="46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2"/>
              </w:rPr>
              <w:t>and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Issuable Upon</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Authorized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Series 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41,666,666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41,666,666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49,762</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41,666,666</w:t>
            </w:r>
          </w:p>
        </w:tc>
      </w:tr>
      <w:tr>
        <w:trPr>
          <w:trHeight w:val="188"/>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46,666,666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46,666,666</w:t>
            </w:r>
          </w:p>
        </w:tc>
        <w:tc>
          <w:tcPr>
            <w:tcW w:w="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46,666,666</w:t>
            </w:r>
          </w:p>
        </w:tc>
      </w:tr>
      <w:tr>
        <w:trPr>
          <w:trHeight w:val="508"/>
        </w:trPr>
        <w:tc>
          <w:tcPr>
            <w:tcW w:w="462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6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0" w:right="319" w:bottom="1440" w:gutter="0" w:footer="0" w:header="0"/>
        </w:sectPr>
      </w:pPr>
    </w:p>
    <w:bookmarkStart w:id="383" w:name="page384"/>
    <w:bookmarkEnd w:id="3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9"/>
        </w:trPr>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b w:val="1"/>
                <w:bCs w:val="1"/>
                <w:color w:val="auto"/>
                <w:w w:val="95"/>
              </w:rPr>
              <w:t>Preferred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20" w:type="dxa"/>
            <w:vAlign w:val="bottom"/>
          </w:tcPr>
          <w:p>
            <w:pPr>
              <w:spacing w:after="0"/>
              <w:rPr>
                <w:sz w:val="14"/>
                <w:szCs w:val="14"/>
                <w:color w:val="auto"/>
              </w:rPr>
            </w:pPr>
          </w:p>
        </w:tc>
      </w:tr>
      <w:tr>
        <w:trPr>
          <w:trHeight w:val="188"/>
        </w:trPr>
        <w:tc>
          <w:tcPr>
            <w:tcW w:w="46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Stock Issued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188"/>
        </w:trPr>
        <w:tc>
          <w:tcPr>
            <w:tcW w:w="46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2"/>
              </w:rPr>
              <w:t>and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Issuable Upon</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Authorized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Series 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41,666,666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41,666,666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49,762</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41,666,666</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37,499,999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37,499,999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89,744</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37,499,999</w:t>
            </w:r>
          </w:p>
        </w:tc>
      </w:tr>
      <w:tr>
        <w:trPr>
          <w:trHeight w:val="20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84,166,665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84,166,665</w:t>
            </w: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84,166,665</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Preferred Stock have the following rights and preferences: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holders of the Preferred Stock are entitled to receive noncumulative dividends when and if declared by the Board at the rate per annum of eight percent (8%) of the applicable Original Issue Price, which is $1.00 per share for the Series Seed Preferred Stock, $1.20 per share for the Series A Preferred Stock, and $2.40 per share for the Series B Preferred Stock. Preferred Stock dividends will be paid in preference and in priority to any dividends on common stock. If the Company declares, pays or sets aside, on the same date, a dividend on shares of more than one class or series of capital stock of the Company, the dividend payable to the holders of the Preferred Stock will be based on the number of common shares the Preferred Stock would convert into. There have been no dividends declared by the Board through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Liquidation Preference</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the event of any liquidation, dissolution, or winding up of the Company (“Liquidation Event”), the holders of Series A and Series B Preferred Stock are entitled to receive prior and in preference to the holders of common stock and Series Seed Preferred Stock, an amount equal to an amount per share of Series A and Series B Preferred Stock equal to the Original Issue Price plus all declared and unpaid dividends on the Series A and Series B Preferred Stock. If the assets and funds available to be distributed to all holders of Series A and Series B Preferred Stock are insufficient to permit the payment, in full, of any of the liquidation preferences, then the entire assets and funds legally available for distribution to the Series A and Series B Preferred Stock shall be distributed ratably among the holders of Series A and Series B Preferred Stock at the time outstanding, ratably in proportion to the full amounts to which they would otherwise be respectively entitled.</w:t>
      </w:r>
    </w:p>
    <w:p>
      <w:pPr>
        <w:spacing w:after="0" w:line="18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After the payment of the full liquidation preference of the Series A and Series B Preferred Stock as set forth above, the holders of shares of Series Seed Preferred Stock are entitled to receive an amount per share of Series Seed Preferred Stock equal to the Original Issue Price plus all declared and unpaid dividends on the Series Seed Preferred Stock. If the assets and funds available to be distributed to all holders of Series Seed Preferred Stock are insufficient to permit the payment, in full, of any of the liquidation preferences, then the entire assets and funds legally available for distribution to the Series Seed Preferred Stock shall be distributed ratably among the holders of Series Seed Preferred Stock at the time outstanding, ratably in proportion to the full amounts to which they would otherwise be respectively entitled or when the remaining capital is distributed.</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After the payment of all preferential amounts related to the holders of Preferred Stock, the remaining assets of the Company will be distributed pro rata to the holders of the Preferred Stock and common stock as if the Preferred Stock had converted at the time of the Liquidation Event. Preferential amounts to the holders of Preferred Stock are capped at 2.5 times the applicable Original Issue Price per share plus any dividends declared but unpaid or the amount such holder would have received if all shares had been converted to common stock immediately prior to the Liquidation Event.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Conversion</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As of December 31, 2021, the shares of Preferred Stock are convertible into equal shares of common stock, at the conversion price in effect at the time of such conversion, (a) at any time upon the written consent of the holders of a majority of the outstanding shares of the Preferred Stock and at least one holder of Series B Preferred Stock that owns at least 4,166,666 shares of Series B Preferred Stock and that did not purchase any shares of Series A Preferred Stock as part of the Series A Agreement or (b) immediately upon the closing of a Qualified Public Offering at a price per share of at least $3.00 per share (as adjusted for certain dilutive events) that results in gross proceeds to the Company of at least $50.0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Voting Rights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Preferred Stock vote together with the common stock on an as-converted basis, and not as a separate class, except for matters as defined by the Certificate of Incorporation which require the written consent or affirmative votes of the holders of a majority of the outstanding shares of the Preferred Stock and at least one holder of Series B Preferred Stock that owns at least 4,166,666 shares of Series B Preferred Stock and that did not purchase any shares of Series A Preferred Stock as part of the Series A Agreement. For any transactions that affect the priority of the Series A or Series B Preferred Stock, a majority of Series A or Series B Preferred Stock is required,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9"/>
          <w:szCs w:val="19"/>
          <w:i w:val="1"/>
          <w:iCs w:val="1"/>
          <w:color w:val="auto"/>
        </w:rPr>
        <w:t>Redemption</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Preferred Stock is not redeemable at the option of the holders thereof. However, the Preferred Stock is redeemable upon the occurrence of certain contingent events, unless otherwise determined by the holders.</w:t>
      </w:r>
    </w:p>
    <w:p>
      <w:pPr>
        <w:spacing w:after="0" w:line="16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As it relates to the redemption upon the occurrence of a contingent event, the Company evaluated the Preferred Stock in accordance with the guidance in ASC 480 and determined that the redemption upon the occurrence of a contingent event is not solely within the Company’s control and accordingly classified the Preferred Stock in temporary equity. The Preferred Stock is not currently redeemable, nor is it currently probable that the instruments will become redeemable, and therefore the instruments are not being accreted to redemption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Common Stock</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As of December 31, 2021, the authorized capital stock of the Company included 108,108,833 shares of common stock, $0.0001 par value per share. The voting, dividend and liquidation rights of the holders of the Company’s common stock are subject to and qualified by the rights, powers and preferences of the holders of the Preferred Stock set forth above. Each share of common stock entitles the holder to one vote, together with the holders of the Preferred Stock, on all matters submitted to the stockholders for a vote.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has reserved the following shares of common stock for potential conversion of outstanding Preferred Stock and exercise of stock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7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11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convertible preferred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41,666,666</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41,666,666</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37,499,999</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8,405,025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13,289,901</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55,071,691</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97,456,566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2017 Stock Option and Grant Plan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Company adopted the 2017 Stock Option and Grant Plan (the “Plan”) in November 2017 reserving shares of common stock for issuance to employees, directors, and consultants. The Plan allows for the grant of incentive stock options, non-statutory stock options, stock appreciation rights, restricted stock awards, restricted stock unit awards and other stock awards. Recipients of stock options or stock appreciation rights shall be eligible to purchase shares of the Company’s common stock at an exercise price equal to the estimated fair market value of such stock on the date of grant. The exercise price may be less than fair market value if the stock award is granted pursuant to an assumption or substitution for another stock award in the event of a merger or sale of the Company. The maximum term of options granted under the Plan is ten years, and stock options typically vest over a four-year period. The Board may assign vesting terms to the stock options grants as deemed appropriate. The Company also has the right of first refusal to purchase any proposed disposition of shares issued under the Plan. As it relates to restricted stock awards, the Company has the option to repurchase any unvested shares at the original purchase price upon any voluntary or involuntary termination. At the discretion of the Board, unvested shares held by employees, directors and consultants may accelerate vesting in the event of a change of control of the Company unless assumed or substituted by the acquirer or surviving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number of shares of common stock reserved for issuance as of December 31, 2020 and 2021 was 9,724,496 and 16,216,325, respectively.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Options available for grant were 1,120,784 and 2,261,827 at December 31, 2020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historically has been a private company and lacks company-specific historical and implied volatility information. Therefore, it estimates its expected stock volatility based on the historical volatility of a publicly traded set of peer public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9"/>
          <w:szCs w:val="19"/>
          <w:color w:val="auto"/>
        </w:rPr>
        <w:t>The following table summarizes stock option activity for the year ended December 31,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8"/>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88"/>
        </w:trPr>
        <w:tc>
          <w:tcPr>
            <w:tcW w:w="598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6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0"/>
        </w:trPr>
        <w:tc>
          <w:tcPr>
            <w:tcW w:w="59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6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Term (In Years)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8,405,025</w:t>
            </w:r>
          </w:p>
        </w:tc>
        <w:tc>
          <w:tcPr>
            <w:tcW w:w="2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0.18</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shd w:val="clear" w:color="auto" w:fill="CCEEFF"/>
          </w:tcPr>
          <w:p>
            <w:pPr>
              <w:spacing w:after="0"/>
              <w:rPr>
                <w:sz w:val="16"/>
                <w:szCs w:val="16"/>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6,768,153</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2"/>
              </w:rPr>
              <w:t>1.01</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(465,910)</w:t>
            </w:r>
          </w:p>
        </w:tc>
        <w:tc>
          <w:tcPr>
            <w:tcW w:w="8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2"/>
              </w:rPr>
              <w:t>0.15</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(1,355,706)</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2"/>
              </w:rPr>
              <w:t>0.21</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(61,661)</w:t>
            </w:r>
          </w:p>
        </w:tc>
        <w:tc>
          <w:tcPr>
            <w:tcW w:w="8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2"/>
              </w:rPr>
              <w:t>0.27</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13,289,901</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2"/>
              </w:rPr>
              <w:t>0.60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13,027</w:t>
            </w: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at December 31, 2021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3,167,571</w:t>
            </w:r>
          </w:p>
        </w:tc>
        <w:tc>
          <w:tcPr>
            <w:tcW w:w="8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2"/>
              </w:rPr>
              <w:t>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4,260</w:t>
            </w:r>
          </w:p>
        </w:tc>
      </w:tr>
    </w:tbl>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 ended December 31, 2021 was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weighted-average assumptions used to estimate the fair value of stock options granted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1"/>
        </w:trPr>
        <w:tc>
          <w:tcPr>
            <w:tcW w:w="86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0.58%</w:t>
            </w:r>
          </w:p>
        </w:tc>
        <w:tc>
          <w:tcPr>
            <w:tcW w:w="8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0.95%</w:t>
            </w: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78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6.00</w:t>
            </w:r>
          </w:p>
        </w:tc>
        <w:tc>
          <w:tcPr>
            <w:tcW w:w="8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6.00</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8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7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per share of common stock</w:t>
            </w:r>
          </w:p>
        </w:tc>
        <w:tc>
          <w:tcPr>
            <w:tcW w:w="78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0.20</w:t>
            </w: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r>
    </w:tbl>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weighted-average grant date fair value of options granted in the years ended December 31, 2020 and 2021 was $0.11 and $0.55 per share,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total fair value of options vested during the year ended December 31, 2021 was $0.4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Shares of Restricted Common Stock</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As of December 31, 2021, the Company had issued a total of 575,392 shares of restricted common stock to the founders of the Company pursuant to subscription agreements and to certain key employees pursuant to the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summary of restricted common stock activity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5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1"/>
        </w:trPr>
        <w:tc>
          <w:tcPr>
            <w:tcW w:w="86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the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371,429</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227,581</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(143,848)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(134,807)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the end of the year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227,581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92,774</w:t>
            </w:r>
          </w:p>
        </w:tc>
      </w:tr>
    </w:tbl>
    <w:p>
      <w:pPr>
        <w:spacing w:after="0" w:line="1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As of December 31, 2021, the unrecognized stock-based compensation expense related to restricted common stock is expected to be recognized over a weighted-average period of 1.07 years.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Total stock-based compensation expense recorded as research and development and general and administrative expenses, respectively, for employees, directors and non-employees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3"/>
              </w:rPr>
              <w:t>223</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284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507</w:t>
            </w:r>
          </w:p>
        </w:tc>
      </w:tr>
    </w:tbl>
    <w:p>
      <w:pPr>
        <w:spacing w:after="0" w:line="1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As of December 31, 2021, the total unrecognized stock-based compensation expense related to outstanding awards was $3.8 million and is expected to be recognized over a weighted-average period of 3.11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Income Taxes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reconciliation of the U.S. federal statutory income tax rate to the Company’s effective income tax rate is as follows:</w:t>
      </w:r>
    </w:p>
    <w:p>
      <w:pPr>
        <w:spacing w:after="0" w:line="20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statutory income tax rate</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188"/>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State income taxes, net of federal benefit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w:t>
            </w:r>
          </w:p>
        </w:tc>
      </w:tr>
      <w:tr>
        <w:trPr>
          <w:trHeight w:val="188"/>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and state research and development tax credits</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r>
      <w:tr>
        <w:trPr>
          <w:trHeight w:val="188"/>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r>
      <w:tr>
        <w:trPr>
          <w:trHeight w:val="188"/>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deferred tax asset valuation allowance</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(29.3)</w:t>
            </w:r>
          </w:p>
        </w:tc>
      </w:tr>
      <w:tr>
        <w:trPr>
          <w:trHeight w:val="203"/>
        </w:trPr>
        <w:tc>
          <w:tcPr>
            <w:tcW w:w="9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bl>
    <w:p>
      <w:pPr>
        <w:spacing w:after="0" w:line="17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For the years ended December 31, 2020 and 2021, no income tax expense was recorded due to the Company’s net operating loss (“NOL”) and full valuation allowance.</w:t>
      </w:r>
    </w:p>
    <w:p>
      <w:pPr>
        <w:spacing w:after="0" w:line="16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72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8,407</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15,128</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licenses</w:t>
            </w:r>
          </w:p>
        </w:tc>
        <w:tc>
          <w:tcPr>
            <w:tcW w:w="7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3,214</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credits</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763</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1,639</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287</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452</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7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9,751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20,467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4"/>
              </w:rPr>
              <w:t>(9,448)</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(19,997)</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7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470</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7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(288)</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(448)</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7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(303)</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(470)</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72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 has had no income tax expense due to operating losses incurred since inception. The Company’s losses before income taxes consist solely of losses from domestic operations. The Company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2021, the valuation allowance increased by $10.5 million primarily due to the increase in the Company’s net operating loss and tax credit carryforwards during the period.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387" w:name="page388"/>
    <w:bookmarkEnd w:id="387"/>
    <w:p>
      <w:pPr>
        <w:jc w:val="both"/>
        <w:spacing w:after="0" w:line="239" w:lineRule="auto"/>
        <w:rPr>
          <w:sz w:val="20"/>
          <w:szCs w:val="20"/>
          <w:color w:val="auto"/>
        </w:rPr>
      </w:pPr>
      <w:r>
        <w:rPr>
          <w:rFonts w:ascii="Times New Roman" w:cs="Times New Roman" w:eastAsia="Times New Roman" w:hAnsi="Times New Roman"/>
          <w:sz w:val="19"/>
          <w:szCs w:val="19"/>
          <w:color w:val="auto"/>
        </w:rPr>
        <w:t>As of December 31, 2021, the Company had $55.5 million and $54.9 million of federal and state operating loss carryforwards, respectively. Substantially all of the federal NOLs are not subject to expiration and the state NOLs begin to expire in 2037. These loss carryforwards are available to reduce future federal taxable income, if any. As of December 31, 2021, the Company also had federal and state research and development tax credit carryforwards of $1.1 million and $0.7 million respectively, to offset future income taxes, which will begin to expire beginning in December 2032. These loss carryforwards are subject to review and possible adjustment by the appropriate taxing authorities.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2021, would limit or otherwise restrict its ability to utilize its NOL and research and development credit carryforwards. In addition, future changes in ownership occurring after December 31, 2021 could affect the limitation in future years, and any limitation may result in expiration of a portion of the NOL or research and development credit carryforwards before utilization.</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On December 18, 2015, the Protecting Americans from Tax Hikes (“PATH”) Act of 2015 was signed into law. The PATH Act has created several research and development credit provisions, including allowing a qualified small business to utilize the research credit against the employer portion of payroll tax (i.e., FICA tax) not exceeding $0.3 million per year. This provision is available for credits generated in tax years beginning after 2015. The Company qualifies as a small business for 2021 and will elect to make a small business election.</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Company follows the provisions of ASC 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2020 and 2021,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2020 and 2021, the Company had no reserves for uncertain tax positions. For the years ended December 31, 2020 and 2021, no estimated interest or penalties were recognized on uncertain tax positions.</w:t>
      </w:r>
    </w:p>
    <w:p>
      <w:pPr>
        <w:spacing w:after="0" w:line="18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The Company’s tax returns for the years ended December 31, 2018 to December 31, 2021 remain open and subject to examination by the Internal Revenue Service and state taxing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Net Loss Per Share</w:t>
      </w:r>
    </w:p>
    <w:p>
      <w:pPr>
        <w:spacing w:after="0" w:line="20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9"/>
          <w:szCs w:val="19"/>
          <w:color w:val="auto"/>
        </w:rPr>
        <w:t>Basic and diluted loss per share is computed by dividing net loss attributable to common stockholders by the weighted-average common shares outstanding. The following table sets forth the computation of the Company’s basic and diluted net loss per share (in thousands,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1"/>
        </w:trPr>
        <w:tc>
          <w:tcPr>
            <w:tcW w:w="86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(20,936)</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(35,969)</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6,930,451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8,014,679</w:t>
            </w:r>
          </w:p>
        </w:tc>
      </w:tr>
      <w:tr>
        <w:trPr>
          <w:trHeight w:val="203"/>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attributable to common stockholders—basic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(4.49)</w:t>
            </w:r>
          </w:p>
        </w:tc>
      </w:tr>
    </w:tbl>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Company’s potentially dilutive securities, which include convertible preferred stock, unvested restricted common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because including them would have had an anti-dilutive effect: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7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11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convertible preferred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41,666,666</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41,666,666</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37,499,999</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common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227,581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92,774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8,405,025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13,289,901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Company, from time to time, may be party to litigation arising in the ordinary course of business. The Company was not subject to any material legal proceedings during the years ended December 31, 2020 and 2021 and, to the best of its knowledge, no material legal proceedings are currently pending or threatened.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Payments Upon Termination</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Company has entered into agreements with certain vendors for the provision of services that the Company is not contractually able to terminate for convenience and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Leases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September 2021, the Company and its landlord jointly entered a termination agreement to provide an early termination date in November 2021 for its operating lease in Cambridge, Massachusetts. In addition, the landlord provided an incentive of $0.1 million. On the modification date, the Company decreased the lease liability and corresponding right-of-use asset to zero. The Company recognized the incentive as a reduction to lease expense over the remaining lease term. As of December 31, 2020 and 2021, the Company had a security deposit in the form of an irrevocable standby letter of credit in the amount of $0.1 million related to this lease, which was recorded as other assets (non-current) and prepaid expenses and other current assets on the Company’s consolidated balance sheets as of December 31, 2020 and 2021, respectively.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October 2021, the Company entered into a five-year lease of 7,566 square feet of office space located at 321 Arsenal Street, Watertown, Massachusetts to be used as its corporate headquarters. The Company’s landlord is a related party of the Company due to its equity ownership. The lease term began in November 2021 and will end in November 2026, unless terminated earlier. The lease contains a five-year renewal option, which the Company is not reasonably certain to exercise. Fixed lease payments include base rent, subject to annual rent increases, and a management fee. Variable lease payments include the Company’s allocated share of costs incurred for real estate taxes, utilities, and other operating expenses applicable to the leased premises. In connection with the lease, the Company delivered to the landlord a security deposit in the form of an irrevocable standby letter of credit in the amount of $0.1 million, which is recorded as other assets (non-current) on the Company’s consolidated balance sheet as of December 31, 2021. Pursuant to the lease, the Company is also obligated to pay for certain administrative costs, taxes and operating expenses.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9"/>
          <w:szCs w:val="19"/>
          <w:color w:val="auto"/>
        </w:rPr>
        <w:t>The components of lease expense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costs</w:t>
            </w:r>
          </w:p>
        </w:tc>
        <w:tc>
          <w:tcPr>
            <w:tcW w:w="80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costs</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costs</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lease expense</w:t>
            </w:r>
          </w:p>
        </w:tc>
        <w:tc>
          <w:tcPr>
            <w:tcW w:w="800" w:type="dxa"/>
            <w:vAlign w:val="bottom"/>
          </w:tcPr>
          <w:p>
            <w:pPr>
              <w:jc w:val="right"/>
              <w:ind w:right="67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w:t>
            </w: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229</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information related to the Company’s leases is as follows (in thousands, except term and discount rate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1"/>
        </w:trPr>
        <w:tc>
          <w:tcPr>
            <w:tcW w:w="8640" w:type="dxa"/>
            <w:vAlign w:val="bottom"/>
          </w:tcPr>
          <w:p>
            <w:pPr>
              <w:spacing w:after="0"/>
              <w:rPr>
                <w:sz w:val="16"/>
                <w:szCs w:val="16"/>
                <w:color w:val="auto"/>
              </w:rPr>
            </w:pP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880" w:type="dxa"/>
            <w:vAlign w:val="bottom"/>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7"/>
              </w:rPr>
              <w:t>4.48 years</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7"/>
              </w:rPr>
              <w:t>4.91 years</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88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8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used in operating leases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1"/>
              </w:rPr>
              <w:t>129</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1"/>
              </w:rPr>
              <w:t>250</w:t>
            </w:r>
          </w:p>
        </w:tc>
      </w:tr>
    </w:tbl>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 maturity analysis of the annual undiscounted cash flows reconciled to the carrying value of the operating lease liabilities as of December 31, 2021, reflective of the Company’s election to account for lease and non-lease components together,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0"/>
        </w:trPr>
        <w:tc>
          <w:tcPr>
            <w:tcW w:w="9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188"/>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6"/>
                <w:szCs w:val="16"/>
                <w:color w:val="auto"/>
              </w:rPr>
            </w:pPr>
          </w:p>
        </w:tc>
      </w:tr>
      <w:tr>
        <w:trPr>
          <w:trHeight w:val="188"/>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373</w:t>
            </w:r>
          </w:p>
        </w:tc>
      </w:tr>
      <w:tr>
        <w:trPr>
          <w:trHeight w:val="18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r>
      <w:tr>
        <w:trPr>
          <w:trHeight w:val="188"/>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r>
      <w:tr>
        <w:trPr>
          <w:trHeight w:val="18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w:t>
            </w:r>
          </w:p>
        </w:tc>
      </w:tr>
      <w:tr>
        <w:trPr>
          <w:trHeight w:val="188"/>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1,886</w:t>
            </w:r>
          </w:p>
        </w:tc>
      </w:tr>
      <w:tr>
        <w:trPr>
          <w:trHeight w:val="18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(233)</w:t>
            </w:r>
          </w:p>
        </w:tc>
      </w:tr>
      <w:tr>
        <w:trPr>
          <w:trHeight w:val="203"/>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1,653</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Subsequent Events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 has completed an evaluation of all subsequent events after the audited consolidated balance sheet date of December 31, 2021 through March 25, 2022, the date these consolidated financial statements were issued, to ensure that these consolidated financial statements include appropriate disclosure of events both recognized in the consolidated financial statements as of December 31, 2021, and events which occurred subsequently but were not recognized in the consolidated financial statements. The Company has concluded that no subsequent events have occurred that require disclosure.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150100" cy="146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47"/>
        </w:trPr>
        <w:tc>
          <w:tcPr>
            <w:tcW w:w="9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Exhibit 99.6</w:t>
            </w:r>
          </w:p>
        </w:tc>
      </w:tr>
      <w:tr>
        <w:trPr>
          <w:trHeight w:val="423"/>
        </w:trPr>
        <w:tc>
          <w:tcPr>
            <w:tcW w:w="9340" w:type="dxa"/>
            <w:vAlign w:val="bottom"/>
          </w:tcPr>
          <w:p>
            <w:pPr>
              <w:ind w:left="2840"/>
              <w:spacing w:after="0"/>
              <w:rPr>
                <w:sz w:val="20"/>
                <w:szCs w:val="20"/>
                <w:color w:val="auto"/>
              </w:rPr>
            </w:pPr>
            <w:r>
              <w:rPr>
                <w:rFonts w:ascii="Times New Roman" w:cs="Times New Roman" w:eastAsia="Times New Roman" w:hAnsi="Times New Roman"/>
                <w:sz w:val="19"/>
                <w:szCs w:val="19"/>
                <w:b w:val="1"/>
                <w:bCs w:val="1"/>
                <w:color w:val="auto"/>
              </w:rPr>
              <w:t>INDEX TO DISC’S CONSOLIDATED FINANCIAL STATEMENTS</w:t>
            </w:r>
          </w:p>
        </w:tc>
        <w:tc>
          <w:tcPr>
            <w:tcW w:w="1920" w:type="dxa"/>
            <w:vAlign w:val="bottom"/>
          </w:tcPr>
          <w:p>
            <w:pPr>
              <w:spacing w:after="0"/>
              <w:rPr>
                <w:sz w:val="24"/>
                <w:szCs w:val="24"/>
                <w:color w:val="auto"/>
              </w:rPr>
            </w:pPr>
          </w:p>
        </w:tc>
      </w:tr>
      <w:tr>
        <w:trPr>
          <w:trHeight w:val="202"/>
        </w:trPr>
        <w:tc>
          <w:tcPr>
            <w:tcW w:w="93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88"/>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Periods ended September 30, 2022 and 2021</w:t>
            </w:r>
          </w:p>
        </w:tc>
        <w:tc>
          <w:tcPr>
            <w:tcW w:w="1920" w:type="dxa"/>
            <w:vAlign w:val="bottom"/>
            <w:shd w:val="clear" w:color="auto" w:fill="CCEEFF"/>
          </w:tcPr>
          <w:p>
            <w:pPr>
              <w:spacing w:after="0"/>
              <w:rPr>
                <w:sz w:val="16"/>
                <w:szCs w:val="16"/>
                <w:color w:val="auto"/>
              </w:rPr>
            </w:pPr>
          </w:p>
        </w:tc>
      </w:tr>
      <w:tr>
        <w:trPr>
          <w:trHeight w:val="188"/>
        </w:trPr>
        <w:tc>
          <w:tcPr>
            <w:tcW w:w="9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8"/>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Condensed Consolidated Balance Sheets</w:t>
            </w:r>
          </w:p>
        </w:tc>
        <w:tc>
          <w:tcPr>
            <w:tcW w:w="1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w:t>
            </w:r>
          </w:p>
        </w:tc>
      </w:tr>
      <w:tr>
        <w:trPr>
          <w:trHeight w:val="188"/>
        </w:trPr>
        <w:tc>
          <w:tcPr>
            <w:tcW w:w="9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8"/>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Condensed Consolidated Statements of Operations and Comprehensive Loss</w:t>
            </w:r>
          </w:p>
        </w:tc>
        <w:tc>
          <w:tcPr>
            <w:tcW w:w="1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w:t>
            </w:r>
          </w:p>
        </w:tc>
      </w:tr>
      <w:tr>
        <w:trPr>
          <w:trHeight w:val="188"/>
        </w:trPr>
        <w:tc>
          <w:tcPr>
            <w:tcW w:w="9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8"/>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Condensed Consolidated Statements of Convertible Preferred Stock and Stockholders’ Deficit</w:t>
            </w:r>
          </w:p>
        </w:tc>
        <w:tc>
          <w:tcPr>
            <w:tcW w:w="1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4</w:t>
            </w:r>
          </w:p>
        </w:tc>
      </w:tr>
      <w:tr>
        <w:trPr>
          <w:trHeight w:val="188"/>
        </w:trPr>
        <w:tc>
          <w:tcPr>
            <w:tcW w:w="9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8"/>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1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w:t>
            </w:r>
          </w:p>
        </w:tc>
      </w:tr>
      <w:tr>
        <w:trPr>
          <w:trHeight w:val="188"/>
        </w:trPr>
        <w:tc>
          <w:tcPr>
            <w:tcW w:w="9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8"/>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1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6</w:t>
            </w:r>
          </w:p>
        </w:tc>
      </w:tr>
      <w:tr>
        <w:trPr>
          <w:trHeight w:val="508"/>
        </w:trPr>
        <w:tc>
          <w:tcPr>
            <w:tcW w:w="9340" w:type="dxa"/>
            <w:vAlign w:val="bottom"/>
          </w:tcPr>
          <w:p>
            <w:pPr>
              <w:ind w:left="5600"/>
              <w:spacing w:after="0"/>
              <w:rPr>
                <w:sz w:val="20"/>
                <w:szCs w:val="20"/>
                <w:color w:val="auto"/>
              </w:rPr>
            </w:pPr>
            <w:r>
              <w:rPr>
                <w:rFonts w:ascii="Times New Roman" w:cs="Times New Roman" w:eastAsia="Times New Roman" w:hAnsi="Times New Roman"/>
                <w:sz w:val="13"/>
                <w:szCs w:val="13"/>
                <w:color w:val="auto"/>
              </w:rPr>
              <w:t>1</w:t>
            </w:r>
          </w:p>
        </w:tc>
        <w:tc>
          <w:tcPr>
            <w:tcW w:w="1920" w:type="dxa"/>
            <w:vAlign w:val="bottom"/>
          </w:tcPr>
          <w:p>
            <w:pPr>
              <w:spacing w:after="0"/>
              <w:rPr>
                <w:sz w:val="24"/>
                <w:szCs w:val="24"/>
                <w:color w:val="auto"/>
              </w:rPr>
            </w:pPr>
          </w:p>
        </w:tc>
      </w:tr>
      <w:tr>
        <w:trPr>
          <w:trHeight w:val="36"/>
        </w:trPr>
        <w:tc>
          <w:tcPr>
            <w:tcW w:w="9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bl>
    <w:p>
      <w:pPr>
        <w:spacing w:after="0"/>
        <w:rPr>
          <w:sz w:val="20"/>
          <w:szCs w:val="20"/>
          <w:color w:val="auto"/>
        </w:rPr>
        <w:sectPr>
          <w:pgSz w:w="11900" w:h="16838" w:orient="portrait"/>
          <w:cols w:equalWidth="0" w:num="1">
            <w:col w:w="11260"/>
          </w:cols>
          <w:pgMar w:left="320" w:top="253" w:right="319" w:bottom="1440" w:gutter="0" w:footer="0" w:header="0"/>
        </w:sect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0100" cy="29210"/>
                    </a:xfrm>
                    <a:prstGeom prst="rect">
                      <a:avLst/>
                    </a:prstGeom>
                    <a:noFill/>
                  </pic:spPr>
                </pic:pic>
              </a:graphicData>
            </a:graphic>
          </wp:anchor>
        </w:drawing>
      </w:r>
    </w:p>
    <w:bookmarkStart w:id="391" w:name="page392"/>
    <w:bookmarkEnd w:id="391"/>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4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8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71"/>
        </w:trPr>
        <w:tc>
          <w:tcPr>
            <w:tcW w:w="854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8"/>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88,036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55,473</w:t>
            </w:r>
          </w:p>
        </w:tc>
      </w:tr>
      <w:tr>
        <w:trPr>
          <w:trHeight w:val="188"/>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4,425</w:t>
            </w:r>
          </w:p>
        </w:tc>
      </w:tr>
      <w:tr>
        <w:trPr>
          <w:trHeight w:val="188"/>
        </w:trPr>
        <w:tc>
          <w:tcPr>
            <w:tcW w:w="8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90,484</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59,898</w:t>
            </w:r>
          </w:p>
        </w:tc>
      </w:tr>
      <w:tr>
        <w:trPr>
          <w:trHeight w:val="188"/>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1,512</w:t>
            </w:r>
          </w:p>
        </w:tc>
      </w:tr>
      <w:tr>
        <w:trPr>
          <w:trHeight w:val="188"/>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180</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61,707</w:t>
            </w:r>
          </w:p>
        </w:tc>
      </w:tr>
      <w:tr>
        <w:trPr>
          <w:trHeight w:val="188"/>
        </w:trPr>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3,397</w:t>
            </w:r>
          </w:p>
        </w:tc>
      </w:tr>
      <w:tr>
        <w:trPr>
          <w:trHeight w:val="188"/>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3,674</w:t>
            </w:r>
          </w:p>
        </w:tc>
      </w:tr>
      <w:tr>
        <w:trPr>
          <w:trHeight w:val="188"/>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9,900</w:t>
            </w:r>
          </w:p>
        </w:tc>
      </w:tr>
      <w:tr>
        <w:trPr>
          <w:trHeight w:val="188"/>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319</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w:t>
            </w:r>
          </w:p>
        </w:tc>
      </w:tr>
      <w:tr>
        <w:trPr>
          <w:trHeight w:val="188"/>
        </w:trPr>
        <w:tc>
          <w:tcPr>
            <w:tcW w:w="8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13,424</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17,272</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1,106</w:t>
            </w:r>
          </w:p>
        </w:tc>
      </w:tr>
      <w:tr>
        <w:trPr>
          <w:trHeight w:val="188"/>
        </w:trPr>
        <w:tc>
          <w:tcPr>
            <w:tcW w:w="8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14,758</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18,378</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1"/>
        </w:trPr>
        <w:tc>
          <w:tcPr>
            <w:tcW w:w="8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Series Seed convertible preferred stock, $0.0001 par value; 5,000,000 shares authorized, issued and outstanding as of December 31,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8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2021 and September 30, 2022 (liquidation preference of $5,000 as of December 31, 2021 and September 30, 2022)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2,350</w:t>
            </w:r>
          </w:p>
        </w:tc>
      </w:tr>
      <w:tr>
        <w:trPr>
          <w:trHeight w:val="172"/>
        </w:trPr>
        <w:tc>
          <w:tcPr>
            <w:tcW w:w="85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Series A convertible preferred stock, $0.0001 par value; 41,666,666 shares authorized, issued and outstanding as of December 31, 2021</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4"/>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September 30, 2022 (liquidation preference of $50,000 as of December 31, 2021 and September 30, 2022)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49,762</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49,762</w:t>
            </w:r>
          </w:p>
        </w:tc>
      </w:tr>
      <w:tr>
        <w:trPr>
          <w:trHeight w:val="171"/>
        </w:trPr>
        <w:tc>
          <w:tcPr>
            <w:tcW w:w="8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8"/>
              </w:rPr>
              <w:t>Series B convertible preferred stock, $0.0001 par value; 37,499,999 shares authorized, issued and outstanding as of December 31, 2021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8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September 30, 2022 (liquidation preference of $90,000 as of December 31, 2021 and September 30, 2022)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89,744</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89,744</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1"/>
        </w:trPr>
        <w:tc>
          <w:tcPr>
            <w:tcW w:w="8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8"/>
              </w:rPr>
              <w:t>Common stock, $0.0001 par value; 108,108,833 and 109,395,840 shares authorized as of December 31, 2021 and September 30, 2022,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8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 8,390,438 and 8,835,359 shares issued December 31, 2021 and September 30, 2022, respectively; and 8,297,664 and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8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8,805,096 shares outstanding as of December 31, 2021 and September 30, 2022, respectively</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88"/>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2,444</w:t>
            </w:r>
          </w:p>
        </w:tc>
      </w:tr>
      <w:tr>
        <w:trPr>
          <w:trHeight w:val="188"/>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(65,389)</w:t>
            </w: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(100,972)</w:t>
            </w:r>
          </w:p>
        </w:tc>
      </w:tr>
      <w:tr>
        <w:trPr>
          <w:trHeight w:val="188"/>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(64,203)</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(98,527)</w:t>
            </w:r>
          </w:p>
        </w:tc>
      </w:t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92,411</w:t>
            </w:r>
          </w:p>
        </w:tc>
        <w:tc>
          <w:tcPr>
            <w:tcW w:w="2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61,707</w:t>
            </w:r>
          </w:p>
        </w:tc>
      </w:tr>
    </w:tbl>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condensed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92" w:name="page393"/>
    <w:bookmarkEnd w:id="392"/>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 AND COMPREHENSIVE LOSS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1"/>
        </w:trPr>
        <w:tc>
          <w:tcPr>
            <w:tcW w:w="86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23,421</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4,012</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9,033</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23,523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32,454</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(23,523)</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(32,454)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321</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(3,600)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(3,450)</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(3,595)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(3,129)</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(27,118)</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(35,583)</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(27,118)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(35,583)</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7,947,355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8,604,591</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r>
    </w:tbl>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condensed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93" w:name="page394"/>
    <w:bookmarkEnd w:id="393"/>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CONVERTIBLE PREFERRED STOCK</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AND STOCKHOLDERS’ DEFICIT</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data)</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7"/>
              </w:rPr>
              <w:t>CONVERTIBLE PREFERRED STOCK</w:t>
            </w: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1020" w:type="dxa"/>
            <w:vAlign w:val="bottom"/>
          </w:tcPr>
          <w:p>
            <w:pPr>
              <w:spacing w:after="0"/>
              <w:rPr>
                <w:sz w:val="14"/>
                <w:szCs w:val="14"/>
                <w:color w:val="auto"/>
              </w:rPr>
            </w:pPr>
          </w:p>
        </w:tc>
        <w:tc>
          <w:tcPr>
            <w:tcW w:w="1560" w:type="dxa"/>
            <w:vAlign w:val="bottom"/>
            <w:gridSpan w:val="3"/>
          </w:tcPr>
          <w:p>
            <w:pPr>
              <w:jc w:val="center"/>
              <w:ind w:right="2"/>
              <w:spacing w:after="0" w:line="169" w:lineRule="exact"/>
              <w:rPr>
                <w:sz w:val="20"/>
                <w:szCs w:val="20"/>
                <w:color w:val="auto"/>
              </w:rPr>
            </w:pPr>
            <w:r>
              <w:rPr>
                <w:rFonts w:ascii="Times New Roman" w:cs="Times New Roman" w:eastAsia="Times New Roman" w:hAnsi="Times New Roman"/>
                <w:sz w:val="16"/>
                <w:szCs w:val="16"/>
                <w:b w:val="1"/>
                <w:bCs w:val="1"/>
                <w:color w:val="auto"/>
                <w:w w:val="97"/>
              </w:rPr>
              <w:t>SERIES SEED</w:t>
            </w:r>
          </w:p>
        </w:tc>
        <w:tc>
          <w:tcPr>
            <w:tcW w:w="164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SERIES A</w:t>
            </w:r>
          </w:p>
        </w:tc>
        <w:tc>
          <w:tcPr>
            <w:tcW w:w="164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7"/>
              </w:rPr>
              <w:t>SERIES B</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102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$0.0001 PAR</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$0.0001 PAR</w:t>
            </w:r>
          </w:p>
        </w:tc>
        <w:tc>
          <w:tcPr>
            <w:tcW w:w="16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$0.0001 PAR</w:t>
            </w:r>
          </w:p>
        </w:tc>
        <w:tc>
          <w:tcPr>
            <w:tcW w:w="158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ADDITIONAL</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1020" w:type="dxa"/>
            <w:vAlign w:val="bottom"/>
          </w:tcPr>
          <w:p>
            <w:pPr>
              <w:spacing w:after="0"/>
              <w:rPr>
                <w:sz w:val="18"/>
                <w:szCs w:val="18"/>
                <w:color w:val="auto"/>
              </w:rPr>
            </w:pPr>
          </w:p>
        </w:tc>
        <w:tc>
          <w:tcPr>
            <w:tcW w:w="1020" w:type="dxa"/>
            <w:vAlign w:val="bottom"/>
            <w:tcBorders>
              <w:bottom w:val="single" w:sz="8" w:color="auto"/>
            </w:tcBorders>
            <w:gridSpan w:val="2"/>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6"/>
              </w:rPr>
              <w:t>VALUE</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2"/>
              </w:rPr>
              <w:t>VALUE</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2"/>
              </w:rPr>
              <w:t>VALUE</w:t>
            </w:r>
          </w:p>
        </w:tc>
        <w:tc>
          <w:tcPr>
            <w:tcW w:w="5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$0.0001 PAR VALUE</w:t>
            </w:r>
          </w:p>
        </w:tc>
        <w:tc>
          <w:tcPr>
            <w:tcW w:w="160" w:type="dxa"/>
            <w:vAlign w:val="bottom"/>
          </w:tcPr>
          <w:p>
            <w:pPr>
              <w:spacing w:after="0"/>
              <w:rPr>
                <w:sz w:val="18"/>
                <w:szCs w:val="18"/>
                <w:color w:val="auto"/>
              </w:rPr>
            </w:pP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STOCKHOLDERS’</w:t>
            </w:r>
          </w:p>
        </w:tc>
      </w:tr>
      <w:tr>
        <w:trPr>
          <w:trHeight w:val="191"/>
        </w:trPr>
        <w:tc>
          <w:tcPr>
            <w:tcW w:w="10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40" w:type="dxa"/>
            <w:vAlign w:val="bottom"/>
          </w:tcPr>
          <w:p>
            <w:pPr>
              <w:spacing w:after="0"/>
              <w:rPr>
                <w:sz w:val="16"/>
                <w:szCs w:val="16"/>
                <w:color w:val="auto"/>
              </w:rPr>
            </w:pPr>
          </w:p>
        </w:tc>
        <w:tc>
          <w:tcPr>
            <w:tcW w:w="11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tcPr>
          <w:p>
            <w:pPr>
              <w:spacing w:after="0"/>
              <w:rPr>
                <w:sz w:val="16"/>
                <w:szCs w:val="16"/>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r>
      <w:tr>
        <w:trPr>
          <w:trHeight w:val="169"/>
        </w:trPr>
        <w:tc>
          <w:tcPr>
            <w:tcW w:w="1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right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31, 2020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41,666,666</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7,696,947</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(29,420)</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(28,809)</w:t>
            </w:r>
          </w:p>
        </w:tc>
      </w:tr>
      <w:tr>
        <w:trPr>
          <w:trHeight w:val="171"/>
        </w:trPr>
        <w:tc>
          <w:tcPr>
            <w:tcW w:w="1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Series B</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convertible</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net of</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 of $256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37,499,999</w:t>
            </w:r>
          </w:p>
        </w:tc>
        <w:tc>
          <w:tcPr>
            <w:tcW w:w="28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89,744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upon</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 of</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options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353,465</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171"/>
        </w:trPr>
        <w:tc>
          <w:tcPr>
            <w:tcW w:w="1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107,885</w:t>
            </w: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Stock-based</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(27,118)</w:t>
            </w:r>
          </w:p>
        </w:tc>
        <w:tc>
          <w:tcPr>
            <w:tcW w:w="2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(27,118)</w:t>
            </w:r>
          </w:p>
        </w:tc>
      </w:tr>
      <w:tr>
        <w:trPr>
          <w:trHeight w:val="169"/>
        </w:trPr>
        <w:tc>
          <w:tcPr>
            <w:tcW w:w="1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41,666,666</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37,499,999</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8,158,297</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(56,538)</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(55,641)</w:t>
            </w: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31, 2021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2,350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41,666,666</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37,499,999</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89,744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8,297,664</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(65,389)</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(64,203)</w:t>
            </w: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upon</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 of</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options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444,921</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r>
      <w:tr>
        <w:trPr>
          <w:trHeight w:val="171"/>
        </w:trPr>
        <w:tc>
          <w:tcPr>
            <w:tcW w:w="1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62,511</w:t>
            </w: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Stock-based</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1,096</w:t>
            </w: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(35,583)</w:t>
            </w:r>
          </w:p>
        </w:tc>
        <w:tc>
          <w:tcPr>
            <w:tcW w:w="2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(35,583)</w:t>
            </w:r>
          </w:p>
        </w:tc>
      </w:tr>
      <w:tr>
        <w:trPr>
          <w:trHeight w:val="169"/>
        </w:trPr>
        <w:tc>
          <w:tcPr>
            <w:tcW w:w="1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8"/>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41,666,666</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37,499,999</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8,805,096</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(100,972)</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(98,527)</w:t>
            </w:r>
          </w:p>
        </w:tc>
      </w:tr>
    </w:tbl>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condensed consolidated financial statements.</w:t>
      </w: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394" w:name="page395"/>
    <w:bookmarkEnd w:id="39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1"/>
        </w:trPr>
        <w:tc>
          <w:tcPr>
            <w:tcW w:w="86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r>
      <w:tr>
        <w:trPr>
          <w:trHeight w:val="187"/>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(27,118)</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(35,583)</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1,096</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3,600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3,450</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license expense</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lease expense</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w:t>
            </w:r>
          </w:p>
        </w:tc>
      </w:tr>
      <w:tr>
        <w:trPr>
          <w:trHeight w:val="18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(1,689)</w:t>
            </w:r>
          </w:p>
        </w:tc>
      </w:tr>
      <w:tr>
        <w:trPr>
          <w:trHeight w:val="188"/>
        </w:trPr>
        <w:tc>
          <w:tcPr>
            <w:tcW w:w="8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r>
      <w:tr>
        <w:trPr>
          <w:trHeight w:val="18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r>
      <w:tr>
        <w:trPr>
          <w:trHeight w:val="188"/>
        </w:trPr>
        <w:tc>
          <w:tcPr>
            <w:tcW w:w="8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(472)</w:t>
            </w:r>
          </w:p>
        </w:tc>
      </w:tr>
      <w:tr>
        <w:trPr>
          <w:trHeight w:val="18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(246)</w:t>
            </w:r>
          </w:p>
        </w:tc>
      </w:tr>
      <w:tr>
        <w:trPr>
          <w:trHeight w:val="188"/>
        </w:trPr>
        <w:tc>
          <w:tcPr>
            <w:tcW w:w="86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(21,130)</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(32,587)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convertible preferred stock, net of issuance costs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89,884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r>
      <w:tr>
        <w:trPr>
          <w:trHeight w:val="188"/>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89,933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68,798</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(32,563)</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25,886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88,213</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94,684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55,650</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right-of-use assets related to lease modification</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operating lease liabilities due to lease modification</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896</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issuance costs on Series B convertible preferred stock in accounts payable and accruals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 accruals at end of period</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255</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condensed consolidated financial statements.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95" w:name="page396"/>
    <w:bookmarkEnd w:id="395"/>
    <w:p>
      <w:pPr>
        <w:jc w:val="center"/>
        <w:spacing w:after="0"/>
        <w:rPr>
          <w:sz w:val="20"/>
          <w:szCs w:val="20"/>
          <w:color w:val="auto"/>
        </w:rPr>
      </w:pPr>
      <w:r>
        <w:rPr>
          <w:rFonts w:ascii="Times New Roman" w:cs="Times New Roman" w:eastAsia="Times New Roman" w:hAnsi="Times New Roman"/>
          <w:sz w:val="19"/>
          <w:szCs w:val="19"/>
          <w:b w:val="1"/>
          <w:bCs w:val="1"/>
          <w:color w:val="auto"/>
        </w:rPr>
        <w:t>DISC MEDICINE,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Organization and Nature of the Business</w:t>
      </w:r>
    </w:p>
    <w:p>
      <w:pPr>
        <w:spacing w:after="0" w:line="208" w:lineRule="exact"/>
        <w:rPr>
          <w:sz w:val="20"/>
          <w:szCs w:val="20"/>
          <w:color w:val="auto"/>
        </w:rPr>
      </w:pPr>
    </w:p>
    <w:p>
      <w:pPr>
        <w:jc w:val="both"/>
        <w:ind w:right="20" w:firstLine="313"/>
        <w:spacing w:after="0" w:line="245" w:lineRule="auto"/>
        <w:rPr>
          <w:sz w:val="20"/>
          <w:szCs w:val="20"/>
          <w:color w:val="auto"/>
        </w:rPr>
      </w:pPr>
      <w:r>
        <w:rPr>
          <w:rFonts w:ascii="Times New Roman" w:cs="Times New Roman" w:eastAsia="Times New Roman" w:hAnsi="Times New Roman"/>
          <w:sz w:val="19"/>
          <w:szCs w:val="19"/>
          <w:color w:val="auto"/>
        </w:rPr>
        <w:t>Disc Medicine, Inc. (the “Company”) is a clinical-stage biopharmaceutical company focused on the discovery, development and commercialization of novel treatments for patients suffering from serious hematologic disorders. The Company was incorporated in October 2017 under the laws of the State of Delaware. The Company’s principal offices are in Watertown, Massachusetts.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Liquidity and Going Concern</w:t>
      </w:r>
    </w:p>
    <w:p>
      <w:pPr>
        <w:spacing w:after="0" w:line="210"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The Company has incurred recurring losses and negative cash flows from operations since inception. As of September 30, 2022, the Company had an accumulated deficit of $101.0 million. The Company expects its operating losses and negative operating cash flows to continue into the foreseeable future.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80"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9"/>
          <w:szCs w:val="19"/>
          <w:color w:val="auto"/>
        </w:rPr>
        <w:t>As of the issuance date of these condensed consolidated financial statements, the Company expects that its existing cash and cash equivalents as of September 30, 2022 of $55.5 million, will not be sufficient to fund the Company’s operating expenses and capital expenditure requirements required to continue its development activities for at least twelve months from the date of issuance of these financial statements, and therefore there is substantial doubt regarding the Company’s ability to continue as a going concern. The Company plans to obtain additional funding through a proposed merger, described elsewhere in these condensed consolidated financial statements. The terms of any financing may adversely impact the holdings or the rights of the Company’s stockholders.</w:t>
      </w:r>
    </w:p>
    <w:p>
      <w:pPr>
        <w:spacing w:after="0" w:line="180" w:lineRule="exact"/>
        <w:rPr>
          <w:sz w:val="20"/>
          <w:szCs w:val="20"/>
          <w:color w:val="auto"/>
        </w:rPr>
      </w:pPr>
    </w:p>
    <w:p>
      <w:pPr>
        <w:jc w:val="both"/>
        <w:ind w:right="20" w:firstLine="313"/>
        <w:spacing w:after="0" w:line="241" w:lineRule="auto"/>
        <w:rPr>
          <w:sz w:val="20"/>
          <w:szCs w:val="20"/>
          <w:color w:val="auto"/>
        </w:rPr>
      </w:pPr>
      <w:r>
        <w:rPr>
          <w:rFonts w:ascii="Times New Roman" w:cs="Times New Roman" w:eastAsia="Times New Roman" w:hAnsi="Times New Roman"/>
          <w:sz w:val="19"/>
          <w:szCs w:val="19"/>
          <w:color w:val="auto"/>
        </w:rPr>
        <w:t>Although management continues to pursue these plans, there is no assurance that the Company will be successful in obtaining sufficient funding on terms acceptable to the Company to fund operations, if at all. If the Company is unable to obtain funding, the Company could be forced to delay, reduce or eliminate some or all of its research and development programs, which could adversely affect its business and the Company may be unable to continue operations.</w:t>
      </w:r>
    </w:p>
    <w:p>
      <w:pPr>
        <w:spacing w:after="0" w:line="179" w:lineRule="exact"/>
        <w:rPr>
          <w:sz w:val="20"/>
          <w:szCs w:val="20"/>
          <w:color w:val="auto"/>
        </w:rPr>
      </w:pPr>
    </w:p>
    <w:p>
      <w:pPr>
        <w:jc w:val="both"/>
        <w:ind w:right="20" w:firstLine="313"/>
        <w:spacing w:after="0" w:line="241" w:lineRule="auto"/>
        <w:rPr>
          <w:sz w:val="20"/>
          <w:szCs w:val="20"/>
          <w:color w:val="auto"/>
        </w:rPr>
      </w:pPr>
      <w:r>
        <w:rPr>
          <w:rFonts w:ascii="Times New Roman" w:cs="Times New Roman" w:eastAsia="Times New Roman" w:hAnsi="Times New Roman"/>
          <w:sz w:val="19"/>
          <w:szCs w:val="19"/>
          <w:color w:val="auto"/>
        </w:rPr>
        <w:t>Through September 30, 2022, the Company funded its operations primarily with proceeds from the sale of Series Seed convertible preferred stock (“Series Seed Preferred Stock”), Series A convertible preferred stock (“Series A Preferred Stock”) and Series B convertible preferred stock (“Series B Preferred Stock”), collectively referred to as “Preferred Stock.” The future viability of the Company is dependent on its ability to generate cash from operating activities or to raise additional capital to finance its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Proposed Merger with Gemini</w:t>
      </w:r>
    </w:p>
    <w:p>
      <w:pPr>
        <w:spacing w:after="0" w:line="210" w:lineRule="exact"/>
        <w:rPr>
          <w:sz w:val="20"/>
          <w:szCs w:val="20"/>
          <w:color w:val="auto"/>
        </w:rPr>
      </w:pPr>
    </w:p>
    <w:p>
      <w:pPr>
        <w:jc w:val="both"/>
        <w:ind w:firstLine="313"/>
        <w:spacing w:after="0" w:line="253" w:lineRule="auto"/>
        <w:rPr>
          <w:sz w:val="20"/>
          <w:szCs w:val="20"/>
          <w:color w:val="auto"/>
        </w:rPr>
      </w:pPr>
      <w:r>
        <w:rPr>
          <w:rFonts w:ascii="Times New Roman" w:cs="Times New Roman" w:eastAsia="Times New Roman" w:hAnsi="Times New Roman"/>
          <w:sz w:val="18"/>
          <w:szCs w:val="18"/>
          <w:color w:val="auto"/>
        </w:rPr>
        <w:t>On August 9, 2022, the Company entered into an Agreement and Plan of Merger and Reorganization (the “Merger Agreement”) with Gemini Therapeutics, Inc., a Delaware corporation (“Gemini”) and Gemstone Merger Sub, Inc., a Delaware corporation and a wholly owned subsidiary of Gemini (“Merger Sub”). Pursuant to the Merger Agreement and subject to the satisfaction or waiver of the conditions therein, Merger Sub will merge with and into the Company, with the Company continuing as the surviving company and as a wholly owned subsidiary of Gemini (the “merger”). If the merger is completed, the business of the Company will continue as the business of the combined company. The merger is intended to qualify for federal income tax purposes as a tax-free reorganization under the provisions of Section 368(a) of the Internal Revenue Code of 1986, as amended.</w:t>
      </w:r>
    </w:p>
    <w:p>
      <w:pPr>
        <w:spacing w:after="0" w:line="170"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9"/>
          <w:szCs w:val="19"/>
          <w:color w:val="auto"/>
        </w:rPr>
        <w:t>The merger is expected to close in the fourth quarter of 2022 and is subject to approval by the stockholders of the Company and Gemini as well as other customary closing conditions, including the effectiveness of a registration statement filed with the SEC in connection with the transaction. If Gemini is unable to satisfy certain closing conditions or if other mutual closing conditions are not satisfied, the Company will not be obligated to complete the merger. The Merger Agreement contains certain termination rights of each of the Company and Gemini. Under certain circumstances, the Company could be required to pay Gemini a termination fee of $7.8 million and up to $0.8 million of Gemini’s expenses. Gemini could be required to pay the Company a termination fee of $3.0 million and up to $0.8 million the Company’s expenses.</w:t>
      </w:r>
    </w:p>
    <w:p>
      <w:pPr>
        <w:spacing w:after="0" w:line="180" w:lineRule="exact"/>
        <w:rPr>
          <w:sz w:val="20"/>
          <w:szCs w:val="20"/>
          <w:color w:val="auto"/>
        </w:rPr>
      </w:pPr>
    </w:p>
    <w:p>
      <w:pPr>
        <w:jc w:val="both"/>
        <w:ind w:firstLine="313"/>
        <w:spacing w:after="0" w:line="236" w:lineRule="auto"/>
        <w:rPr>
          <w:sz w:val="20"/>
          <w:szCs w:val="20"/>
          <w:color w:val="auto"/>
        </w:rPr>
      </w:pPr>
      <w:r>
        <w:rPr>
          <w:rFonts w:ascii="Times New Roman" w:cs="Times New Roman" w:eastAsia="Times New Roman" w:hAnsi="Times New Roman"/>
          <w:sz w:val="19"/>
          <w:szCs w:val="19"/>
          <w:color w:val="auto"/>
        </w:rPr>
        <w:t>Subject to the terms and conditions of the Merger Agreement, at the effective time of the merger (the “Effective Time”), each then outstanding share of the Company’s common stock (including shares of common stock issued upon conversion of the Company’s preferred stock (see Note 8) and shares of the Company’s common stock issued in the Disc pre-closing financing defined below) will be converted into the right to receive a number of shares of Gemini’s common stock (subject to the payment of cash in lieu of fractional shares) calculated in accordance with the Merger Agreement (the “exchange ratio”). As a direct result of the reverse recapitalization, pursuant to the Roche Agreement (see Note 7), immediately following the Effective Date, the Company will issue shares of the combined company to Roche for no consideration (the “Roche Issuance”). The number of shares of common stock to be issued to Roche is estimated to be approximately 2.85% of the outstanding shares of common stock of the combined company as of the Effective Date.</w:t>
      </w:r>
    </w:p>
    <w:p>
      <w:pPr>
        <w:sectPr>
          <w:pgSz w:w="11900" w:h="16838" w:orient="portrait"/>
          <w:cols w:equalWidth="0" w:num="1">
            <w:col w:w="11260"/>
          </w:cols>
          <w:pgMar w:left="320" w:top="111" w:right="31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396" w:name="page397"/>
    <w:bookmarkEnd w:id="396"/>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In connection with the Merger Agreement, certain third parties have entered into a subscription agreement with the Company to purchase shares of the Company’s common stock for an aggregate purchase price of approximately $53.5 million (the “Disc pre-closing financing”). The Disc pre-closing financing is contingent on and will occur prior to the closing of the merger, subject to customary closing conditions. Shares of the Company’s common stock issued pursuant to the Disc pre-closing financing will be converted into shares of Gemini common stock in accordance with the exchange ratio at the Effective Time.</w:t>
      </w:r>
    </w:p>
    <w:p>
      <w:pPr>
        <w:spacing w:after="0" w:line="180"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At the Effective Time, each person who as of immediately prior to the Effective Time was a stockholder of record of Gemini or had the right to receive Gemini’s common stock will be entitled to receive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calculated in accordance with the CVR Agreement.</w:t>
      </w:r>
    </w:p>
    <w:p>
      <w:pPr>
        <w:spacing w:after="0" w:line="180"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The merger is expected to be treated as a reverse recapitalization in accordance with U.S. GAAP because on the effective date of the merger, the pre-combination assets of Gemini are expected to be primarily cash and cash equivalents and other non-operating assets. Disc concluded that any in-process research and development assets potentially remaining as of the combination would be de minimis when compared to the cash and cash equivalents obtained through the merger.</w:t>
      </w:r>
    </w:p>
    <w:p>
      <w:pPr>
        <w:spacing w:after="0" w:line="179"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9"/>
          <w:szCs w:val="19"/>
          <w:color w:val="auto"/>
        </w:rPr>
        <w:t>Although the Company intends to consummate the merger, there is no assurance that it will be successful. If, for any reason, the merger does not close, the Company may seek funding through an initial public offering, private equity financings, debt financing or collaboration agreements to fund its operations. The terms of any financing may adversely affect the holdings or the rights of the Company’s stockholders. There is no assurance that the Company will be successful in obtaining sufficient funding on terms acceptable to the Company, if at all. If the Company is unable to obtain funding, the Company could be forced to delay, reduce or eliminate its research and development programs, product portfolio expansion or commercialization efforts, which could adversely affect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 and Principles of Consolidation</w:t>
      </w:r>
    </w:p>
    <w:p>
      <w:pPr>
        <w:spacing w:after="0" w:line="210" w:lineRule="exact"/>
        <w:rPr>
          <w:sz w:val="20"/>
          <w:szCs w:val="20"/>
          <w:color w:val="auto"/>
        </w:rPr>
      </w:pPr>
    </w:p>
    <w:p>
      <w:pPr>
        <w:jc w:val="both"/>
        <w:ind w:right="20" w:firstLine="313"/>
        <w:spacing w:after="0" w:line="245" w:lineRule="auto"/>
        <w:rPr>
          <w:sz w:val="20"/>
          <w:szCs w:val="20"/>
          <w:color w:val="auto"/>
        </w:rPr>
      </w:pPr>
      <w:r>
        <w:rPr>
          <w:rFonts w:ascii="Times New Roman" w:cs="Times New Roman" w:eastAsia="Times New Roman" w:hAnsi="Times New Roman"/>
          <w:sz w:val="19"/>
          <w:szCs w:val="19"/>
          <w:color w:val="auto"/>
        </w:rPr>
        <w:t>The Company’s condensed consolidated financial statements are prepared in accordance with U.S.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76"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condensed consolidated financial statements include the Company and its wholly-owned subsidiaries. All intercompany transactions and balances have been eliminated in consolidation.</w:t>
      </w:r>
    </w:p>
    <w:p>
      <w:pPr>
        <w:spacing w:after="0" w:line="162" w:lineRule="exact"/>
        <w:rPr>
          <w:sz w:val="20"/>
          <w:szCs w:val="20"/>
          <w:color w:val="auto"/>
        </w:rPr>
      </w:pPr>
    </w:p>
    <w:p>
      <w:pPr>
        <w:jc w:val="both"/>
        <w:ind w:right="20" w:firstLine="313"/>
        <w:spacing w:after="0" w:line="245" w:lineRule="auto"/>
        <w:rPr>
          <w:sz w:val="20"/>
          <w:szCs w:val="20"/>
          <w:color w:val="auto"/>
        </w:rPr>
      </w:pPr>
      <w:r>
        <w:rPr>
          <w:rFonts w:ascii="Times New Roman" w:cs="Times New Roman" w:eastAsia="Times New Roman" w:hAnsi="Times New Roman"/>
          <w:sz w:val="19"/>
          <w:szCs w:val="19"/>
          <w:color w:val="auto"/>
        </w:rPr>
        <w:t>The Company’s significant accounting policies are disclosed in the audited consolidated financial statements for the years ended December 31, 2020 and 2021, included in Exhibit 99.5 of the Company’s Current Report on Form 8-K of which this Exhibit 99.6 is a part. Since the date of those financial statements, there have been no changes to its significant accounting policies except as noted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Unaudited Interim Condensed Consolidated Financial Information</w:t>
      </w:r>
    </w:p>
    <w:p>
      <w:pPr>
        <w:spacing w:after="0" w:line="210"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The accompanying condensed consolidated financial statements as of September 30, 2022 and for the nine months ended September 30, 2021 and 2022 are unaudited. The financial data and other information contained in the notes hereto as of September 30, 2022 and for the nine months ended September 30, 2021 and 2022 are also unaudited. The condensed consolidated balance sheet data as of December 31, 2021 was derived from the Company’s audited consolidated financial statements included in Exhibit 99.5 of the Company’s Current Report on Form 8-K of which this Exhibit 99.6 is a part.</w:t>
      </w:r>
    </w:p>
    <w:p>
      <w:pPr>
        <w:spacing w:after="0" w:line="180" w:lineRule="exact"/>
        <w:rPr>
          <w:sz w:val="20"/>
          <w:szCs w:val="20"/>
          <w:color w:val="auto"/>
        </w:rPr>
      </w:pPr>
    </w:p>
    <w:p>
      <w:pPr>
        <w:jc w:val="both"/>
        <w:ind w:right="20" w:firstLine="313"/>
        <w:spacing w:after="0" w:line="238" w:lineRule="auto"/>
        <w:rPr>
          <w:sz w:val="20"/>
          <w:szCs w:val="20"/>
          <w:color w:val="auto"/>
        </w:rPr>
      </w:pPr>
      <w:r>
        <w:rPr>
          <w:rFonts w:ascii="Times New Roman" w:cs="Times New Roman" w:eastAsia="Times New Roman" w:hAnsi="Times New Roman"/>
          <w:sz w:val="19"/>
          <w:szCs w:val="19"/>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September 30, 2022 and the results of its operations and cash flows for the nine months ended September 30, 2021 and 2022. These unaudited condensed consolidated financial statements should be read in conjunction with the audited consolidated financial statements as of and for the year ended December 31, 2021, and the notes thereto, included in Exhibit 99.5 of the Company’s Current Report on Form 8-K of which this Exhibit 99.6 is a part.</w:t>
      </w:r>
    </w:p>
    <w:p>
      <w:pPr>
        <w:spacing w:after="0" w:line="180"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results for the nine months ended September 30, 2022 are not necessarily indicative of results to be expected for the year ended December 31, 2022, or any other interim periods, or any future year or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210" w:lineRule="exact"/>
        <w:rPr>
          <w:sz w:val="20"/>
          <w:szCs w:val="20"/>
          <w:color w:val="auto"/>
        </w:rPr>
      </w:pPr>
    </w:p>
    <w:p>
      <w:pPr>
        <w:jc w:val="both"/>
        <w:ind w:firstLine="313"/>
        <w:spacing w:after="0" w:line="235" w:lineRule="auto"/>
        <w:rPr>
          <w:sz w:val="20"/>
          <w:szCs w:val="20"/>
          <w:color w:val="auto"/>
        </w:rPr>
      </w:pPr>
      <w:r>
        <w:rPr>
          <w:rFonts w:ascii="Times New Roman" w:cs="Times New Roman" w:eastAsia="Times New Roman" w:hAnsi="Times New Roman"/>
          <w:sz w:val="19"/>
          <w:szCs w:val="19"/>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the fair value determinations for instruments accounted for at fair value including contingent amounts payable to third parties upon the consummation of specified transactions, including a Roche Qualified Transaction (see Note 7);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ectPr>
          <w:pgSz w:w="11900" w:h="16838" w:orient="portrait"/>
          <w:cols w:equalWidth="0" w:num="1">
            <w:col w:w="11260"/>
          </w:cols>
          <w:pgMar w:left="320" w:top="115" w:right="319" w:bottom="1081"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081" w:gutter="0" w:footer="0" w:header="0"/>
          <w:type w:val="continuous"/>
        </w:sectPr>
      </w:pPr>
    </w:p>
    <w:bookmarkStart w:id="397" w:name="page398"/>
    <w:bookmarkEnd w:id="397"/>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Restricted Cash</w:t>
      </w:r>
    </w:p>
    <w:p>
      <w:pPr>
        <w:spacing w:after="0" w:line="211" w:lineRule="exact"/>
        <w:rPr>
          <w:sz w:val="20"/>
          <w:szCs w:val="20"/>
          <w:color w:val="auto"/>
        </w:rPr>
      </w:pPr>
    </w:p>
    <w:p>
      <w:pPr>
        <w:jc w:val="both"/>
        <w:ind w:left="6" w:firstLine="313"/>
        <w:spacing w:after="0" w:line="241" w:lineRule="auto"/>
        <w:rPr>
          <w:sz w:val="20"/>
          <w:szCs w:val="20"/>
          <w:color w:val="auto"/>
        </w:rPr>
      </w:pPr>
      <w:r>
        <w:rPr>
          <w:rFonts w:ascii="Times New Roman" w:cs="Times New Roman" w:eastAsia="Times New Roman" w:hAnsi="Times New Roman"/>
          <w:sz w:val="19"/>
          <w:szCs w:val="19"/>
          <w:color w:val="auto"/>
        </w:rPr>
        <w:t>The Company maintained letters of credit for the benefit of its landlords related to its leased office space in Cambridge, Massachusetts and Watertown, Massachusetts. The Company was required to maintain separate cash balances to secure its letters of credit. Due to the lease termination of the office space in Cambridge, Massachusetts in September 2021, the related letter of credit was reclassified from non-current other assets to prepaid expenses and other current assets.</w:t>
      </w:r>
    </w:p>
    <w:p>
      <w:pPr>
        <w:spacing w:after="0" w:line="17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Deferred Transaction Costs</w:t>
      </w:r>
    </w:p>
    <w:p>
      <w:pPr>
        <w:spacing w:after="0" w:line="210" w:lineRule="exact"/>
        <w:rPr>
          <w:sz w:val="20"/>
          <w:szCs w:val="20"/>
          <w:color w:val="auto"/>
        </w:rPr>
      </w:pPr>
    </w:p>
    <w:p>
      <w:pPr>
        <w:jc w:val="both"/>
        <w:ind w:left="6" w:firstLine="313"/>
        <w:spacing w:after="0" w:line="236" w:lineRule="auto"/>
        <w:rPr>
          <w:sz w:val="20"/>
          <w:szCs w:val="20"/>
          <w:color w:val="auto"/>
        </w:rPr>
      </w:pPr>
      <w:r>
        <w:rPr>
          <w:rFonts w:ascii="Times New Roman" w:cs="Times New Roman" w:eastAsia="Times New Roman" w:hAnsi="Times New Roman"/>
          <w:sz w:val="19"/>
          <w:szCs w:val="19"/>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deficit as a reduction of additional paid-in capital generated as a result of the transaction. Should the in-process equity financing be abandoned, the deferred transaction costs would be expensed immediately as a charge to operating expenses in the condensed consolidated statements of operations and comprehensive loss. During the six months ended June 30, 2022, the Company concluded not to proceed with its planned equity financing and expensed the previously capitalized related financing costs of $2.2 million to general and administrative expenses. As of September 30, 2022, the Company had capitalized deferred transaction costs of $1.1 million related to the merger.</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210" w:lineRule="exact"/>
        <w:rPr>
          <w:sz w:val="20"/>
          <w:szCs w:val="20"/>
          <w:color w:val="auto"/>
        </w:rPr>
      </w:pPr>
    </w:p>
    <w:p>
      <w:pPr>
        <w:jc w:val="both"/>
        <w:ind w:left="6" w:firstLine="313"/>
        <w:spacing w:after="0" w:line="238" w:lineRule="auto"/>
        <w:rPr>
          <w:sz w:val="20"/>
          <w:szCs w:val="20"/>
          <w:color w:val="auto"/>
        </w:rPr>
      </w:pPr>
      <w:r>
        <w:rPr>
          <w:rFonts w:ascii="Times New Roman" w:cs="Times New Roman" w:eastAsia="Times New Roman" w:hAnsi="Times New Roman"/>
          <w:sz w:val="19"/>
          <w:szCs w:val="19"/>
          <w:color w:val="auto"/>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186" w:lineRule="exact"/>
        <w:rPr>
          <w:sz w:val="20"/>
          <w:szCs w:val="20"/>
          <w:color w:val="auto"/>
        </w:rPr>
      </w:pPr>
    </w:p>
    <w:p>
      <w:pPr>
        <w:ind w:left="286" w:hanging="286"/>
        <w:spacing w:after="0"/>
        <w:tabs>
          <w:tab w:leader="none" w:pos="286"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1—Quoted prices (unadjusted) in active markets for identical assets or liabilities;</w:t>
      </w:r>
    </w:p>
    <w:p>
      <w:pPr>
        <w:spacing w:after="0" w:line="21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2—Inputs other than quoted prices included within Level 1 that are either directly or indirectly observable; and</w:t>
      </w:r>
    </w:p>
    <w:p>
      <w:pPr>
        <w:spacing w:after="0" w:line="215" w:lineRule="exact"/>
        <w:rPr>
          <w:rFonts w:ascii="Times New Roman" w:cs="Times New Roman" w:eastAsia="Times New Roman" w:hAnsi="Times New Roman"/>
          <w:sz w:val="16"/>
          <w:szCs w:val="16"/>
          <w:color w:val="auto"/>
        </w:rPr>
      </w:pPr>
    </w:p>
    <w:p>
      <w:pPr>
        <w:ind w:left="286" w:right="400" w:hanging="286"/>
        <w:spacing w:after="0" w:line="270" w:lineRule="auto"/>
        <w:tabs>
          <w:tab w:leader="none" w:pos="286"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in which little or no market activity exists, therefore requiring an entity to develop its own assumptions about the assumptions that market participants would use in pricing.</w:t>
      </w:r>
    </w:p>
    <w:p>
      <w:pPr>
        <w:spacing w:after="0" w:line="167" w:lineRule="exact"/>
        <w:rPr>
          <w:sz w:val="20"/>
          <w:szCs w:val="20"/>
          <w:color w:val="auto"/>
        </w:rPr>
      </w:pPr>
    </w:p>
    <w:p>
      <w:pPr>
        <w:jc w:val="both"/>
        <w:ind w:left="6" w:firstLine="313"/>
        <w:spacing w:after="0" w:line="245" w:lineRule="auto"/>
        <w:rPr>
          <w:sz w:val="20"/>
          <w:szCs w:val="20"/>
          <w:color w:val="auto"/>
        </w:rPr>
      </w:pPr>
      <w:r>
        <w:rPr>
          <w:rFonts w:ascii="Times New Roman" w:cs="Times New Roman" w:eastAsia="Times New Roman" w:hAnsi="Times New Roman"/>
          <w:sz w:val="19"/>
          <w:szCs w:val="19"/>
          <w:color w:val="auto"/>
        </w:rPr>
        <w:t>The fair value of the Company’s cash equivalents are determined according to the fair value hierarchy described above (see Note 3). The carrying values of the Company’s prepaid expenses and other current assets, accounts payable and accrued expenses approximate their fair values due to the short-term nature of these assets and liabilities.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210" w:lineRule="exact"/>
        <w:rPr>
          <w:sz w:val="20"/>
          <w:szCs w:val="20"/>
          <w:color w:val="auto"/>
        </w:rPr>
      </w:pPr>
    </w:p>
    <w:p>
      <w:pPr>
        <w:jc w:val="both"/>
        <w:ind w:left="6" w:right="20" w:firstLine="313"/>
        <w:spacing w:after="0" w:line="259" w:lineRule="auto"/>
        <w:rPr>
          <w:sz w:val="20"/>
          <w:szCs w:val="20"/>
          <w:color w:val="auto"/>
        </w:rPr>
      </w:pPr>
      <w:r>
        <w:rPr>
          <w:rFonts w:ascii="Times New Roman" w:cs="Times New Roman" w:eastAsia="Times New Roman" w:hAnsi="Times New Roman"/>
          <w:sz w:val="19"/>
          <w:szCs w:val="19"/>
          <w:color w:val="auto"/>
        </w:rPr>
        <w:t>Property and equipment are stated at cost, less accumulated depreciation. Depreciation is calculated using the straight-line method over the estimated useful lives of the assets.</w:t>
      </w:r>
    </w:p>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ESTIMATED USEFUL</w:t>
            </w:r>
          </w:p>
        </w:tc>
      </w:tr>
      <w:tr>
        <w:trPr>
          <w:trHeight w:val="210"/>
        </w:trPr>
        <w:tc>
          <w:tcPr>
            <w:tcW w:w="6100" w:type="dxa"/>
            <w:vAlign w:val="bottom"/>
          </w:tcPr>
          <w:p>
            <w:pPr>
              <w:spacing w:after="0"/>
              <w:rPr>
                <w:sz w:val="18"/>
                <w:szCs w:val="18"/>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LIFE</w:t>
            </w:r>
          </w:p>
        </w:tc>
      </w:tr>
      <w:tr>
        <w:trPr>
          <w:trHeight w:val="18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 years</w:t>
            </w:r>
          </w:p>
        </w:tc>
      </w:tr>
      <w:tr>
        <w:trPr>
          <w:trHeight w:val="188"/>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5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3.0 years</w:t>
            </w:r>
          </w:p>
        </w:tc>
      </w:tr>
      <w:tr>
        <w:trPr>
          <w:trHeight w:val="18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 years</w:t>
            </w:r>
          </w:p>
        </w:tc>
      </w:tr>
    </w:tbl>
    <w:p>
      <w:pPr>
        <w:spacing w:after="0" w:line="188" w:lineRule="exact"/>
        <w:rPr>
          <w:sz w:val="20"/>
          <w:szCs w:val="20"/>
          <w:color w:val="auto"/>
        </w:rPr>
      </w:pPr>
    </w:p>
    <w:p>
      <w:pPr>
        <w:jc w:val="both"/>
        <w:ind w:left="6" w:firstLine="313"/>
        <w:spacing w:after="0" w:line="241" w:lineRule="auto"/>
        <w:rPr>
          <w:sz w:val="20"/>
          <w:szCs w:val="20"/>
          <w:color w:val="auto"/>
        </w:rPr>
      </w:pPr>
      <w:r>
        <w:rPr>
          <w:rFonts w:ascii="Times New Roman" w:cs="Times New Roman" w:eastAsia="Times New Roman" w:hAnsi="Times New Roman"/>
          <w:sz w:val="19"/>
          <w:szCs w:val="19"/>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179" w:lineRule="exact"/>
        <w:rPr>
          <w:sz w:val="20"/>
          <w:szCs w:val="20"/>
          <w:color w:val="auto"/>
        </w:rPr>
      </w:pPr>
    </w:p>
    <w:p>
      <w:pPr>
        <w:jc w:val="both"/>
        <w:ind w:left="6" w:firstLine="313"/>
        <w:spacing w:after="0" w:line="259" w:lineRule="auto"/>
        <w:rPr>
          <w:sz w:val="20"/>
          <w:szCs w:val="20"/>
          <w:color w:val="auto"/>
        </w:rPr>
      </w:pPr>
      <w:r>
        <w:rPr>
          <w:rFonts w:ascii="Times New Roman" w:cs="Times New Roman" w:eastAsia="Times New Roman" w:hAnsi="Times New Roman"/>
          <w:sz w:val="19"/>
          <w:szCs w:val="19"/>
          <w:color w:val="auto"/>
        </w:rPr>
        <w:t>We capitalize internal costs incurred to develop software for internal use during the application development stage. Amortization of capitalized internally developed software costs is recorded in depreciation expense over the useful life of the related asset.</w:t>
      </w:r>
    </w:p>
    <w:p>
      <w:pPr>
        <w:spacing w:after="0" w:line="31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0100" cy="146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0" w:right="31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211"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179" w:lineRule="exact"/>
        <w:rPr>
          <w:sz w:val="20"/>
          <w:szCs w:val="20"/>
          <w:color w:val="auto"/>
        </w:rPr>
      </w:pPr>
    </w:p>
    <w:p>
      <w:pPr>
        <w:jc w:val="both"/>
        <w:ind w:right="20" w:firstLine="313"/>
        <w:spacing w:after="0" w:line="245" w:lineRule="auto"/>
        <w:rPr>
          <w:sz w:val="20"/>
          <w:szCs w:val="20"/>
          <w:color w:val="auto"/>
        </w:rPr>
      </w:pPr>
      <w:r>
        <w:rPr>
          <w:rFonts w:ascii="Times New Roman" w:cs="Times New Roman" w:eastAsia="Times New Roman" w:hAnsi="Times New Roman"/>
          <w:sz w:val="19"/>
          <w:szCs w:val="19"/>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76" w:lineRule="exact"/>
        <w:rPr>
          <w:sz w:val="20"/>
          <w:szCs w:val="20"/>
          <w:color w:val="auto"/>
        </w:rPr>
      </w:pPr>
    </w:p>
    <w:p>
      <w:pPr>
        <w:jc w:val="both"/>
        <w:ind w:firstLine="313"/>
        <w:spacing w:after="0" w:line="236" w:lineRule="auto"/>
        <w:rPr>
          <w:sz w:val="20"/>
          <w:szCs w:val="20"/>
          <w:color w:val="auto"/>
        </w:rPr>
      </w:pPr>
      <w:r>
        <w:rPr>
          <w:rFonts w:ascii="Times New Roman" w:cs="Times New Roman" w:eastAsia="Times New Roman" w:hAnsi="Times New Roman"/>
          <w:sz w:val="19"/>
          <w:szCs w:val="19"/>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xml:space="preserve">, and the acquired in-process research and development does not have an alternative future use, any related upfront license payment is expensed as incurred in accordance with guidance in ASC Topic 730, </w:t>
      </w:r>
      <w:r>
        <w:rPr>
          <w:rFonts w:ascii="Times New Roman" w:cs="Times New Roman" w:eastAsia="Times New Roman" w:hAnsi="Times New Roman"/>
          <w:sz w:val="19"/>
          <w:szCs w:val="19"/>
          <w:i w:val="1"/>
          <w:iCs w:val="1"/>
          <w:color w:val="auto"/>
        </w:rPr>
        <w:t>Research and Development</w:t>
      </w:r>
      <w:r>
        <w:rPr>
          <w:rFonts w:ascii="Times New Roman" w:cs="Times New Roman" w:eastAsia="Times New Roman" w:hAnsi="Times New Roman"/>
          <w:sz w:val="19"/>
          <w:szCs w:val="19"/>
          <w:color w:val="auto"/>
        </w:rPr>
        <w:t>. In general, contingent payments are recognized when it becomes probable the payment will be required. Any contingent payments that qualify as a derivative liability are recognized at fair value on the Company’s condensed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183" w:lineRule="exact"/>
        <w:rPr>
          <w:sz w:val="20"/>
          <w:szCs w:val="20"/>
          <w:color w:val="auto"/>
        </w:rPr>
      </w:pPr>
    </w:p>
    <w:p>
      <w:pPr>
        <w:jc w:val="both"/>
        <w:ind w:firstLine="313"/>
        <w:spacing w:after="0" w:line="235" w:lineRule="auto"/>
        <w:rPr>
          <w:sz w:val="20"/>
          <w:szCs w:val="20"/>
          <w:color w:val="auto"/>
        </w:rPr>
      </w:pPr>
      <w:r>
        <w:rPr>
          <w:rFonts w:ascii="Times New Roman" w:cs="Times New Roman" w:eastAsia="Times New Roman" w:hAnsi="Times New Roman"/>
          <w:sz w:val="19"/>
          <w:szCs w:val="19"/>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210" w:lineRule="exact"/>
        <w:rPr>
          <w:sz w:val="20"/>
          <w:szCs w:val="20"/>
          <w:color w:val="auto"/>
        </w:rPr>
      </w:pPr>
    </w:p>
    <w:p>
      <w:pPr>
        <w:jc w:val="both"/>
        <w:ind w:firstLine="313"/>
        <w:spacing w:after="0" w:line="236" w:lineRule="auto"/>
        <w:rPr>
          <w:sz w:val="20"/>
          <w:szCs w:val="20"/>
          <w:color w:val="auto"/>
        </w:rPr>
      </w:pPr>
      <w:r>
        <w:rPr>
          <w:rFonts w:ascii="Times New Roman" w:cs="Times New Roman" w:eastAsia="Times New Roman" w:hAnsi="Times New Roman"/>
          <w:sz w:val="19"/>
          <w:szCs w:val="19"/>
          <w:color w:val="auto"/>
        </w:rPr>
        <w:t>The Company utilizes significant estimates and assumptions in determining the fair value of its equity and equity-based awards. During the nine months ended September 30, 2022, the Company determined the fair value of shares of its common stock underlying stock-based awards granted using a hybrid approach. The hybrid approach is a scenario-based analysis where one or more of the scenarios allocate the equity value utilizing the option-pricing method (“OPM”). When using the hybrid approach, the Company estimates the probability-weighted value across multiple scenarios but applies the OPM to estimate the allocation of value within at least one of the scenarios. In addition to a scenario using the OPM, the hybrid method also considers a Qualified Public Offering scenario in which the shares of convertible preferred stock are assumed to convert to common stock. The future value of the common stock in the Qualified Public Offering scenario was discounted back to the valuation date at an appropriate risk adjusted discount rate. In the hybrid method, the present value indicated for each scenario was probability weighted to arrive at an indication of value for the Company’s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210"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9"/>
          <w:szCs w:val="19"/>
          <w:color w:val="auto"/>
        </w:rPr>
        <w:t>Comprehensive loss includes net loss, as well as other changes in stockholders’ deficit that result from transactions and economic events other than those with stockholders. The Company’s comprehensive loss was equal to net loss for the nine months ended September 30, 2021 and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There were no new accounting standards adopted by the Company in the nine months ended September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 Not Yet Adopted</w:t>
      </w:r>
    </w:p>
    <w:p>
      <w:pPr>
        <w:spacing w:after="0" w:line="206" w:lineRule="exact"/>
        <w:rPr>
          <w:sz w:val="20"/>
          <w:szCs w:val="20"/>
          <w:color w:val="auto"/>
        </w:rPr>
      </w:pPr>
    </w:p>
    <w:p>
      <w:pPr>
        <w:jc w:val="both"/>
        <w:ind w:firstLine="313"/>
        <w:spacing w:after="0" w:line="235" w:lineRule="auto"/>
        <w:rPr>
          <w:sz w:val="20"/>
          <w:szCs w:val="20"/>
          <w:color w:val="auto"/>
        </w:rPr>
      </w:pPr>
      <w:r>
        <w:rPr>
          <w:rFonts w:ascii="Times New Roman" w:cs="Times New Roman" w:eastAsia="Times New Roman" w:hAnsi="Times New Roman"/>
          <w:sz w:val="19"/>
          <w:szCs w:val="19"/>
          <w:color w:val="auto"/>
        </w:rPr>
        <w:t xml:space="preserve">In June 2016, the FASB issued ASU No. 2016-13, </w:t>
      </w:r>
      <w:r>
        <w:rPr>
          <w:rFonts w:ascii="Times New Roman" w:cs="Times New Roman" w:eastAsia="Times New Roman" w:hAnsi="Times New Roman"/>
          <w:sz w:val="19"/>
          <w:szCs w:val="19"/>
          <w:i w:val="1"/>
          <w:iCs w:val="1"/>
          <w:color w:val="auto"/>
        </w:rPr>
        <w:t>Financial Instruments - Credit Losses (Topic 326): Measurement of Credit Losses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Financial Instruments</w:t>
      </w:r>
      <w:r>
        <w:rPr>
          <w:rFonts w:ascii="Times New Roman" w:cs="Times New Roman" w:eastAsia="Times New Roman" w:hAnsi="Times New Roman"/>
          <w:sz w:val="19"/>
          <w:szCs w:val="19"/>
          <w:color w:val="auto"/>
        </w:rPr>
        <w:t>, which has been subsequently amended by ASU 2018-19, ASU 2019-04, ASU 2019-05, ASU 2019-10, ASU 2019-11, ASU</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2020-03, and ASU 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For public business entities that meet the definition of a U.S. Securities and Exchange Commission (“SEC”) filer, excluding entities eligible to be smaller reporting companies as defined by the SEC, the standard is effective for fiscal calendar years beginning January 1, 2020, including interim periods within those fiscal years. For all other entities, the standard is effective for fiscal calendar years beginning January 1, 2023. Early adoption is permitted. The Company expects to inherit EGC status from Gemini upon the closing of the merger and this status allows the Company to adopt this standard for the fiscal calendar year beginning January 1, 2023. The Company does not expect that this standard will have a material impact on its condensed consolidated financial statements and disclosures.</w:t>
      </w:r>
    </w:p>
    <w:p>
      <w:pPr>
        <w:sectPr>
          <w:pgSz w:w="11900" w:h="16838" w:orient="portrait"/>
          <w:cols w:equalWidth="0" w:num="1">
            <w:col w:w="11260"/>
          </w:cols>
          <w:pgMar w:left="320" w:top="110" w:right="31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type w:val="continuous"/>
        </w:sectPr>
      </w:pPr>
    </w:p>
    <w:bookmarkStart w:id="399" w:name="page400"/>
    <w:bookmarkEnd w:id="399"/>
    <w:p>
      <w:pPr>
        <w:spacing w:after="0"/>
        <w:rPr>
          <w:sz w:val="20"/>
          <w:szCs w:val="20"/>
          <w:color w:val="auto"/>
        </w:rPr>
      </w:pPr>
      <w:r>
        <w:rPr>
          <w:rFonts w:ascii="Times New Roman" w:cs="Times New Roman" w:eastAsia="Times New Roman" w:hAnsi="Times New Roman"/>
          <w:sz w:val="19"/>
          <w:szCs w:val="19"/>
          <w:b w:val="1"/>
          <w:bCs w:val="1"/>
          <w:color w:val="auto"/>
        </w:rPr>
        <w:t>3. Fair Value Measurements</w:t>
      </w:r>
    </w:p>
    <w:p>
      <w:pPr>
        <w:spacing w:after="0" w:line="209"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Financial assets and liabilities measured at fair value on a recurring basis are summarized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 in cash and cash equivalents</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86,119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86,119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w:t>
            </w:r>
          </w:p>
        </w:tc>
      </w:tr>
      <w:tr>
        <w:trPr>
          <w:trHeight w:val="18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6,450</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 in cash and cash equivalents</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9,900</w:t>
            </w:r>
          </w:p>
        </w:tc>
      </w:tr>
      <w:tr>
        <w:trPr>
          <w:trHeight w:val="18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9,900</w:t>
            </w:r>
          </w:p>
        </w:tc>
      </w:tr>
    </w:tbl>
    <w:p>
      <w:pPr>
        <w:spacing w:after="0" w:line="188"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The fair value of the Company’s cash equivalents, consisting of money market funds, is based on quoted market prices in active markets with no valuation adjustment. There have been no impairments of the Company’s assets measured and carried at fair value during the nine months ended September 30, 2021 and 2022. In addition, there were no changes in valuation techniques or transfers between Level 1 and Level 2 financial assets during the nine months ended September 30, 2021 and 2022. The Company did not have any non-recurring fair value measurements on any assets or liabilities during the nine months ended September 30, 2021 and 2022.</w:t>
      </w:r>
    </w:p>
    <w:p>
      <w:pPr>
        <w:spacing w:after="0" w:line="180" w:lineRule="exact"/>
        <w:rPr>
          <w:sz w:val="20"/>
          <w:szCs w:val="20"/>
          <w:color w:val="auto"/>
        </w:rPr>
      </w:pPr>
    </w:p>
    <w:p>
      <w:pPr>
        <w:jc w:val="both"/>
        <w:ind w:firstLine="313"/>
        <w:spacing w:after="0" w:line="248" w:lineRule="auto"/>
        <w:rPr>
          <w:sz w:val="20"/>
          <w:szCs w:val="20"/>
          <w:color w:val="auto"/>
        </w:rPr>
      </w:pPr>
      <w:r>
        <w:rPr>
          <w:rFonts w:ascii="Times New Roman" w:cs="Times New Roman" w:eastAsia="Times New Roman" w:hAnsi="Times New Roman"/>
          <w:sz w:val="18"/>
          <w:szCs w:val="18"/>
          <w:color w:val="auto"/>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7. The Company recognized a liability in connection with the Roche Agreement which includes an obligation to issue a variable number of shares of the Company’s common stock to Roche for no additional consideration upon the Company’s completion of an initial public offering or certain merger transactions, a “Roche Qualified Transaction”. The number of shares of common stock to be issued to Roche is estimated to be approximately 2.85% of the outstanding shares of common stock of the Company as of immediately after the completion of a Roche Qualified Transaction. The Company has determined that the obligation to issue common stock upon completion of a Roche Qualified Transaction represents a liability classified financial instrument. The liability is measured at fair value as of each reporting date and the change in the fair value for the period is recorded in the condensed consolidated statements of operations in the change in fair value of derivative liability. The fair value measurement of the derivative liability is classified as Level 3 under the fair value hierarchy as it has been valued using certain unobservable inputs. These inputs include: (1) the Company’s estimated shares outstanding and fair value per share upon completion of a Roche Qualified Transaction and (2) the probability of the Company completing a Roche Qualified Transaction. The probability of the Company completing a Roche Qualified Transaction was low double-digits upon the execution of the Roche Agreement, adjusted periodically based on the Company’s progress towards a Roche Qualified Transaction. Significant increases or decreases in any of those inputs could result in a significantly lower or higher fair value measurement.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00" w:name="page401"/>
    <w:bookmarkEnd w:id="400"/>
    <w:p>
      <w:pPr>
        <w:ind w:left="300"/>
        <w:spacing w:after="0"/>
        <w:rPr>
          <w:sz w:val="20"/>
          <w:szCs w:val="20"/>
          <w:color w:val="auto"/>
        </w:rPr>
      </w:pPr>
      <w:r>
        <w:rPr>
          <w:rFonts w:ascii="Times New Roman" w:cs="Times New Roman" w:eastAsia="Times New Roman" w:hAnsi="Times New Roman"/>
          <w:sz w:val="19"/>
          <w:szCs w:val="19"/>
          <w:color w:val="auto"/>
        </w:rPr>
        <w:t>The following table provides a summary of changes in fair value of the Level 3 liabilities related to the Roche Agreement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0"/>
        </w:trPr>
        <w:tc>
          <w:tcPr>
            <w:tcW w:w="99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ROLLFORWARD</w:t>
            </w:r>
          </w:p>
        </w:tc>
      </w:tr>
      <w:tr>
        <w:trPr>
          <w:trHeight w:val="18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120" w:type="dxa"/>
            <w:vAlign w:val="bottom"/>
            <w:shd w:val="clear" w:color="auto" w:fill="CCEEFF"/>
          </w:tcPr>
          <w:p>
            <w:pPr>
              <w:spacing w:after="0"/>
              <w:rPr>
                <w:sz w:val="16"/>
                <w:szCs w:val="16"/>
                <w:color w:val="auto"/>
              </w:rPr>
            </w:pPr>
          </w:p>
        </w:tc>
      </w:tr>
      <w:tr>
        <w:trPr>
          <w:trHeight w:val="188"/>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tcPr>
          <w:p>
            <w:pPr>
              <w:spacing w:after="0"/>
              <w:rPr>
                <w:sz w:val="16"/>
                <w:szCs w:val="16"/>
                <w:color w:val="auto"/>
              </w:rPr>
            </w:pPr>
          </w:p>
        </w:tc>
      </w:tr>
      <w:tr>
        <w:trPr>
          <w:trHeight w:val="18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120" w:type="dxa"/>
            <w:vAlign w:val="bottom"/>
            <w:shd w:val="clear" w:color="auto" w:fill="CCEEFF"/>
          </w:tcPr>
          <w:p>
            <w:pPr>
              <w:spacing w:after="0"/>
              <w:rPr>
                <w:sz w:val="16"/>
                <w:szCs w:val="16"/>
                <w:color w:val="auto"/>
              </w:rPr>
            </w:pPr>
          </w:p>
        </w:tc>
      </w:tr>
      <w:tr>
        <w:trPr>
          <w:trHeight w:val="432"/>
        </w:trPr>
        <w:tc>
          <w:tcPr>
            <w:tcW w:w="9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4. Cash, Cash Equivalents and Restricted Cash</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990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1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7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55,473</w:t>
            </w:r>
          </w:p>
        </w:tc>
        <w:tc>
          <w:tcPr>
            <w:tcW w:w="120" w:type="dxa"/>
            <w:vAlign w:val="bottom"/>
            <w:shd w:val="clear" w:color="auto" w:fill="CCEEFF"/>
          </w:tcPr>
          <w:p>
            <w:pPr>
              <w:spacing w:after="0"/>
              <w:rPr>
                <w:sz w:val="16"/>
                <w:szCs w:val="16"/>
                <w:color w:val="auto"/>
              </w:rPr>
            </w:pPr>
          </w:p>
        </w:tc>
      </w:tr>
      <w:tr>
        <w:trPr>
          <w:trHeight w:val="188"/>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r>
      <w:tr>
        <w:trPr>
          <w:trHeight w:val="188"/>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as shown on the condensed consolidated statements of cash flows</w:t>
            </w: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88,213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55,650</w:t>
            </w:r>
          </w:p>
        </w:tc>
      </w:tr>
      <w:tr>
        <w:trPr>
          <w:trHeight w:val="432"/>
        </w:trPr>
        <w:tc>
          <w:tcPr>
            <w:tcW w:w="7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5. Property and Equipment, Net</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7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Property and equipment, net consisted of the following (in thousands):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240" w:type="dxa"/>
            <w:vAlign w:val="bottom"/>
            <w:gridSpan w:val="4"/>
          </w:tcPr>
          <w:p>
            <w:pPr>
              <w:ind w:left="1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6"/>
                <w:szCs w:val="16"/>
                <w:color w:val="auto"/>
              </w:rPr>
            </w:pPr>
          </w:p>
        </w:tc>
      </w:tr>
      <w:tr>
        <w:trPr>
          <w:trHeight w:val="188"/>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r>
      <w:tr>
        <w:trPr>
          <w:trHeight w:val="188"/>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w:t>
            </w: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1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r>
      <w:tr>
        <w:trPr>
          <w:trHeight w:val="432"/>
        </w:trPr>
        <w:tc>
          <w:tcPr>
            <w:tcW w:w="67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6. Accrued Expenses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67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Accrued expenses consisted of the following (in thousands):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4540" w:type="dxa"/>
            <w:vAlign w:val="bottom"/>
            <w:gridSpan w:val="4"/>
          </w:tcPr>
          <w:p>
            <w:pPr>
              <w:ind w:left="3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5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employee-related expenses</w:t>
            </w:r>
          </w:p>
        </w:tc>
        <w:tc>
          <w:tcPr>
            <w:tcW w:w="3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shd w:val="clear" w:color="auto" w:fill="CCEEFF"/>
          </w:tcPr>
          <w:p>
            <w:pPr>
              <w:spacing w:after="0"/>
              <w:rPr>
                <w:sz w:val="16"/>
                <w:szCs w:val="16"/>
                <w:color w:val="auto"/>
              </w:rPr>
            </w:pP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Accrued research and development</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1,620</w:t>
            </w:r>
          </w:p>
        </w:tc>
      </w:tr>
      <w:tr>
        <w:trPr>
          <w:trHeight w:val="18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3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601</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364</w:t>
            </w: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r>
      <w:tr>
        <w:trPr>
          <w:trHeight w:val="18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expenses</w:t>
            </w:r>
          </w:p>
        </w:tc>
        <w:tc>
          <w:tcPr>
            <w:tcW w:w="3420" w:type="dxa"/>
            <w:vAlign w:val="bottom"/>
            <w:gridSpan w:val="2"/>
            <w:shd w:val="clear" w:color="auto" w:fill="CCEEFF"/>
          </w:tcPr>
          <w:p>
            <w:pPr>
              <w:ind w:left="3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Development and License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 and Master Service Agreement with Aurigene Discoveries Technology Limited (“Aurigene”)</w:t>
      </w:r>
    </w:p>
    <w:p>
      <w:pPr>
        <w:spacing w:after="0" w:line="210" w:lineRule="exact"/>
        <w:rPr>
          <w:sz w:val="20"/>
          <w:szCs w:val="20"/>
          <w:color w:val="auto"/>
        </w:rPr>
      </w:pPr>
    </w:p>
    <w:p>
      <w:pPr>
        <w:jc w:val="both"/>
        <w:ind w:right="20" w:firstLine="313"/>
        <w:spacing w:after="0" w:line="241" w:lineRule="auto"/>
        <w:rPr>
          <w:sz w:val="20"/>
          <w:szCs w:val="20"/>
          <w:color w:val="auto"/>
        </w:rPr>
      </w:pPr>
      <w:r>
        <w:rPr>
          <w:rFonts w:ascii="Times New Roman" w:cs="Times New Roman" w:eastAsia="Times New Roman" w:hAnsi="Times New Roman"/>
          <w:sz w:val="19"/>
          <w:szCs w:val="19"/>
          <w:color w:val="auto"/>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provides for Aurigene to provide future development services to the Company on a full-time equivalent cost basis and consumable costs incurred basis.</w:t>
      </w:r>
    </w:p>
    <w:p>
      <w:pPr>
        <w:spacing w:after="0" w:line="179" w:lineRule="exact"/>
        <w:rPr>
          <w:sz w:val="20"/>
          <w:szCs w:val="20"/>
          <w:color w:val="auto"/>
        </w:rPr>
      </w:pPr>
    </w:p>
    <w:p>
      <w:pPr>
        <w:jc w:val="both"/>
        <w:ind w:right="20" w:firstLine="313"/>
        <w:spacing w:after="0" w:line="238" w:lineRule="auto"/>
        <w:rPr>
          <w:sz w:val="20"/>
          <w:szCs w:val="20"/>
          <w:color w:val="auto"/>
        </w:rPr>
      </w:pPr>
      <w:r>
        <w:rPr>
          <w:rFonts w:ascii="Times New Roman" w:cs="Times New Roman" w:eastAsia="Times New Roman" w:hAnsi="Times New Roman"/>
          <w:sz w:val="19"/>
          <w:szCs w:val="19"/>
          <w:color w:val="auto"/>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01" w:name="page402"/>
    <w:bookmarkEnd w:id="401"/>
    <w:p>
      <w:pPr>
        <w:jc w:val="both"/>
        <w:ind w:firstLine="313"/>
        <w:spacing w:after="0" w:line="259" w:lineRule="auto"/>
        <w:rPr>
          <w:sz w:val="20"/>
          <w:szCs w:val="20"/>
          <w:color w:val="auto"/>
        </w:rPr>
      </w:pPr>
      <w:r>
        <w:rPr>
          <w:rFonts w:ascii="Times New Roman" w:cs="Times New Roman" w:eastAsia="Times New Roman" w:hAnsi="Times New Roman"/>
          <w:sz w:val="19"/>
          <w:szCs w:val="19"/>
          <w:color w:val="auto"/>
        </w:rPr>
        <w:t>During the nine months ended September 30, 2021 and 2022, the Company recorded research and development expense of $1.4 million and $0.6 million, respectively, related to its arrangements with Aurigene.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and Stock Purchase Agreement with AbbVie Deutschland GmbH &amp; Co. KG (“AbbVie”)</w:t>
      </w:r>
    </w:p>
    <w:p>
      <w:pPr>
        <w:spacing w:after="0" w:line="210"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In September 2019, the Company entered into an agreement with AbbVie, pursuant to which AbbVie granted the Company an exclusive license, with the right to grant sublicenses, to certain AbbVie intellectual property.</w:t>
      </w:r>
    </w:p>
    <w:p>
      <w:pPr>
        <w:spacing w:after="0" w:line="162"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September 30, 2022, none of the milestones had been achieved.</w:t>
      </w:r>
    </w:p>
    <w:p>
      <w:pPr>
        <w:spacing w:after="0" w:line="180"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80"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As part of the arrangement, the Company entered into a stock purchase agreement with AbbVie, pursuant to which the Company agreed to issue 4,336,841 shares of the Company’s common stock to AbbVie. All of the shares vested and all related expense was recognized prior to December 31,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 with Roche</w:t>
      </w:r>
    </w:p>
    <w:p>
      <w:pPr>
        <w:spacing w:after="0" w:line="210"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In connection with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176" w:lineRule="exact"/>
        <w:rPr>
          <w:sz w:val="20"/>
          <w:szCs w:val="20"/>
          <w:color w:val="auto"/>
        </w:rPr>
      </w:pPr>
    </w:p>
    <w:p>
      <w:pPr>
        <w:jc w:val="both"/>
        <w:ind w:right="20" w:firstLine="313"/>
        <w:spacing w:after="0" w:line="245" w:lineRule="auto"/>
        <w:rPr>
          <w:sz w:val="20"/>
          <w:szCs w:val="20"/>
          <w:color w:val="auto"/>
        </w:rPr>
      </w:pPr>
      <w:r>
        <w:rPr>
          <w:rFonts w:ascii="Times New Roman" w:cs="Times New Roman" w:eastAsia="Times New Roman" w:hAnsi="Times New Roman"/>
          <w:sz w:val="19"/>
          <w:szCs w:val="19"/>
          <w:color w:val="auto"/>
        </w:rPr>
        <w:t>The Company is obligated to make contingent payments to Roche totaling up to $205.0 million upon achievement of certain development, regulatory and commercial milestones. Roche is also eligible to receive tiered royalties on net sales of commercialized products, at rates ranging from high single-digits to high teens.</w:t>
      </w:r>
    </w:p>
    <w:p>
      <w:pPr>
        <w:spacing w:after="0" w:line="176" w:lineRule="exact"/>
        <w:rPr>
          <w:sz w:val="20"/>
          <w:szCs w:val="20"/>
          <w:color w:val="auto"/>
        </w:rPr>
      </w:pPr>
    </w:p>
    <w:p>
      <w:pPr>
        <w:jc w:val="both"/>
        <w:ind w:firstLine="313"/>
        <w:spacing w:after="0" w:line="252" w:lineRule="auto"/>
        <w:rPr>
          <w:sz w:val="20"/>
          <w:szCs w:val="20"/>
          <w:color w:val="auto"/>
        </w:rPr>
      </w:pPr>
      <w:r>
        <w:rPr>
          <w:rFonts w:ascii="Times New Roman" w:cs="Times New Roman" w:eastAsia="Times New Roman" w:hAnsi="Times New Roman"/>
          <w:sz w:val="18"/>
          <w:szCs w:val="18"/>
          <w:color w:val="auto"/>
        </w:rPr>
        <w:t>In addition, the Company is obligated to issue shares of the Company to Roche in connection with the completion of a Roche Qualified Transaction as defined by the Roche Agreement. The number of shares of common stock to be issued to Roche is estimated to be approximately 2.85% of the outstanding shares of common stock of the Company as of immediately after the completion of a Roche Qualified Transaction, including the exercise by the underwriters thereof of any overallotment option. The Company has determined that the obligation to issue common stock upon completion of a Roche Qualified Transaction represents a liability classified financial instrument. The resulting liability is initially recorded at fair value in research and development expense, with gains and losses arising from changes in fair value recognized in other income (expense), net in the condensed consolidated statement of operations and comprehensive loss during each period while the instrument is outstanding.</w:t>
      </w:r>
    </w:p>
    <w:p>
      <w:pPr>
        <w:spacing w:after="0" w:line="169"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In the event that certain partnership or change of control arrangements occur prior to a Roche Qualified Transaction, the Company will pay Roche an upfront royalty based on a percentage of the net proceeds from the arrangement attributable to the Compounds ranging from low to mid-teens.</w:t>
      </w:r>
    </w:p>
    <w:p>
      <w:pPr>
        <w:spacing w:after="0" w:line="176"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During the nine months ended September 30, 2021, the Company recorded research and development expense of $5.9 million related to the Roche Agreement, comprised of the upfront payment of $4.5 million and the initial fair value of the derivative liability of $1.4 million. During the nine months ended September 30, 2021 and 2022, the Company recorded expense of $3.6 million and $3.5 million, respectively, within other income (expense), net, related to the change in fair value of the derivative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Convertible Preferred Stock</w:t>
      </w:r>
    </w:p>
    <w:p>
      <w:pPr>
        <w:spacing w:after="0" w:line="208"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Preferred Stock authorized, issued and outstanding as of December 31, 2021 and September 30, 2022 consisted of the following (in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COMMON</w:t>
            </w:r>
          </w:p>
        </w:tc>
      </w:tr>
      <w:tr>
        <w:trPr>
          <w:trHeight w:val="188"/>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STOCK</w:t>
            </w:r>
          </w:p>
        </w:tc>
      </w:tr>
      <w:tr>
        <w:trPr>
          <w:trHeight w:val="188"/>
        </w:trPr>
        <w:tc>
          <w:tcPr>
            <w:tcW w:w="46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PREFERRED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STOCK ISSUED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ISSUABLE</w:t>
            </w:r>
          </w:p>
        </w:tc>
      </w:tr>
      <w:tr>
        <w:trPr>
          <w:trHeight w:val="188"/>
        </w:trPr>
        <w:tc>
          <w:tcPr>
            <w:tcW w:w="46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STOCK</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AND</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CARRYING</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UPON</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AUTHORIZED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2"/>
              </w:rPr>
              <w:t>VALUE</w:t>
            </w: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CONVERSION</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Series 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41,666,666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41,666,666</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49,762</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41,666,666</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37,499,999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37,499,999</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89,744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37,499,999</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84,166,665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84,166,665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141,856</w:t>
            </w: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84,166,665</w:t>
            </w:r>
          </w:p>
        </w:tc>
      </w:tr>
    </w:tbl>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 Preferred Stock have the following rights and preferences:</w:t>
      </w:r>
    </w:p>
    <w:p>
      <w:pPr>
        <w:sectPr>
          <w:pgSz w:w="11900" w:h="16838" w:orient="portrait"/>
          <w:cols w:equalWidth="0" w:num="1">
            <w:col w:w="11260"/>
          </w:cols>
          <w:pgMar w:left="320" w:top="115" w:right="319" w:bottom="1440" w:gutter="0" w:footer="0" w:header="0"/>
        </w:sect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402" w:name="page403"/>
    <w:bookmarkEnd w:id="402"/>
    <w:p>
      <w:pPr>
        <w:spacing w:after="0"/>
        <w:rPr>
          <w:sz w:val="20"/>
          <w:szCs w:val="20"/>
          <w:color w:val="auto"/>
        </w:rPr>
      </w:pPr>
      <w:r>
        <w:rPr>
          <w:rFonts w:ascii="Times New Roman" w:cs="Times New Roman" w:eastAsia="Times New Roman" w:hAnsi="Times New Roman"/>
          <w:sz w:val="19"/>
          <w:szCs w:val="19"/>
          <w:i w:val="1"/>
          <w:iCs w:val="1"/>
          <w:color w:val="auto"/>
        </w:rPr>
        <w:t>Dividends</w:t>
      </w:r>
    </w:p>
    <w:p>
      <w:pPr>
        <w:spacing w:after="0" w:line="208"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9"/>
          <w:szCs w:val="19"/>
          <w:color w:val="auto"/>
        </w:rPr>
        <w:t>The holders of the Preferred Stock are entitled to receive noncumulative dividends when and if declared by the Board at the rate per annum of eight percent (8%) of the applicable Original Issue Price, which is $1.00 per share for the Series Seed Preferred Stock, $1.20 per share for the Series A Preferred Stock, and $2.40 per share for the Series B Preferred Stock. Preferred Stock dividends will be paid in preference and in priority to any dividends on common stock. If the Company declares, pays or sets aside, on the same date, a dividend on shares of more than one class or series of capital stock of the Company, the dividend payable to the holders of the Preferred Stock will be based on the number of common shares the Preferred Stock would convert into. There have been no dividends declared by the Board through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Liquidation Preference</w:t>
      </w:r>
    </w:p>
    <w:p>
      <w:pPr>
        <w:spacing w:after="0" w:line="208" w:lineRule="exact"/>
        <w:rPr>
          <w:sz w:val="20"/>
          <w:szCs w:val="20"/>
          <w:color w:val="auto"/>
        </w:rPr>
      </w:pPr>
    </w:p>
    <w:p>
      <w:pPr>
        <w:jc w:val="both"/>
        <w:ind w:firstLine="313"/>
        <w:spacing w:after="0" w:line="237" w:lineRule="auto"/>
        <w:rPr>
          <w:sz w:val="20"/>
          <w:szCs w:val="20"/>
          <w:color w:val="auto"/>
        </w:rPr>
      </w:pPr>
      <w:r>
        <w:rPr>
          <w:rFonts w:ascii="Times New Roman" w:cs="Times New Roman" w:eastAsia="Times New Roman" w:hAnsi="Times New Roman"/>
          <w:sz w:val="19"/>
          <w:szCs w:val="19"/>
          <w:color w:val="auto"/>
        </w:rPr>
        <w:t>In the event of any liquidation, dissolution, or winding up of the Company (“Liquidation Event”), the holders of Series A and Series B Preferred Stock are entitled to receive prior and in preference to the holders of common stock and Series Seed Preferred Stock, an amount equal to an amount per share of Series A and Series B Preferred Stock equal to the Original Issue Price plus all declared and unpaid dividends on the Series A and Series B Preferred Stock. If the assets and funds available to be distributed to all holders of Series A and Series B Preferred Stock are insufficient to permit the payment, in full, of any of the liquidation preferences, then the entire assets and funds legally available for distribution to the Series A and Series B Preferred Stock shall be distributed ratably among the holders of Series A and Series B Preferred Stock at the time outstanding, ratably in proportion to the full amounts to which they would otherwise be respectively entitled.</w:t>
      </w:r>
    </w:p>
    <w:p>
      <w:pPr>
        <w:spacing w:after="0" w:line="181" w:lineRule="exact"/>
        <w:rPr>
          <w:sz w:val="20"/>
          <w:szCs w:val="20"/>
          <w:color w:val="auto"/>
        </w:rPr>
      </w:pPr>
    </w:p>
    <w:p>
      <w:pPr>
        <w:jc w:val="both"/>
        <w:ind w:firstLine="313"/>
        <w:spacing w:after="0" w:line="237" w:lineRule="auto"/>
        <w:rPr>
          <w:sz w:val="20"/>
          <w:szCs w:val="20"/>
          <w:color w:val="auto"/>
        </w:rPr>
      </w:pPr>
      <w:r>
        <w:rPr>
          <w:rFonts w:ascii="Times New Roman" w:cs="Times New Roman" w:eastAsia="Times New Roman" w:hAnsi="Times New Roman"/>
          <w:sz w:val="19"/>
          <w:szCs w:val="19"/>
          <w:color w:val="auto"/>
        </w:rPr>
        <w:t>After the payment of the full liquidation preference of the Series A and Series B Preferred Stock as set forth above, the holders of shares of Series Seed Preferred Stock are entitled to receive an amount per share of Series Seed Preferred Stock equal to the Original Issue Price plus all declared and unpaid dividends on the Series Seed Preferred Stock. If the assets and funds available to be distributed to all holders of Series Seed Preferred Stock are insufficient to permit the payment, in full, of any of the liquidation preferences, then the entire assets and funds legally available for distribution to the Series Seed Preferred Stock shall be distributed ratably among the holders of Series Seed Preferred Stock at the time outstanding, ratably in proportion to the full amounts to which they would otherwise be respectively entitled or when the remaining capital is distributed.</w:t>
      </w:r>
    </w:p>
    <w:p>
      <w:pPr>
        <w:spacing w:after="0" w:line="181"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After the payment of all preferential amounts related to the holders of Preferred Stock, the remaining assets of the Company will be distributed pro rata to the holders of the Preferred Stock and common stock as if the Preferred Stock had converted at the time of the Liquidation Event. Preferential amounts to the holders of Preferred Stock are capped at 2.5 times the applicable Original Issue Price per share plus any dividends declared but unpaid or the amount such holder would have received if all shares had been converted to common stock immediately prior to the Liquidation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Conversion</w:t>
      </w:r>
    </w:p>
    <w:p>
      <w:pPr>
        <w:spacing w:after="0" w:line="208" w:lineRule="exact"/>
        <w:rPr>
          <w:sz w:val="20"/>
          <w:szCs w:val="20"/>
          <w:color w:val="auto"/>
        </w:rPr>
      </w:pPr>
    </w:p>
    <w:p>
      <w:pPr>
        <w:jc w:val="both"/>
        <w:ind w:firstLine="313"/>
        <w:spacing w:after="0" w:line="255" w:lineRule="auto"/>
        <w:rPr>
          <w:sz w:val="20"/>
          <w:szCs w:val="20"/>
          <w:color w:val="auto"/>
        </w:rPr>
      </w:pPr>
      <w:r>
        <w:rPr>
          <w:rFonts w:ascii="Times New Roman" w:cs="Times New Roman" w:eastAsia="Times New Roman" w:hAnsi="Times New Roman"/>
          <w:sz w:val="18"/>
          <w:szCs w:val="18"/>
          <w:color w:val="auto"/>
        </w:rPr>
        <w:t>As of September 30, 2022, the shares of Preferred Stock are convertible into equal shares of common stock (a) at any time upon the written consent of the holders of a majority of the outstanding shares of the Preferred Stock and at least one holder of Series B Preferred Stock that owns at least 4,166,666 shares of Series B Preferred Stock and that did not purchase any shares of Series A Preferred Stock as part of the Series A Agreement or (b) immediately upon the closing of a Qualified Public Offering. As of September 30, 2022, the conversion ratio for the shares of Preferred Stock is 1:1, subject to appropriate adjustment in the event of any stock dividend, stock split, combination or other similar recapitalization.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Voting Rights</w:t>
      </w:r>
    </w:p>
    <w:p>
      <w:pPr>
        <w:spacing w:after="0" w:line="208"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The Preferred Stock vote together with the common stock on an as-converted basis, and not as a separate class, except for matters as defined by the Certificate of Incorporation which require the written consent or affirmative votes of the holders of a majority of the outstanding shares of the Preferred Stock and at least one holder of Series B Preferred Stock that owns at least 4,166,666 shares of Series B Preferred Stock and that did not purchase any shares of Series A Preferred Stock as part of the Series A Agreement. For any transactions that affect the priority of the Series A or Series B Preferred Stock, a majority of Series A or Series B Preferred Stock is required,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Redemption</w:t>
      </w:r>
    </w:p>
    <w:p>
      <w:pPr>
        <w:spacing w:after="0" w:line="208"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Preferred Stock is not redeemable at the option of the holders thereof. However, the Preferred Stock is redeemable upon the occurrence of certain contingent events, unless otherwise determined by the holders.</w:t>
      </w:r>
    </w:p>
    <w:p>
      <w:pPr>
        <w:spacing w:after="0" w:line="162" w:lineRule="exact"/>
        <w:rPr>
          <w:sz w:val="20"/>
          <w:szCs w:val="20"/>
          <w:color w:val="auto"/>
        </w:rPr>
      </w:pPr>
    </w:p>
    <w:p>
      <w:pPr>
        <w:jc w:val="both"/>
        <w:ind w:right="20" w:firstLine="313"/>
        <w:spacing w:after="0" w:line="241" w:lineRule="auto"/>
        <w:rPr>
          <w:sz w:val="20"/>
          <w:szCs w:val="20"/>
          <w:color w:val="auto"/>
        </w:rPr>
      </w:pPr>
      <w:r>
        <w:rPr>
          <w:rFonts w:ascii="Times New Roman" w:cs="Times New Roman" w:eastAsia="Times New Roman" w:hAnsi="Times New Roman"/>
          <w:sz w:val="19"/>
          <w:szCs w:val="19"/>
          <w:color w:val="auto"/>
        </w:rPr>
        <w:t>As it relates to the redemption upon the occurrence of a contingent event, the Company evaluated the Preferred Stock in accordance with the guidance in ASC 480 and determined that the redemption upon the occurrence of a contingent event is not solely within the Company’s control and accordingly classified the Preferred Stock in temporary equity. The Preferred Stock is not currently redeemable, nor is it currently probable that the instruments will become redeemable, and therefore the instruments are not being accreted to redemption value.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9"/>
          <w:szCs w:val="19"/>
          <w:b w:val="1"/>
          <w:bCs w:val="1"/>
          <w:color w:val="auto"/>
        </w:rPr>
        <w:t>9. Common Stock</w:t>
      </w:r>
    </w:p>
    <w:p>
      <w:pPr>
        <w:spacing w:after="0" w:line="209"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As of September 30, 2022, the authorized capital stock of the Company included 109,395,840 shares of common stock, $0.0001 par value per share. The voting, dividend and liquidation rights of the holders of the Company’s common stock are subject to and qualified by the rights, powers and preferences of the holders of the Preferred Stock set forth above. Each share of common stock entitles the holder to one vote, together with the holders of the Preferred Stock, on all matters submitted to the stockholders for a vote.</w:t>
      </w:r>
    </w:p>
    <w:p>
      <w:pPr>
        <w:spacing w:after="0" w:line="179"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Company has reserved the following shares of common stock for potential conversion of outstanding Preferred Stock and exercise of stock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4440" w:type="dxa"/>
            <w:vAlign w:val="bottom"/>
            <w:gridSpan w:val="3"/>
          </w:tcPr>
          <w:p>
            <w:pPr>
              <w:ind w:left="30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r>
      <w:tr>
        <w:trPr>
          <w:trHeight w:val="210"/>
        </w:trPr>
        <w:tc>
          <w:tcPr>
            <w:tcW w:w="5520" w:type="dxa"/>
            <w:vAlign w:val="bottom"/>
          </w:tcPr>
          <w:p>
            <w:pPr>
              <w:spacing w:after="0"/>
              <w:rPr>
                <w:sz w:val="18"/>
                <w:szCs w:val="18"/>
                <w:color w:val="auto"/>
              </w:rPr>
            </w:pPr>
          </w:p>
        </w:tc>
        <w:tc>
          <w:tcPr>
            <w:tcW w:w="422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118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8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convertible preferred stock</w:t>
            </w:r>
          </w:p>
        </w:tc>
        <w:tc>
          <w:tcPr>
            <w:tcW w:w="308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4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41,666,666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41,666,666</w:t>
            </w:r>
          </w:p>
        </w:tc>
      </w:tr>
      <w:tr>
        <w:trPr>
          <w:trHeight w:val="18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4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37,499,999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37,499,999</w:t>
            </w:r>
          </w:p>
        </w:tc>
      </w:tr>
      <w:tr>
        <w:trPr>
          <w:trHeight w:val="18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4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13,289,901</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14,661,655</w:t>
            </w:r>
          </w:p>
        </w:tc>
      </w:tr>
      <w:tr>
        <w:trPr>
          <w:trHeight w:val="18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97,456,566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98,828,320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2017 Stock Option and Grant Plan</w:t>
      </w:r>
    </w:p>
    <w:p>
      <w:pPr>
        <w:spacing w:after="0" w:line="210"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number of shares of common stock reserved for issuance increased by 1,287,009 in the third quarter of 2022 to 17,503,334 as of September 30, 2022. Awards available for grant were 2,261,827 and 1,597,161 at December 31, 2021 and September 30, 2022,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 following table summarizes stock option activity for the nine months ended September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AGGREGATE</w:t>
            </w:r>
          </w:p>
        </w:tc>
      </w:tr>
      <w:tr>
        <w:trPr>
          <w:trHeight w:val="188"/>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INTRINSIC</w:t>
            </w:r>
          </w:p>
        </w:tc>
      </w:tr>
      <w:tr>
        <w:trPr>
          <w:trHeight w:val="188"/>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CONTRACTUAL</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VALUE</w:t>
            </w:r>
          </w:p>
        </w:tc>
      </w:tr>
      <w:tr>
        <w:trPr>
          <w:trHeight w:val="188"/>
        </w:trPr>
        <w:tc>
          <w:tcPr>
            <w:tcW w:w="59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EXERCISE</w:t>
            </w: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TERM</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(IN</w:t>
            </w:r>
          </w:p>
        </w:tc>
      </w:tr>
      <w:tr>
        <w:trPr>
          <w:trHeight w:val="210"/>
        </w:trPr>
        <w:tc>
          <w:tcPr>
            <w:tcW w:w="59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THOUSANDS)</w:t>
            </w:r>
          </w:p>
        </w:tc>
      </w:tr>
      <w:tr>
        <w:trPr>
          <w:trHeight w:val="18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13,289,901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5"/>
              </w:rPr>
              <w:t>0.60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13,027</w:t>
            </w:r>
          </w:p>
        </w:tc>
        <w:tc>
          <w:tcPr>
            <w:tcW w:w="120" w:type="dxa"/>
            <w:vAlign w:val="bottom"/>
            <w:shd w:val="clear" w:color="auto" w:fill="CCEEFF"/>
          </w:tcPr>
          <w:p>
            <w:pPr>
              <w:spacing w:after="0"/>
              <w:rPr>
                <w:sz w:val="16"/>
                <w:szCs w:val="16"/>
                <w:color w:val="auto"/>
              </w:rPr>
            </w:pPr>
          </w:p>
        </w:tc>
      </w:tr>
      <w:tr>
        <w:trPr>
          <w:trHeight w:val="188"/>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2,209,349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(444,921)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(392,674)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14,661,655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0.73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21,424</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September 30, 2022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5,282,179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0.38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9,552</w:t>
            </w:r>
          </w:p>
        </w:tc>
      </w:tr>
    </w:tbl>
    <w:p>
      <w:pPr>
        <w:spacing w:after="0" w:line="173"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nine months ended September 30, 2022 was $0.6 million.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 weighted-average assumptions used to estimate the fair value of stock options granted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21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0"/>
        </w:trPr>
        <w:tc>
          <w:tcPr>
            <w:tcW w:w="8640" w:type="dxa"/>
            <w:vAlign w:val="bottom"/>
          </w:tcPr>
          <w:p>
            <w:pPr>
              <w:spacing w:after="0"/>
              <w:rPr>
                <w:sz w:val="18"/>
                <w:szCs w:val="18"/>
                <w:color w:val="auto"/>
              </w:rPr>
            </w:pPr>
          </w:p>
        </w:tc>
        <w:tc>
          <w:tcPr>
            <w:tcW w:w="21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1"/>
        </w:trPr>
        <w:tc>
          <w:tcPr>
            <w:tcW w:w="8640" w:type="dxa"/>
            <w:vAlign w:val="bottom"/>
          </w:tcPr>
          <w:p>
            <w:pPr>
              <w:spacing w:after="0"/>
              <w:rPr>
                <w:sz w:val="16"/>
                <w:szCs w:val="16"/>
                <w:color w:val="auto"/>
              </w:rPr>
            </w:pPr>
          </w:p>
        </w:tc>
        <w:tc>
          <w:tcPr>
            <w:tcW w:w="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0.91%</w:t>
            </w:r>
          </w:p>
        </w:tc>
        <w:tc>
          <w:tcPr>
            <w:tcW w:w="7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78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6.00</w:t>
            </w:r>
          </w:p>
        </w:tc>
        <w:tc>
          <w:tcPr>
            <w:tcW w:w="7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6.00</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7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7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per share of common stock</w:t>
            </w:r>
          </w:p>
        </w:tc>
        <w:tc>
          <w:tcPr>
            <w:tcW w:w="78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0.95</w:t>
            </w:r>
          </w:p>
        </w:tc>
        <w:tc>
          <w:tcPr>
            <w:tcW w:w="78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1.47</w:t>
            </w:r>
          </w:p>
        </w:tc>
      </w:tr>
    </w:tbl>
    <w:p>
      <w:pPr>
        <w:spacing w:after="0" w:line="188"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9"/>
          <w:szCs w:val="19"/>
          <w:color w:val="auto"/>
        </w:rPr>
        <w:t>The weighted-average grant date fair value of options granted in the nine months ended September 30, 2021 and 2022 was $0.55 and $0.79 per share, respectively.</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 total fair value of options vested during the nine months ended September 30, 2022 was $0.8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0100" cy="146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9"/>
          <w:szCs w:val="19"/>
          <w:b w:val="1"/>
          <w:bCs w:val="1"/>
          <w:i w:val="1"/>
          <w:iCs w:val="1"/>
          <w:color w:val="auto"/>
        </w:rPr>
        <w:t>Shares of Restricted Common Stock</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A summary of restricted common stock activity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5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0"/>
        </w:trPr>
        <w:tc>
          <w:tcPr>
            <w:tcW w:w="8680" w:type="dxa"/>
            <w:vAlign w:val="bottom"/>
          </w:tcPr>
          <w:p>
            <w:pPr>
              <w:spacing w:after="0"/>
              <w:rPr>
                <w:sz w:val="18"/>
                <w:szCs w:val="18"/>
                <w:color w:val="auto"/>
              </w:rPr>
            </w:pPr>
          </w:p>
        </w:tc>
        <w:tc>
          <w:tcPr>
            <w:tcW w:w="258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1"/>
        </w:trPr>
        <w:tc>
          <w:tcPr>
            <w:tcW w:w="86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the beginning of the period</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2"/>
              </w:rPr>
              <w:t>227,581</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92,774</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(107,885)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(62,511)</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the end of the period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119,696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30,263</w:t>
            </w:r>
          </w:p>
        </w:tc>
      </w:tr>
    </w:tbl>
    <w:p>
      <w:pPr>
        <w:spacing w:after="0" w:line="188"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As of September 30, 2022, the unrecognized stock-based compensation expense related to restricted common stock is expected to be recognized over a weighted-average period of 0.44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210"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Total stock-based compensation expense recorded as research and development and general and administrative expenses, respectively, for employees, directors and non-employees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868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83"/>
              </w:rPr>
              <w:t>102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tcPr>
          <w:p>
            <w:pPr>
              <w:spacing w:after="0"/>
              <w:rPr>
                <w:sz w:val="16"/>
                <w:szCs w:val="16"/>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135</w:t>
            </w:r>
          </w:p>
        </w:tc>
        <w:tc>
          <w:tcPr>
            <w:tcW w:w="74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80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237</w:t>
            </w:r>
          </w:p>
        </w:tc>
        <w:tc>
          <w:tcPr>
            <w:tcW w:w="7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4"/>
              </w:rPr>
              <w:t>1,096</w:t>
            </w:r>
          </w:p>
        </w:tc>
      </w:tr>
    </w:tbl>
    <w:p>
      <w:pPr>
        <w:spacing w:after="0" w:line="188"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9"/>
          <w:szCs w:val="19"/>
          <w:color w:val="auto"/>
        </w:rPr>
        <w:t>As of September 30, 2022, the total unrecognized stock-based compensation expense related to outstanding options was $4.2 million and is expected to be recognized over a weighted-average period of 2.64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Income Taxes</w:t>
      </w:r>
    </w:p>
    <w:p>
      <w:pPr>
        <w:spacing w:after="0" w:line="208"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Company did not record a provision or benefit for income taxes during the nine months ended September 30, 2021 and 2022. The Company continues to maintain a full valuation allowance against all of its deferred tax assets.</w:t>
      </w:r>
    </w:p>
    <w:p>
      <w:pPr>
        <w:spacing w:after="0" w:line="163"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Net Loss Per Share</w:t>
      </w:r>
    </w:p>
    <w:p>
      <w:pPr>
        <w:spacing w:after="0" w:line="208" w:lineRule="exact"/>
        <w:rPr>
          <w:sz w:val="20"/>
          <w:szCs w:val="20"/>
          <w:color w:val="auto"/>
        </w:rPr>
      </w:pPr>
    </w:p>
    <w:p>
      <w:pPr>
        <w:jc w:val="both"/>
        <w:ind w:right="20" w:firstLine="313"/>
        <w:spacing w:after="0" w:line="259" w:lineRule="auto"/>
        <w:rPr>
          <w:sz w:val="20"/>
          <w:szCs w:val="20"/>
          <w:color w:val="auto"/>
        </w:rPr>
      </w:pPr>
      <w:r>
        <w:rPr>
          <w:rFonts w:ascii="Times New Roman" w:cs="Times New Roman" w:eastAsia="Times New Roman" w:hAnsi="Times New Roman"/>
          <w:sz w:val="19"/>
          <w:szCs w:val="19"/>
          <w:color w:val="auto"/>
        </w:rPr>
        <w:t>The Company excluded the following from the computation of diluted net loss per share attributable to common stockholders because including them would have had an anti-dilutive effect: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58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1"/>
        </w:trPr>
        <w:tc>
          <w:tcPr>
            <w:tcW w:w="86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convertible preferred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41,666,666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41,666,666</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37,499,999</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37,499,999</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common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119,696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30,263</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12,899,387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14,661,655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210" w:lineRule="exact"/>
        <w:rPr>
          <w:sz w:val="20"/>
          <w:szCs w:val="20"/>
          <w:color w:val="auto"/>
        </w:rPr>
      </w:pPr>
    </w:p>
    <w:p>
      <w:pPr>
        <w:jc w:val="both"/>
        <w:ind w:firstLine="313"/>
        <w:spacing w:after="0" w:line="237" w:lineRule="auto"/>
        <w:rPr>
          <w:sz w:val="20"/>
          <w:szCs w:val="20"/>
          <w:color w:val="auto"/>
        </w:rPr>
      </w:pPr>
      <w:r>
        <w:rPr>
          <w:rFonts w:ascii="Times New Roman" w:cs="Times New Roman" w:eastAsia="Times New Roman" w:hAnsi="Times New Roman"/>
          <w:sz w:val="19"/>
          <w:szCs w:val="19"/>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ectPr>
          <w:pgSz w:w="11900" w:h="16838" w:orient="portrait"/>
          <w:cols w:equalWidth="0" w:num="1">
            <w:col w:w="11260"/>
          </w:cols>
          <w:pgMar w:left="320" w:top="110" w:right="319" w:bottom="1440" w:gutter="0" w:footer="0" w:header="0"/>
        </w:sect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50100" cy="146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type w:val="continuous"/>
        </w:sectPr>
      </w:pPr>
    </w:p>
    <w:bookmarkStart w:id="405" w:name="page406"/>
    <w:bookmarkEnd w:id="405"/>
    <w:p>
      <w:pPr>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209" w:lineRule="exact"/>
        <w:rPr>
          <w:sz w:val="20"/>
          <w:szCs w:val="20"/>
          <w:color w:val="auto"/>
        </w:rPr>
      </w:pPr>
    </w:p>
    <w:p>
      <w:pPr>
        <w:jc w:val="both"/>
        <w:ind w:right="20" w:firstLine="313"/>
        <w:spacing w:after="0" w:line="245" w:lineRule="auto"/>
        <w:rPr>
          <w:sz w:val="20"/>
          <w:szCs w:val="20"/>
          <w:color w:val="auto"/>
        </w:rPr>
      </w:pPr>
      <w:r>
        <w:rPr>
          <w:rFonts w:ascii="Times New Roman" w:cs="Times New Roman" w:eastAsia="Times New Roman" w:hAnsi="Times New Roman"/>
          <w:sz w:val="19"/>
          <w:szCs w:val="19"/>
          <w:color w:val="auto"/>
        </w:rPr>
        <w:t>The Company, from time to time, may be party to litigation arising in the ordinary course of business. The Company was not subject to any material legal proceedings during the nine months ended September 30, 2021 and 2022 and, to the best of its knowledge, no material legal proceedings are currently pending or threatened.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Payments Upon Termination</w:t>
      </w:r>
    </w:p>
    <w:p>
      <w:pPr>
        <w:spacing w:after="0" w:line="210"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9"/>
          <w:szCs w:val="19"/>
          <w:color w:val="auto"/>
        </w:rPr>
        <w:t>The Company has entered into agreements with certain vendors for the provision of services that the Company is not contractually able to terminate for convenience and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Subsequent Events</w:t>
      </w:r>
    </w:p>
    <w:p>
      <w:pPr>
        <w:spacing w:after="0" w:line="208" w:lineRule="exact"/>
        <w:rPr>
          <w:sz w:val="20"/>
          <w:szCs w:val="20"/>
          <w:color w:val="auto"/>
        </w:rPr>
      </w:pPr>
    </w:p>
    <w:p>
      <w:pPr>
        <w:jc w:val="both"/>
        <w:ind w:firstLine="313"/>
        <w:spacing w:after="0" w:line="239" w:lineRule="auto"/>
        <w:rPr>
          <w:sz w:val="20"/>
          <w:szCs w:val="20"/>
          <w:color w:val="auto"/>
        </w:rPr>
      </w:pPr>
      <w:r>
        <w:rPr>
          <w:rFonts w:ascii="Times New Roman" w:cs="Times New Roman" w:eastAsia="Times New Roman" w:hAnsi="Times New Roman"/>
          <w:sz w:val="19"/>
          <w:szCs w:val="19"/>
          <w:color w:val="auto"/>
        </w:rPr>
        <w:t>The Company has completed an evaluation of all subsequent events after the unaudited condensed consolidated balance sheet date of September 30, 2022 through November 23, 2022, the date these condensed consolidated financial statements were issued, to ensure that these condensed consolidated financial statements include appropriate disclosure of events both recognized in the condensed consolidated financial statements as of September 30, 2022, and events which occurred subsequently but were not recognized in the condensed consolidated financial statements. Non-recognizable subsequent events through November 23, 2022 are summarized below.</w:t>
      </w:r>
    </w:p>
    <w:p>
      <w:pPr>
        <w:spacing w:after="0" w:line="180"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9"/>
          <w:szCs w:val="19"/>
          <w:color w:val="auto"/>
        </w:rPr>
        <w:t>In October 2022, the Company entered into an addendum to the License Agreement with Roche to extend the terms of the settlement of the Company’s obligation to issue common stock to Roche in connection with the completion of a Roche Qualified Transaction. The terms were extended until December 31, 2022.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150100" cy="146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06" w:name="page407"/>
    <w:bookmarkEnd w:id="406"/>
    <w:p>
      <w:pPr>
        <w:ind w:left="10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99.7</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b w:val="1"/>
          <w:bCs w:val="1"/>
          <w:color w:val="auto"/>
        </w:rPr>
        <w:t>SELECTED HISTORICAL AND UNAUDITED PRO FORMA CONDENSED COMBINED FINANCIAL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Selected Historical Consolidated Financial Data of Gemini</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following tables summarize Gemini’s consolidated financial data. The consolidated statement of operations data for the years ended December 31, 2020 and 2021 and the consolidated balance sheet data as of December 31, 2020 and 2021 have been derived from the audited consolidated financial statements included in Gemini’s Annual Report on Form 10-K, which is incorporated herein by reference. The consolidated statement of operations data for the nine months ended September 30, 2021 and 2022 and the consolidated balance sheet data as of September 30, 2022 have been derived from the unaudited condensed consolidated financial statements included in Gemini’s Quarterly Report on Form 10-Q, which is incorporated herein by reference. You should read the following selected consolidated financial data together with “</w:t>
      </w:r>
      <w:r>
        <w:rPr>
          <w:rFonts w:ascii="Times New Roman" w:cs="Times New Roman" w:eastAsia="Times New Roman" w:hAnsi="Times New Roman"/>
          <w:sz w:val="19"/>
          <w:szCs w:val="19"/>
          <w:i w:val="1"/>
          <w:iCs w:val="1"/>
          <w:color w:val="auto"/>
        </w:rPr>
        <w:t>Management’s Discussion and Analysis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Financial Condition and Results of Operations</w:t>
      </w:r>
      <w:r>
        <w:rPr>
          <w:rFonts w:ascii="Times New Roman" w:cs="Times New Roman" w:eastAsia="Times New Roman" w:hAnsi="Times New Roman"/>
          <w:sz w:val="19"/>
          <w:szCs w:val="19"/>
          <w:color w:val="auto"/>
        </w:rPr>
        <w:t>” and Gemini’s financial statements and the related notes incorporated by reference. Gemini’s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historical results are not necessarily indicative of results that should be expected in any future period and Gemini’s results for the interim period are not necessarily indicative of the results that should be expected for the full year ending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8"/>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4000" w:type="dxa"/>
            <w:vAlign w:val="bottom"/>
            <w:gridSpan w:val="15"/>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28,170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48,717</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36,083</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12,822</w:t>
            </w: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5,870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15,177</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13,326</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34,040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51,260</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26,148</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(34,040)</w:t>
            </w:r>
          </w:p>
        </w:tc>
        <w:tc>
          <w:tcPr>
            <w:tcW w:w="360" w:type="dxa"/>
            <w:vAlign w:val="bottom"/>
          </w:tcPr>
          <w:p>
            <w:pPr>
              <w:spacing w:after="0"/>
              <w:rPr>
                <w:sz w:val="16"/>
                <w:szCs w:val="16"/>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(69,002)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(51,260)</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(26,148)</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(6,826)</w:t>
            </w:r>
          </w:p>
        </w:tc>
        <w:tc>
          <w:tcPr>
            <w:tcW w:w="360" w:type="dxa"/>
            <w:vAlign w:val="bottom"/>
          </w:tcPr>
          <w:p>
            <w:pPr>
              <w:spacing w:after="0"/>
              <w:rPr>
                <w:sz w:val="16"/>
                <w:szCs w:val="16"/>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(2,073)</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87"/>
              </w:rPr>
              <w:t>11</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convertible notes</w:t>
            </w:r>
          </w:p>
        </w:tc>
        <w:tc>
          <w:tcPr>
            <w:tcW w:w="24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(40,837)</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(71,869)</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(54,046)</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(25,598)</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(2.70)</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(1.78)</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15,115,129</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40,362,303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39,427,476</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43,236,171</w:t>
            </w:r>
          </w:p>
        </w:tc>
        <w:tc>
          <w:tcPr>
            <w:tcW w:w="0" w:type="dxa"/>
            <w:vAlign w:val="bottom"/>
          </w:tcPr>
          <w:p>
            <w:pPr>
              <w:spacing w:after="0"/>
              <w:rPr>
                <w:sz w:val="1"/>
                <w:szCs w:val="1"/>
                <w:color w:val="auto"/>
              </w:rPr>
            </w:pPr>
          </w:p>
        </w:tc>
      </w:tr>
      <w:tr>
        <w:trPr>
          <w:trHeight w:val="40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136,627</w:t>
            </w:r>
          </w:p>
        </w:tc>
        <w:tc>
          <w:tcPr>
            <w:tcW w:w="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101,737</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 (1)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(19,811)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125,266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103,200</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8,319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140,437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106,031</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30,180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15,596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1,464</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5"/>
              </w:rPr>
              <w:t>(112,821)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(184,690)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(210,288)</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(21,861)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124,841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104,567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9"/>
          <w:szCs w:val="19"/>
          <w:b w:val="1"/>
          <w:bCs w:val="1"/>
          <w:color w:val="auto"/>
        </w:rPr>
        <w:t>Selected Historical Consolidated Financial Data of Disc</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following tables summarize Disc’s consolidated financial data. The consolidated statement of operations data for the years ended December 31, 2020 and 2021 and the consolidated balance sheet data as of December 31, 2020 and 2021 have been derived from Disc’s audited consolidated financial statements included in Exhibit 99.5 of the Company’s Current Report on Form 8-K of which this Exhibit 99.7 is a part. The consolidated statement of operations data for the nine months ended September 30, 2021 and 2022 and the consolidated balance sheet data as of September 30, 2022 have been derived from Disc’s unaudited condensed consolidated financial statements included in Exhibit 99.6 of the Company’s Current Report on Form 8-K of which this Exhibit 99.7 is a part. You should read the following selected consolidated financial data together with “</w:t>
      </w:r>
      <w:r>
        <w:rPr>
          <w:rFonts w:ascii="Times New Roman" w:cs="Times New Roman" w:eastAsia="Times New Roman" w:hAnsi="Times New Roman"/>
          <w:sz w:val="19"/>
          <w:szCs w:val="19"/>
          <w:i w:val="1"/>
          <w:iCs w:val="1"/>
          <w:color w:val="auto"/>
        </w:rPr>
        <w:t>Disc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Management’s Discussion and Analysis of Financial Condition and Results of Operations</w:t>
      </w:r>
      <w:r>
        <w:rPr>
          <w:rFonts w:ascii="Times New Roman" w:cs="Times New Roman" w:eastAsia="Times New Roman" w:hAnsi="Times New Roman"/>
          <w:sz w:val="19"/>
          <w:szCs w:val="19"/>
          <w:color w:val="auto"/>
        </w:rPr>
        <w:t>” and Disc’s consolidated financial statements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notes included in Exhibits 99.4, 99.5 and 99.6, respectively, of the Company’s Current Report on Form 8-K of which this Exhibit 99.7 is a part. Disc’s historical results are not necessarily indicative of results that should be expected in any future period and Disc’s results for the interim period are not necessarily indicative of the results that should be expected for the full year ending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8"/>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4000" w:type="dxa"/>
            <w:vAlign w:val="bottom"/>
            <w:gridSpan w:val="15"/>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18,020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25,170</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19,511</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23,421</w:t>
            </w: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2,956</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4,012</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9,033</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20,976</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23,523</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32,454</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(20,976)</w:t>
            </w:r>
          </w:p>
        </w:tc>
        <w:tc>
          <w:tcPr>
            <w:tcW w:w="360" w:type="dxa"/>
            <w:vAlign w:val="bottom"/>
          </w:tcPr>
          <w:p>
            <w:pPr>
              <w:spacing w:after="0"/>
              <w:rPr>
                <w:sz w:val="16"/>
                <w:szCs w:val="16"/>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(30,933)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(23,523)</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(32,454)</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(5,050)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(3,600)</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(3,450)</w:t>
            </w:r>
          </w:p>
        </w:tc>
        <w:tc>
          <w:tcPr>
            <w:tcW w:w="0" w:type="dxa"/>
            <w:vAlign w:val="bottom"/>
          </w:tcPr>
          <w:p>
            <w:pPr>
              <w:spacing w:after="0"/>
              <w:rPr>
                <w:sz w:val="1"/>
                <w:szCs w:val="1"/>
                <w:color w:val="auto"/>
              </w:rPr>
            </w:pPr>
          </w:p>
        </w:tc>
      </w:tr>
      <w:tr>
        <w:trPr>
          <w:trHeight w:val="188"/>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(5,036)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(3,595)</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(3,129)</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(20,936)</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(35,969)</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(27,118)</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(35,583)</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(20,936)</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(35,969)</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(27,118)</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(35,583)</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6,930,451</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8,014,679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7,947,355</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8,604,591</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stockholders—basic and diluted</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(3.02)</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(4.49)</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(3.41)</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38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25,825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88,036</w:t>
            </w:r>
          </w:p>
        </w:tc>
        <w:tc>
          <w:tcPr>
            <w:tcW w:w="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55,473</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 (1)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22,966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77,060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42,626</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27,377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92,411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61,707</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18,378</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52,112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141,856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141,856</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(65,389)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(100,972)</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(28,809)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(98,527)</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0" cy="146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9"/>
          <w:szCs w:val="19"/>
          <w:b w:val="1"/>
          <w:bCs w:val="1"/>
          <w:color w:val="auto"/>
        </w:rPr>
        <w:t>Selected Unaudited Pro Forma Condensed Combined Financial Data of Gemini and Disc</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following unaudited pro forma condensed combined financial information was prepared based on the expectation that the Merger will be treated as a reverse recapitalization in accordance with U.S. generally accepted accounting principles (“GAAP”). For accounting purposes, Disc is considered to be acquiring Gemini in the Merger. This determination is based on the expectations that, immediately following the Merger: (i) Disc’s equity holders will own a substantial majority of the voting rights in the combined organization, (ii) Disc will designate a majority (eight of nine) of the initial board of directors of the combined organization and (iii) Disc’s senior management will hold all positions in the senior management of the combined organization and no employees from Gemini will be retained. Accordingly, for accounting purposes: (i) the Merger will be treated as the equivalent of Disc issuing stock to acquire the net assets of Gemini, (ii) the net assets of Gemini will be recorded based upon the fair values in the financial statements at the time of closing, which are primarily comprised of cash and cash equivalents and therefore expected to approximate the historical carrying value of the assets and (iii) the reported historical operating results of the combined company prior to the Merger will be those of Disc.</w:t>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unaudited pro forma condensed combined balance sheet assumes that Disc’s pre-closing financing and the merger were consummated as of September 30, 2022 and combines the historical balance sheets of Gemini and Disc as of such date. The unaudited pro forma condensed combined statement of operations for the year ended December 31, 2021 and the nine months ended September 30, 2022 assumes that Disc’s pre-closing financing and the merger were consummated as of January 1, 2021 and combines the historical results of Gemini and Disc for the respective periods presented.</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selected unaudited pro forma condensed combined financial data are presented for illustrative purposes only and are not necessarily indicative of the combined financial position or results of operations of future periods or the results that would have been realized had the entities been a single entity during these periods. The selected unaudited pro forma condensed combined financial data for the year ended December 31, 2021 and as of and for the nine months ended September 30, 2022 are derived from the unaudited pro forma condensed combined financial information and should be read in conjunction with that information. For more information, please see the section entitled “Unaudited Pro Forma Condensed Combined Financial Information”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Selected Unaudited Pro Forma Condensed Combined Statements of Operations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gridSpan w:val="4"/>
          </w:tcPr>
          <w:p>
            <w:pPr>
              <w:jc w:val="right"/>
              <w:ind w:right="62"/>
              <w:spacing w:after="0" w:line="169" w:lineRule="exact"/>
              <w:rPr>
                <w:sz w:val="20"/>
                <w:szCs w:val="20"/>
                <w:color w:val="auto"/>
              </w:rPr>
            </w:pPr>
            <w:r>
              <w:rPr>
                <w:rFonts w:ascii="Times New Roman" w:cs="Times New Roman" w:eastAsia="Times New Roman" w:hAnsi="Times New Roman"/>
                <w:sz w:val="16"/>
                <w:szCs w:val="16"/>
                <w:b w:val="1"/>
                <w:bCs w:val="1"/>
                <w:color w:val="auto"/>
                <w:w w:val="97"/>
              </w:rPr>
              <w:t>except share and per</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6"/>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share data)</w:t>
            </w: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73,887</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36,243</w:t>
            </w:r>
          </w:p>
        </w:tc>
        <w:tc>
          <w:tcPr>
            <w:tcW w:w="0" w:type="dxa"/>
            <w:vAlign w:val="bottom"/>
          </w:tcPr>
          <w:p>
            <w:pPr>
              <w:spacing w:after="0"/>
              <w:rPr>
                <w:sz w:val="1"/>
                <w:szCs w:val="1"/>
                <w:color w:val="auto"/>
              </w:rPr>
            </w:pPr>
          </w:p>
        </w:tc>
      </w:tr>
      <w:tr>
        <w:trPr>
          <w:trHeight w:val="18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37,052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22,359</w:t>
            </w: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(110,939)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(58,602)</w:t>
            </w:r>
          </w:p>
        </w:tc>
        <w:tc>
          <w:tcPr>
            <w:tcW w:w="0" w:type="dxa"/>
            <w:vAlign w:val="bottom"/>
          </w:tcPr>
          <w:p>
            <w:pPr>
              <w:spacing w:after="0"/>
              <w:rPr>
                <w:sz w:val="1"/>
                <w:szCs w:val="1"/>
                <w:color w:val="auto"/>
              </w:rPr>
            </w:pPr>
          </w:p>
        </w:tc>
      </w:tr>
      <w:tr>
        <w:trPr>
          <w:trHeight w:val="18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(113,344)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(57,576)</w:t>
            </w: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stockholders—basic and diluted</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432"/>
        </w:trPr>
        <w:tc>
          <w:tcPr>
            <w:tcW w:w="7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Selected Unaudited Pro Forma Condensed Combined Balance Sheet Data</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210,710</w:t>
            </w:r>
          </w:p>
        </w:tc>
        <w:tc>
          <w:tcPr>
            <w:tcW w:w="0" w:type="dxa"/>
            <w:vAlign w:val="bottom"/>
          </w:tcPr>
          <w:p>
            <w:pPr>
              <w:spacing w:after="0"/>
              <w:rPr>
                <w:sz w:val="1"/>
                <w:szCs w:val="1"/>
                <w:color w:val="auto"/>
              </w:rPr>
            </w:pPr>
          </w:p>
        </w:tc>
      </w:tr>
      <w:tr>
        <w:trPr>
          <w:trHeight w:val="18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 net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192,079</w:t>
            </w: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218,907</w:t>
            </w:r>
          </w:p>
        </w:tc>
        <w:tc>
          <w:tcPr>
            <w:tcW w:w="0" w:type="dxa"/>
            <w:vAlign w:val="bottom"/>
          </w:tcPr>
          <w:p>
            <w:pPr>
              <w:spacing w:after="0"/>
              <w:rPr>
                <w:sz w:val="1"/>
                <w:szCs w:val="1"/>
                <w:color w:val="auto"/>
              </w:rPr>
            </w:pPr>
          </w:p>
        </w:tc>
      </w:tr>
      <w:tr>
        <w:trPr>
          <w:trHeight w:val="188"/>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24,758</w:t>
            </w: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(103,485)</w:t>
            </w: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194,149</w:t>
            </w:r>
          </w:p>
        </w:tc>
        <w:tc>
          <w:tcPr>
            <w:tcW w:w="0" w:type="dxa"/>
            <w:vAlign w:val="bottom"/>
          </w:tcPr>
          <w:p>
            <w:pPr>
              <w:spacing w:after="0"/>
              <w:rPr>
                <w:sz w:val="1"/>
                <w:szCs w:val="1"/>
                <w:color w:val="auto"/>
              </w:rPr>
            </w:pPr>
          </w:p>
        </w:tc>
      </w:tr>
      <w:tr>
        <w:trPr>
          <w:trHeight w:val="352"/>
        </w:trPr>
        <w:tc>
          <w:tcPr>
            <w:tcW w:w="7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1" w:right="31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9"/>
          <w:szCs w:val="19"/>
          <w:b w:val="1"/>
          <w:bCs w:val="1"/>
          <w:color w:val="auto"/>
        </w:rPr>
        <w:t>Unaudited Pro Forma Condensed Combined Financial Information</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based on the Disc Medicine Inc.’s historical consolidated financial statements and Gemini Therapeutics Inc.’s historical consolidated financial statements as adjusted to give effect to the merger of the companies, accounted for as a reverse recapitalization, to the issuance of shares in a pre-closing financing and to the anticipated Gemini 1:10 reverse stock split.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Merger</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On August 9, 2022, Disc entered into an Agreement and Plan of Merger and Reorganization (the “Merger Agreement”) with Gemini Therapeutics, Inc., a Delaware corporation (“Gemini”) and Gemstone Merger Sub, Inc., a Delaware corporation and a wholly owned subsidiary of Gemini (“Merger Sub”). Pursuant to the Merger Agreement and subject to the satisfaction or waiver of the conditions therein, Merger Sub will merge with and into Disc, with Disc continuing as the surviving company and as a wholly owned subsidiary of Gemini (the “merger”). If the merger is completed, the business of Disc will continue as the business of the combined company. The merger is intended to qualify for federal income tax purposes as a tax-free reorganization under the provisions of Section 368(a) of the Internal Revenue Code of 1986, as amended.</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Subject to the terms and conditions of the Merger Agreement, at the effective time of the merger (the “Effective Time”), each then outstanding share of Disc common stock (including shares of common stock issued upon conversion of Disc preferred stock and shares of Disc common stock issued in the Disc pre-closing financing (as defined below) will be converted into the right to receive a number of shares of Gemini’s common stock (subject to the payment of cash in lieu of fractional shares) calculated in accordance with the Merger Agreement (the “exchange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Prior to and as a condition of the closing, Gemini repaid its term loan and accrued interest and other related fees in the third quarter of 2022.</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direct result of the reverse recapitalization, pursuant to Disc’s Roche Agreement, immediately following the Effective Date, Disc will issue shares of the combined company to Roche for no consideration (the “Roche Issuance”). The number of shares of common stock to be issued to Roche is 2.85% of the outstanding shares of common stock of the combined company as of the Effective Date. This is considered a separate transaction for accounting purposes; however, as it occurs automatically upon the closing of the merger, Disc is presenting as a pro forma adjustment.</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At the Effective Time, each person who as of immediately prior to the Effective Time was a stockholder of record of Gemini or had the right to receive Gemini’s common stock will be entitled to receive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calculated in accordance with the CVR Agreement. The unaudited pro forma condensed combined balance sheet does not reflect contingent consideration with respect to the CVRs because the value of the corresponding in-process research and development assets are expected to be de minimis.</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merger is expected to be treated as a reverse recapitalization in accordance with U.S. GAAP because on the effective date of the merger, the pre-combination assets of Gemini are expected to be primarily cash and cash equivalents and other non-operating assets. Disc concluded that any in-process research and development assets potentially remaining as of the combination would be de minimis when compared to the cash and cash equivalents obtained through the merger.</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Immediately after the consummation of the merger, based on the exchange ratio of 0.1096, Disc securityholders would own approximately 74% of the Gemini common stock as defined in the Merger Agreement, and Gemini securityholders would own approximately 26% of the Gemini common stock as defined in the Merger Agreement, after giving effect to the Disc pre-closing financing, and subject to adjustment of the exchange ratio as set forth in the Merger Agreement. Under certain circumstances further described in the Merger Agreement, the ownership percentages are subject to adjustment to the extent that Gemini’s net cash as of the closing, as defined in the Merger Agreement (“Net Cash”) is less than $87.4 million or greater than $96.6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Disc Pre-Closing Financing</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connection with the Merger Agreement, certain third parties have entered into a subscription agreement with Disc to purchase shares of Disc common stock for an aggregate purchase price of approximately $53.5 million (the “Disc pre-closing financing”). The Disc pre-closing financing is contingent on and will occur prior to the closing of the merger, subject to customary closing conditions. Shares of the Disc common stock issued pursuant to the Disc pre-closing financing will be converted into shares of Gemini common stock in accordance with the exchange ratio at the Effective Time.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unaudited pro forma condensed combined balance sheet assumes that the Disc pre-closing financing, and the merger were consummated as of September 30, 2022 and combines the historical balance sheets of Gemini and Disc as of such date. The unaudited pro forma condensed combined statement of operations for the year ended December 31, 2021 and the nine months ended September 30, 2022 assumes that the Disc pre-closing financing and the merger were consummated as of January 1, 2021 and combines the historical results of Gemini and Disc for the respective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50100" cy="146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10" w:name="page411"/>
    <w:bookmarkEnd w:id="410"/>
    <w:p>
      <w:pPr>
        <w:jc w:val="both"/>
        <w:spacing w:after="0" w:line="246" w:lineRule="auto"/>
        <w:rPr>
          <w:sz w:val="20"/>
          <w:szCs w:val="20"/>
          <w:color w:val="auto"/>
        </w:rPr>
      </w:pPr>
      <w:r>
        <w:rPr>
          <w:rFonts w:ascii="Times New Roman" w:cs="Times New Roman" w:eastAsia="Times New Roman" w:hAnsi="Times New Roman"/>
          <w:sz w:val="19"/>
          <w:szCs w:val="19"/>
          <w:color w:val="auto"/>
        </w:rPr>
        <w:t>The selected unaudited pro forma condensed combined financial data are presented for illustrative purposes only and are not necessarily indicative of the combined financial position or results of operations of future periods or the results that would have been realized had the entities been a single entity during these periods.</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unaudited pro forma condensed combined financial information is based on the assumptions and adjustments that are described in the accompanying notes. The accounting for the merger requires the final calculation of net working capital for Gemini.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will occur and these differences could have a material impact on the accompanying unaudited pro forma condensed combined financial information and the combined organization’s future results of operations and financial position.</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results that would have been realized had Gemini and Disc been a combined organization during the specified periods.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pro forma financial information.</w:t>
      </w:r>
    </w:p>
    <w:p>
      <w:pPr>
        <w:spacing w:after="0" w:line="18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including the notes thereto, should be read in conjunction with the separate historical financial statements of Disc, and its Management’s Discussion and Analysis of Financial Condition and Results of Operations included in Exhibit 99.4 of the Company’s Current Report on Form 8-K of which this Exhibit 99.7 is a part, and Gemini’s Management’s Discussion and Analysis of Financial Condition and Results of Operations included in its Quarterly Report on Form 10-Q filed with the SEC on November 10, 2022.</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Accounting rules require evaluation of certain assumptions, estimates, or determination of financial statement classifications. The accounting policies of Gemini may materially vary from those of Disc.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Following the acquisition, management will conduct a final review of Gemini’s accounting policies in order to determine if differences in accounting policies require adjustment or reclassification of Gemini’s results of operations or reclassification of assets or liabilities to conform to Disc’s accounting policies and classifications. As a result of this review, management may identify differences that, when conformed, could have a material impact on these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50100" cy="146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11" w:name="page412"/>
    <w:bookmarkEnd w:id="411"/>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 Pro Forma Condensed Combined Balance Sheet</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September 30, 2022</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Disc Pre-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closing</w:t>
            </w: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Pro Forma</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Disc</w:t>
            </w:r>
          </w:p>
        </w:tc>
        <w:tc>
          <w:tcPr>
            <w:tcW w:w="10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Merger</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0"/>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Medicine</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Therapeutics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Notes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171"/>
        </w:trPr>
        <w:tc>
          <w:tcPr>
            <w:tcW w:w="31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4"/>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101,737</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210,710</w:t>
            </w:r>
          </w:p>
        </w:tc>
        <w:tc>
          <w:tcPr>
            <w:tcW w:w="80" w:type="dxa"/>
            <w:vAlign w:val="bottom"/>
            <w:shd w:val="clear" w:color="auto" w:fill="CCEEFF"/>
          </w:tcPr>
          <w:p>
            <w:pPr>
              <w:spacing w:after="0"/>
              <w:rPr>
                <w:sz w:val="16"/>
                <w:szCs w:val="16"/>
                <w:color w:val="auto"/>
              </w:rPr>
            </w:pPr>
          </w:p>
        </w:tc>
      </w:tr>
      <w:tr>
        <w:trPr>
          <w:trHeight w:val="188"/>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4,425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(2,331)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D, 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80" w:type="dxa"/>
            <w:vAlign w:val="bottom"/>
          </w:tcPr>
          <w:p>
            <w:pPr>
              <w:spacing w:after="0"/>
              <w:rPr>
                <w:sz w:val="16"/>
                <w:szCs w:val="16"/>
                <w:color w:val="auto"/>
              </w:rPr>
            </w:pPr>
          </w:p>
        </w:tc>
      </w:tr>
      <w:tr>
        <w:trPr>
          <w:trHeight w:val="188"/>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59,898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53,500</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(2,331)</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215,731</w:t>
            </w:r>
          </w:p>
        </w:tc>
        <w:tc>
          <w:tcPr>
            <w:tcW w:w="80" w:type="dxa"/>
            <w:vAlign w:val="bottom"/>
            <w:shd w:val="clear" w:color="auto" w:fill="CCEEFF"/>
          </w:tcPr>
          <w:p>
            <w:pPr>
              <w:spacing w:after="0"/>
              <w:rPr>
                <w:sz w:val="16"/>
                <w:szCs w:val="16"/>
                <w:color w:val="auto"/>
              </w:rPr>
            </w:pPr>
          </w:p>
        </w:tc>
      </w:t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w:t>
            </w:r>
          </w:p>
        </w:tc>
      </w:tr>
      <w:tr>
        <w:trPr>
          <w:trHeight w:val="18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shd w:val="clear" w:color="auto" w:fill="CCEEFF"/>
          </w:tcPr>
          <w:p>
            <w:pPr>
              <w:spacing w:after="0"/>
              <w:rPr>
                <w:sz w:val="16"/>
                <w:szCs w:val="16"/>
                <w:color w:val="auto"/>
              </w:rPr>
            </w:pPr>
          </w:p>
        </w:tc>
      </w:t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80" w:type="dxa"/>
            <w:vAlign w:val="bottom"/>
          </w:tcPr>
          <w:p>
            <w:pPr>
              <w:spacing w:after="0"/>
              <w:rPr>
                <w:sz w:val="16"/>
                <w:szCs w:val="16"/>
                <w:color w:val="auto"/>
              </w:rPr>
            </w:pPr>
          </w:p>
        </w:tc>
      </w:tr>
      <w:tr>
        <w:trPr>
          <w:trHeight w:val="18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106,031</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(2,331)</w:t>
            </w:r>
          </w:p>
        </w:tc>
        <w:tc>
          <w:tcPr>
            <w:tcW w:w="10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218,907</w:t>
            </w:r>
          </w:p>
        </w:tc>
        <w:tc>
          <w:tcPr>
            <w:tcW w:w="80" w:type="dxa"/>
            <w:vAlign w:val="bottom"/>
            <w:shd w:val="clear" w:color="auto" w:fill="CCEEFF"/>
          </w:tcPr>
          <w:p>
            <w:pPr>
              <w:spacing w:after="0"/>
              <w:rPr>
                <w:sz w:val="16"/>
                <w:szCs w:val="16"/>
                <w:color w:val="auto"/>
              </w:rPr>
            </w:pPr>
          </w:p>
        </w:tc>
      </w:tr>
      <w:tr>
        <w:trPr>
          <w:trHeight w:val="169"/>
        </w:trPr>
        <w:tc>
          <w:tcPr>
            <w:tcW w:w="318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Liabilities, Convertible Preferred Stock and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6"/>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8"/>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4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80" w:type="dxa"/>
            <w:vAlign w:val="bottom"/>
          </w:tcPr>
          <w:p>
            <w:pPr>
              <w:spacing w:after="0"/>
              <w:rPr>
                <w:sz w:val="16"/>
                <w:szCs w:val="16"/>
                <w:color w:val="auto"/>
              </w:rPr>
            </w:pPr>
          </w:p>
        </w:tc>
      </w:tr>
      <w:tr>
        <w:trPr>
          <w:trHeight w:val="18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14,816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 E, F, G</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18,815</w:t>
            </w:r>
          </w:p>
        </w:tc>
      </w:tr>
      <w:tr>
        <w:trPr>
          <w:trHeight w:val="188"/>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liability</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9,900</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w:t>
            </w:r>
          </w:p>
        </w:tc>
      </w:tr>
      <w:tr>
        <w:trPr>
          <w:trHeight w:val="188"/>
        </w:trPr>
        <w:tc>
          <w:tcPr>
            <w:tcW w:w="3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17,272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4,916</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23,652</w:t>
            </w:r>
          </w:p>
        </w:tc>
      </w:tr>
      <w:tr>
        <w:trPr>
          <w:trHeight w:val="18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shd w:val="clear" w:color="auto" w:fill="CCEEFF"/>
          </w:tcPr>
          <w:p>
            <w:pPr>
              <w:spacing w:after="0"/>
              <w:rPr>
                <w:sz w:val="16"/>
                <w:szCs w:val="16"/>
                <w:color w:val="auto"/>
              </w:rPr>
            </w:pPr>
          </w:p>
        </w:tc>
      </w:tr>
      <w:tr>
        <w:trPr>
          <w:trHeight w:val="188"/>
        </w:trPr>
        <w:tc>
          <w:tcPr>
            <w:tcW w:w="3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18,378</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4,916</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24,758</w:t>
            </w:r>
          </w:p>
        </w:tc>
      </w:tr>
      <w:tr>
        <w:trPr>
          <w:trHeight w:val="18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convertible preferred stock</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(2,350)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49,762</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(49,762)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89,744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(89,744)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r>
      <w:tr>
        <w:trPr>
          <w:trHeight w:val="188"/>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314,851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53,498</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(73,161)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297,632</w:t>
            </w:r>
          </w:p>
        </w:tc>
        <w:tc>
          <w:tcPr>
            <w:tcW w:w="80" w:type="dxa"/>
            <w:vAlign w:val="bottom"/>
          </w:tcPr>
          <w:p>
            <w:pPr>
              <w:spacing w:after="0"/>
              <w:rPr>
                <w:sz w:val="16"/>
                <w:szCs w:val="16"/>
                <w:color w:val="auto"/>
              </w:rPr>
            </w:pPr>
          </w:p>
        </w:tc>
      </w:tr>
      <w:tr>
        <w:trPr>
          <w:trHeight w:val="18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(100,972)</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(210,288)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207,775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(103,485)</w:t>
            </w:r>
          </w:p>
        </w:tc>
      </w:tr>
      <w:tr>
        <w:trPr>
          <w:trHeight w:val="188"/>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(98,527)</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53,500</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134,609</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194,149</w:t>
            </w:r>
          </w:p>
        </w:tc>
        <w:tc>
          <w:tcPr>
            <w:tcW w:w="80" w:type="dxa"/>
            <w:vAlign w:val="bottom"/>
          </w:tcPr>
          <w:p>
            <w:pPr>
              <w:spacing w:after="0"/>
              <w:rPr>
                <w:sz w:val="16"/>
                <w:szCs w:val="16"/>
                <w:color w:val="auto"/>
              </w:rPr>
            </w:pPr>
          </w:p>
        </w:tc>
      </w:tr>
      <w:tr>
        <w:trPr>
          <w:trHeight w:val="171"/>
        </w:trPr>
        <w:tc>
          <w:tcPr>
            <w:tcW w:w="3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Total liabilities, convertible preferred stock and</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106,031</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(2,331)</w:t>
            </w: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218,907</w:t>
            </w:r>
          </w:p>
        </w:tc>
        <w:tc>
          <w:tcPr>
            <w:tcW w:w="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accompanying notes are an integral part of this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0100" cy="146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12" w:name="page413"/>
    <w:bookmarkEnd w:id="412"/>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 Pro Forma Condensed Combined Statement of Operations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 the Nine Months Ended September 30, 2022</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Pro Forma</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Disc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Merger</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0"/>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Medicine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Therapeutics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23,421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12,822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36,243</w:t>
            </w: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22,359</w:t>
            </w:r>
          </w:p>
        </w:tc>
      </w:tr>
      <w:tr>
        <w:trPr>
          <w:trHeight w:val="188"/>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32,454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26,148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58,602</w:t>
            </w: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(58,602)</w:t>
            </w:r>
          </w:p>
        </w:tc>
      </w:tr>
      <w:tr>
        <w:trPr>
          <w:trHeight w:val="18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978</w:t>
            </w: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convertible notes</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3,450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r>
      <w:tr>
        <w:trPr>
          <w:trHeight w:val="188"/>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3,605</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1,026</w:t>
            </w: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(35,583)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(25,598)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3,605</w:t>
            </w:r>
          </w:p>
        </w:tc>
        <w:tc>
          <w:tcPr>
            <w:tcW w:w="100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(57,576)</w:t>
            </w:r>
          </w:p>
        </w:tc>
      </w:tr>
      <w:tr>
        <w:trPr>
          <w:trHeight w:val="18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(35,583)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(25,598)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3,605</w:t>
            </w:r>
          </w:p>
        </w:tc>
        <w:tc>
          <w:tcPr>
            <w:tcW w:w="10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(57,576)</w:t>
            </w: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8,604,591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43,236,171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(34,474,350)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17,366,412</w:t>
            </w:r>
          </w:p>
        </w:tc>
      </w:tr>
      <w:tr>
        <w:trPr>
          <w:trHeight w:val="171"/>
        </w:trPr>
        <w:tc>
          <w:tcPr>
            <w:tcW w:w="47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Net loss per share attributable to common stockholders—basic and</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4"/>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(3.32)</w:t>
            </w:r>
          </w:p>
        </w:tc>
      </w:tr>
    </w:tbl>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accompanying notes are an integral part of this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0100" cy="146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13" w:name="page414"/>
    <w:bookmarkEnd w:id="413"/>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Unaudited Pro Forma Condensed Combined Statement of Operations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 the Year Ended December 31, 2021</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Pro Forma</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Disc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Merger</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0"/>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Medicine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Therapeutics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25,170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48,717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73,887</w:t>
            </w: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11,004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 F, G, H</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37,052</w:t>
            </w:r>
          </w:p>
        </w:tc>
      </w:tr>
      <w:tr>
        <w:trPr>
          <w:trHeight w:val="188"/>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30,933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69,002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11,004</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110,939</w:t>
            </w: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(69,002)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(11,004)</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(110,939)</w:t>
            </w:r>
          </w:p>
        </w:tc>
      </w:tr>
      <w:tr>
        <w:trPr>
          <w:trHeight w:val="18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448</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(1,710)</w:t>
            </w:r>
          </w:p>
        </w:tc>
      </w:tr>
      <w:tr>
        <w:trPr>
          <w:trHeight w:val="18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convertible notes</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w:t>
            </w:r>
          </w:p>
        </w:tc>
      </w:tr>
      <w:tr>
        <w:trPr>
          <w:trHeight w:val="18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5,050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188"/>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5,498</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(35,969)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(71,869)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(5,506)</w:t>
            </w:r>
          </w:p>
        </w:tc>
        <w:tc>
          <w:tcPr>
            <w:tcW w:w="100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(113,344)</w:t>
            </w:r>
          </w:p>
        </w:tc>
      </w:tr>
      <w:tr>
        <w:trPr>
          <w:trHeight w:val="18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stockholders—basic and diluted</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(35,969)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(71,869)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(5,506)</w:t>
            </w:r>
          </w:p>
        </w:tc>
        <w:tc>
          <w:tcPr>
            <w:tcW w:w="10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(113,344)</w:t>
            </w: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outstanding—basic and diluted</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8,014,679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40,362,303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(31,362,611)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17,014,371</w:t>
            </w:r>
          </w:p>
        </w:tc>
      </w:tr>
      <w:tr>
        <w:trPr>
          <w:trHeight w:val="171"/>
        </w:trPr>
        <w:tc>
          <w:tcPr>
            <w:tcW w:w="47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Net loss per share attributable to common stockholders—basic and</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4"/>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(6.66)</w:t>
            </w:r>
          </w:p>
        </w:tc>
      </w:tr>
    </w:tbl>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accompanying notes are an integral part of this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0100" cy="146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14" w:name="page415"/>
    <w:bookmarkEnd w:id="414"/>
    <w:p>
      <w:pPr>
        <w:ind w:left="6"/>
        <w:spacing w:after="0"/>
        <w:rPr>
          <w:sz w:val="20"/>
          <w:szCs w:val="20"/>
          <w:color w:val="auto"/>
        </w:rPr>
      </w:pPr>
      <w:r>
        <w:rPr>
          <w:rFonts w:ascii="Times New Roman" w:cs="Times New Roman" w:eastAsia="Times New Roman" w:hAnsi="Times New Roman"/>
          <w:sz w:val="19"/>
          <w:szCs w:val="19"/>
          <w:b w:val="1"/>
          <w:bCs w:val="1"/>
          <w:color w:val="auto"/>
        </w:rPr>
        <w:t>Notes to the Unaudited Pro Forma Condensed Combined Financial Information</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All amounts below are in thousands, unless specifically noted otherwise, except share and per share amounts.</w:t>
      </w:r>
    </w:p>
    <w:p>
      <w:pPr>
        <w:spacing w:after="0" w:line="2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1. Description of Transaction</w:t>
      </w:r>
    </w:p>
    <w:p>
      <w:pPr>
        <w:spacing w:after="0" w:line="208"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19"/>
          <w:szCs w:val="19"/>
          <w:color w:val="auto"/>
        </w:rPr>
        <w:t>Upon the Effective Time, all shares of Disc common stock outstanding immediately prior to the Effective Time, after giving effect to the preferred stock conversion and the Disc pre-closing financing, will be converted into the right to receive approximately 12,531,640 shares of Gemini’s common stock in the aggregate, based on the shares of Disc common stock outstanding on December 23, 2022 and an estimated exchange ratio of 0.1096 which has been adjusted to reflect the anticipated Gemini 1:10 reverse stock split, and, which is subject to certain adjustments, including Gemini’s final Net Cash at closing. This exchange ratio is an estimate only and the final exchange ratio at closing will be determined pursuant to a formula described in more detail in the Merger Agreement.</w:t>
      </w:r>
    </w:p>
    <w:p>
      <w:pPr>
        <w:spacing w:after="0" w:line="180" w:lineRule="exact"/>
        <w:rPr>
          <w:sz w:val="20"/>
          <w:szCs w:val="20"/>
          <w:color w:val="auto"/>
        </w:rPr>
      </w:pPr>
    </w:p>
    <w:p>
      <w:pPr>
        <w:jc w:val="both"/>
        <w:ind w:left="6"/>
        <w:spacing w:after="0" w:line="251" w:lineRule="auto"/>
        <w:rPr>
          <w:sz w:val="20"/>
          <w:szCs w:val="20"/>
          <w:color w:val="auto"/>
        </w:rPr>
      </w:pPr>
      <w:r>
        <w:rPr>
          <w:rFonts w:ascii="Times New Roman" w:cs="Times New Roman" w:eastAsia="Times New Roman" w:hAnsi="Times New Roman"/>
          <w:sz w:val="18"/>
          <w:szCs w:val="18"/>
          <w:color w:val="auto"/>
        </w:rPr>
        <w:t>Disc estimates that the aggregate value of the consideration to be paid in the merger will be approximately $67.9 million. The fair value of consideration transferred is based on the number of common shares Gemini stockholders will own of the combined company upon consummation of the merger, multiplied by the closing price of fair value of Gemini common stock on December 23, 2022, the most recent practicable date prior to the filing of this Current Report on Form 8-K. The number and value of the shares of Gemini common stock to be issued pursuant to the Merger Agreement will not be determined until the completion of the merger and therefore, the final aggregate value of the consideration paid in the merger, may be more or less than $67.9 million. The fair value of consideration transferred is not indicative of the combined entities enterprise value upon consummation of the merger. As the merger will be accounted for as a reverse recapitalization, any difference between the consideration to be transferred in the merger and the fair value of the net assets acquired will be recorded as an adjustment to additional paid-in capital.</w:t>
      </w:r>
    </w:p>
    <w:p>
      <w:pPr>
        <w:spacing w:after="0" w:line="170" w:lineRule="exact"/>
        <w:rPr>
          <w:sz w:val="20"/>
          <w:szCs w:val="20"/>
          <w:color w:val="auto"/>
        </w:rPr>
      </w:pPr>
    </w:p>
    <w:p>
      <w:pPr>
        <w:jc w:val="both"/>
        <w:ind w:left="6" w:right="20"/>
        <w:spacing w:after="0" w:line="259" w:lineRule="auto"/>
        <w:rPr>
          <w:sz w:val="20"/>
          <w:szCs w:val="20"/>
          <w:color w:val="auto"/>
        </w:rPr>
      </w:pPr>
      <w:r>
        <w:rPr>
          <w:rFonts w:ascii="Times New Roman" w:cs="Times New Roman" w:eastAsia="Times New Roman" w:hAnsi="Times New Roman"/>
          <w:sz w:val="19"/>
          <w:szCs w:val="19"/>
          <w:color w:val="auto"/>
        </w:rPr>
        <w:t>Consummation of the merger is subject to certain closing conditions, including, among other things, approval by the Gemini stockholders and the Disc stockholders.</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2. Basis of Pro Forma Presentation</w:t>
      </w: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unaudited pro forma condensed combined financial information gives effect to the anticipated Gemini 1:10 reverse stock split.</w:t>
      </w:r>
    </w:p>
    <w:p>
      <w:pPr>
        <w:spacing w:after="0" w:line="204"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9"/>
          <w:szCs w:val="19"/>
          <w:color w:val="auto"/>
        </w:rPr>
        <w:t>The unaudited pro forma condensed combined financial information has been prepared in accordance with SEC Regulation S-X Article 11. The unaudited pro forma condensed combined statements of operations for the year ended December 31, 2021 and the nine months ended September 30, 2022, give effect to the Disc pre-closing financing and merger as if they had been consummated on January 1, 2021. The unaudited pro forma condensed combined balance sheet as of September 30, 2022 gives effect to the Disc pre-closing financing and the merger as if they had been consummated on September 30, 2022.</w:t>
      </w:r>
    </w:p>
    <w:p>
      <w:pPr>
        <w:spacing w:after="0" w:line="180"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19"/>
          <w:szCs w:val="19"/>
          <w:color w:val="auto"/>
        </w:rPr>
        <w:t>For accounting purposes, Disc is considered to be the acquiring company and the merger is expected to be accounted for as a reverse recapitalization of Gemini by Disc because on the merger date, the pre-combination assets of Gemini are expected to be primarily cash and cash equivalents and other non-operating assets.</w:t>
      </w:r>
    </w:p>
    <w:p>
      <w:pPr>
        <w:spacing w:after="0" w:line="176" w:lineRule="exact"/>
        <w:rPr>
          <w:sz w:val="20"/>
          <w:szCs w:val="20"/>
          <w:color w:val="auto"/>
        </w:rPr>
      </w:pPr>
    </w:p>
    <w:p>
      <w:pPr>
        <w:jc w:val="both"/>
        <w:ind w:left="6" w:right="20"/>
        <w:spacing w:after="0" w:line="259" w:lineRule="auto"/>
        <w:rPr>
          <w:sz w:val="20"/>
          <w:szCs w:val="20"/>
          <w:color w:val="auto"/>
        </w:rPr>
      </w:pPr>
      <w:r>
        <w:rPr>
          <w:rFonts w:ascii="Times New Roman" w:cs="Times New Roman" w:eastAsia="Times New Roman" w:hAnsi="Times New Roman"/>
          <w:sz w:val="19"/>
          <w:szCs w:val="19"/>
          <w:color w:val="auto"/>
        </w:rPr>
        <w:t>For purposes of these pro forma financial statements, the total estimated purchase price is summarized as follows (in thousands, except share and per share amounts):</w:t>
      </w:r>
    </w:p>
    <w:p>
      <w:pPr>
        <w:spacing w:after="0" w:line="169"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Estimated number of shares of the combined company to be owned by Gemini stockholders(i)</w:t>
            </w:r>
          </w:p>
        </w:tc>
        <w:tc>
          <w:tcPr>
            <w:tcW w:w="23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4,376,848</w:t>
            </w:r>
          </w:p>
        </w:tc>
      </w:tr>
      <w:tr>
        <w:trPr>
          <w:trHeight w:val="188"/>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Multiplied by the assumed price per share of Gemini common stock(ii)</w:t>
            </w:r>
          </w:p>
        </w:tc>
        <w:tc>
          <w:tcPr>
            <w:tcW w:w="2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15.50</w:t>
            </w:r>
          </w:p>
        </w:tc>
      </w:tr>
      <w:tr>
        <w:trPr>
          <w:trHeight w:val="188"/>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67,841</w:t>
            </w:r>
          </w:p>
        </w:tc>
      </w:tr>
      <w:tr>
        <w:trPr>
          <w:trHeight w:val="188"/>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fair value of assumed Gemini equity awards based on precombination service(iii)</w:t>
            </w:r>
          </w:p>
        </w:tc>
        <w:tc>
          <w:tcPr>
            <w:tcW w:w="2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Total estimated purchase price</w:t>
            </w:r>
          </w:p>
        </w:tc>
        <w:tc>
          <w:tcPr>
            <w:tcW w:w="2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67,879</w:t>
            </w:r>
          </w:p>
        </w:tc>
      </w:tr>
    </w:tbl>
    <w:p>
      <w:pPr>
        <w:spacing w:after="0" w:line="179" w:lineRule="exact"/>
        <w:rPr>
          <w:sz w:val="20"/>
          <w:szCs w:val="20"/>
          <w:color w:val="auto"/>
        </w:rPr>
      </w:pPr>
    </w:p>
    <w:p>
      <w:pPr>
        <w:ind w:left="286" w:right="260" w:hanging="286"/>
        <w:spacing w:after="0" w:line="253" w:lineRule="auto"/>
        <w:tabs>
          <w:tab w:leader="none" w:pos="286"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number of shares of common stock of the combined company that Gemini equity holders would own as of the closing pursuant to the Merger Agreement. This amount is calculated, for purposes of this unaudited pro forma condensed combined financial information, based on shares of Gemini common stock outstanding as of December 23, 2022. The estimated number of shares reflects the impact of the anticipated Gemini 1:10 reverse stock split that is expected to be effected prior to consummation of the merger.</w:t>
      </w:r>
    </w:p>
    <w:p>
      <w:pPr>
        <w:spacing w:after="0" w:line="187" w:lineRule="exact"/>
        <w:rPr>
          <w:rFonts w:ascii="Times New Roman" w:cs="Times New Roman" w:eastAsia="Times New Roman" w:hAnsi="Times New Roman"/>
          <w:sz w:val="16"/>
          <w:szCs w:val="16"/>
          <w:color w:val="auto"/>
        </w:rPr>
      </w:pPr>
    </w:p>
    <w:p>
      <w:pPr>
        <w:ind w:left="286" w:right="40" w:hanging="286"/>
        <w:spacing w:after="0" w:line="270" w:lineRule="auto"/>
        <w:tabs>
          <w:tab w:leader="none" w:pos="286"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price per share of Gemini common stock, which is the closing trading price of Gemini common stock outstanding as of December 23, 2022, adjusted to reflect the impact of the anticipated Gemini 1:10 reverse stock split.</w:t>
      </w:r>
    </w:p>
    <w:p>
      <w:pPr>
        <w:spacing w:after="0" w:line="173" w:lineRule="exact"/>
        <w:rPr>
          <w:rFonts w:ascii="Times New Roman" w:cs="Times New Roman" w:eastAsia="Times New Roman" w:hAnsi="Times New Roman"/>
          <w:sz w:val="16"/>
          <w:szCs w:val="16"/>
          <w:color w:val="auto"/>
        </w:rPr>
      </w:pPr>
    </w:p>
    <w:p>
      <w:pPr>
        <w:ind w:left="286" w:right="20" w:hanging="286"/>
        <w:spacing w:after="0" w:line="253" w:lineRule="auto"/>
        <w:tabs>
          <w:tab w:leader="none" w:pos="286"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purchase price includes the estimated acquisition-date fair value of the assumed Gemini’s equity awards attributable to pre-combination service (which amount is determined based on the closing trading price of Gemini common stock on December 23, 2022, the number of Gemini equity awards outstanding on this date, and the period of service provided by the holders of the awards prior to the merger closing date). The following table presents, on a weighted average basis, the assumptions used in the Black-Scholes option-pricing model to determine the estimated acquisition-date fair value of the assumed Gemini’s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50100" cy="146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1" w:right="319" w:bottom="1440" w:gutter="0" w:footer="0" w:header="0"/>
        </w:sectPr>
      </w:pPr>
    </w:p>
    <w:bookmarkStart w:id="415" w:name="page416"/>
    <w:bookmarkEnd w:id="415"/>
    <w:tbl>
      <w:tblPr>
        <w:tblLayout w:type="fixed"/>
        <w:tblInd w:w="6" w:type="dxa"/>
        <w:tblCellMar>
          <w:top w:w="0" w:type="dxa"/>
          <w:left w:w="0" w:type="dxa"/>
          <w:bottom w:w="0" w:type="dxa"/>
          <w:right w:w="0" w:type="dxa"/>
        </w:tblCellMar>
      </w:tblPr>
      <w:tr>
        <w:trPr>
          <w:trHeight w:val="187"/>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50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3.45</w:t>
            </w:r>
          </w:p>
        </w:tc>
      </w:tr>
      <w:tr>
        <w:trPr>
          <w:trHeight w:val="188"/>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8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 free interest rate</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bl>
    <w:p>
      <w:pPr>
        <w:spacing w:after="0" w:line="173"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18"/>
          <w:szCs w:val="18"/>
          <w:color w:val="auto"/>
        </w:rPr>
        <w:t>The actual purchase consideration for the net assets of Gemini will vary based on the Net Cash calculation prior to closing, the exchange ratio, and Gemini share price at closing; however, any difference between the consideration transferred and the fair value of the net assets of Gemini following determination of the actual purchase consideration for Gemini will be reflected as an adjustment to additional paid-in capital. The estimated purchase consideration reflected in these unaudited pro forma condensed combined financial information does not purport to represent what the actual purchase consideration will be when the merger is completed. The actual purchase price will fluctuate until the Effective Time of the merger.</w:t>
      </w:r>
    </w:p>
    <w:p>
      <w:pPr>
        <w:spacing w:after="0" w:line="168"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19"/>
          <w:szCs w:val="19"/>
          <w:color w:val="auto"/>
        </w:rPr>
        <w:t>Under reverse recapitalization accounting, the subsequent financial statements of Disc will reflect the operations of the acquirer for accounting purposes together with a deemed issuance of shares, equivalent to the shares held by the former stockholders of the legal acquirer and a recapitalization of the equity of the accounting acquirer. The accompanying unaudited proforma condensed combined financial information is derived from the historical financial statements of Gemini and Disc, and include adjustments to give pro forma effect to reflect the accounting for the transaction in accordance with U.S. GAAP. The historical financial statements of Disc will become the historical financial statements of the combined company.</w:t>
      </w:r>
    </w:p>
    <w:p>
      <w:pPr>
        <w:spacing w:after="0" w:line="180"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19"/>
          <w:szCs w:val="19"/>
          <w:color w:val="auto"/>
        </w:rPr>
        <w:t>Disc and Gemini may incur significant costs associated with integrating the operations of Disc and Gemini after the merger is completed. The unaudited pro forma condensed combined financial information does not reflect the costs of any integration activities or benefits that may result from realization of future cost savings from operating efficiencies which may result from the merger.</w:t>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3. Shares of Gemini Common Stock Issued to Disc Stockholders upon Closing of the Merger</w:t>
      </w:r>
    </w:p>
    <w:p>
      <w:pPr>
        <w:spacing w:after="0" w:line="208"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19"/>
          <w:szCs w:val="19"/>
          <w:color w:val="auto"/>
        </w:rPr>
        <w:t>Prior to the merger, all outstanding shares of Disc convertible preferred stock are expected to convert into Disc common stock, which will be exchanged for shares of Gemini common stock based on the exchange ratio determined in accordance with the Merger Agreement. The estimated exchange ratio for purposes of the unaudited pro forma condensed combined financial information was derived on a fully-diluted basis as of August 9, 2022 using a stipulated value of Disc of approximately $313.5 million (including the Disc pre-closing financing discussed above) and of Gemini of approximately $100.0 million. The estimated number of shares of common stock that Gemini expects to issue to Disc’s common and preferred stockholders as of December 23, 2022 (ignoring rounding of fractional shares) is determined as follows:</w:t>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of Disc common stock outstanding</w:t>
            </w:r>
          </w:p>
        </w:tc>
        <w:tc>
          <w:tcPr>
            <w:tcW w:w="2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8,858,587</w:t>
            </w:r>
          </w:p>
        </w:tc>
      </w:tr>
      <w:tr>
        <w:trPr>
          <w:trHeight w:val="188"/>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Estimated shares of Disc common stock to be issued upon consummation of the Disc pre-closing financing</w:t>
            </w:r>
          </w:p>
        </w:tc>
        <w:tc>
          <w:tcPr>
            <w:tcW w:w="2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21,314,737</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of Disc common stock to be issued upon conversion of Disc convertible preferred stock</w:t>
            </w:r>
          </w:p>
        </w:tc>
        <w:tc>
          <w:tcPr>
            <w:tcW w:w="2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84,166,665</w:t>
            </w:r>
          </w:p>
        </w:tc>
      </w:tr>
      <w:tr>
        <w:trPr>
          <w:trHeight w:val="188"/>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114,339,989</w:t>
            </w:r>
          </w:p>
        </w:tc>
      </w:tr>
      <w:tr>
        <w:trPr>
          <w:trHeight w:val="18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exchange ratio</w:t>
            </w:r>
          </w:p>
        </w:tc>
        <w:tc>
          <w:tcPr>
            <w:tcW w:w="2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0.1096</w:t>
            </w:r>
          </w:p>
        </w:tc>
      </w:t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Estimated shares of Gemini common stock to be issued to Disc shareholders upon closing of the merger</w:t>
            </w:r>
          </w:p>
        </w:tc>
        <w:tc>
          <w:tcPr>
            <w:tcW w:w="2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12,531,640</w:t>
            </w:r>
          </w:p>
        </w:tc>
      </w:tr>
    </w:tbl>
    <w:p>
      <w:pPr>
        <w:spacing w:after="0" w:line="173" w:lineRule="exact"/>
        <w:rPr>
          <w:sz w:val="20"/>
          <w:szCs w:val="20"/>
          <w:color w:val="auto"/>
        </w:rPr>
      </w:pPr>
    </w:p>
    <w:p>
      <w:pPr>
        <w:jc w:val="both"/>
        <w:ind w:left="6" w:right="20"/>
        <w:spacing w:after="0" w:line="259" w:lineRule="auto"/>
        <w:rPr>
          <w:sz w:val="20"/>
          <w:szCs w:val="20"/>
          <w:color w:val="auto"/>
        </w:rPr>
      </w:pPr>
      <w:r>
        <w:rPr>
          <w:rFonts w:ascii="Times New Roman" w:cs="Times New Roman" w:eastAsia="Times New Roman" w:hAnsi="Times New Roman"/>
          <w:sz w:val="19"/>
          <w:szCs w:val="19"/>
          <w:color w:val="auto"/>
        </w:rPr>
        <w:t>The estimated exchange ratio and estimated shares of Gemini common stock issued to Disc’s securityholders have been adjusted to give effect to the anticipated Gemini 1:10 reverse stock split.</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4. Pro Forma Adjustments</w:t>
      </w:r>
    </w:p>
    <w:p>
      <w:pPr>
        <w:spacing w:after="0" w:line="208"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19"/>
          <w:szCs w:val="19"/>
          <w:color w:val="auto"/>
        </w:rPr>
        <w:t>Adjustments included in the column under the heading “Pro Forma Adjustments” are primarily based on information contained within the Disc pre-closing financing and the Merger Agreement. Further analysis will be performed after the completion of the merger to confirm the necessity of these estimates.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Both Disc and Gemini have a history of generating net operating losses and maintain a full valuation allowance against their net deferred tax asset.</w:t>
      </w:r>
    </w:p>
    <w:p>
      <w:pPr>
        <w:spacing w:after="0" w:line="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As a result, both entities have not previously reflected an income tax benefit or expense within the financial statement periods presented.</w:t>
      </w:r>
    </w:p>
    <w:p>
      <w:pPr>
        <w:ind w:left="6"/>
        <w:spacing w:after="0"/>
        <w:rPr>
          <w:sz w:val="20"/>
          <w:szCs w:val="20"/>
          <w:color w:val="auto"/>
        </w:rPr>
      </w:pPr>
      <w:r>
        <w:rPr>
          <w:rFonts w:ascii="Times New Roman" w:cs="Times New Roman" w:eastAsia="Times New Roman" w:hAnsi="Times New Roman"/>
          <w:sz w:val="18"/>
          <w:szCs w:val="18"/>
          <w:color w:val="auto"/>
        </w:rPr>
        <w:t>Management has not identified any changes to the income tax positions due to the merger that would result in an incremental tax expense or benefit.</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Accordingly, no tax-related adjustments have been reflected for the pro forma adjustments.</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pro forma adjustments, based on preliminary estimates that could change materially as additional information is obtained, are as follows:</w:t>
      </w:r>
    </w:p>
    <w:p>
      <w:pPr>
        <w:spacing w:after="0" w:line="211" w:lineRule="exact"/>
        <w:rPr>
          <w:sz w:val="20"/>
          <w:szCs w:val="20"/>
          <w:color w:val="auto"/>
        </w:rPr>
      </w:pPr>
    </w:p>
    <w:p>
      <w:pPr>
        <w:ind w:left="286" w:right="140" w:hanging="286"/>
        <w:spacing w:after="0" w:line="253" w:lineRule="auto"/>
        <w:tabs>
          <w:tab w:leader="none" w:pos="286"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condition of the closing, Gemini repaid its term loan and accrued interest and other related fees in the third quarter of 2022. For the purposes of the unaudited pro forma condensed combined statements of operations, Gemini’s repayment of its term loan is reflected as if it occurred on January 1, 2021, with interest expense related to the debt facility of $0.4 million and $0.2 million removed from the unaudited pro forma condensed combined statements of operations for the year ended December 31, 2021 and the nine months ended September 30,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50100" cy="146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416" w:name="page417"/>
    <w:bookmarkEnd w:id="416"/>
    <w:p>
      <w:pPr>
        <w:ind w:left="286" w:right="20" w:hanging="286"/>
        <w:spacing w:after="0" w:line="253" w:lineRule="auto"/>
        <w:tabs>
          <w:tab w:leader="none" w:pos="286"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 pre-closing financing is contingent on the merger and is expected to close concurrently with execution of the merger and immediately prior to the consummation of the merger. The Disc pre-closing financing consists of an executed subscription agreement to receive $53.5 million in proceeds. The potential use of proceeds from the Disc pre-closing financing has not yet been finalized, and as a result, for the purposes of the unaudited pro forma condensed combined statement of operations, no adjustments were made to reflect interest income or the use of proceeds from the Disc pre-closing financing.</w:t>
      </w:r>
    </w:p>
    <w:p>
      <w:pPr>
        <w:spacing w:after="0" w:line="187" w:lineRule="exact"/>
        <w:rPr>
          <w:rFonts w:ascii="Times New Roman" w:cs="Times New Roman" w:eastAsia="Times New Roman" w:hAnsi="Times New Roman"/>
          <w:sz w:val="16"/>
          <w:szCs w:val="16"/>
          <w:color w:val="auto"/>
        </w:rPr>
      </w:pPr>
    </w:p>
    <w:p>
      <w:pPr>
        <w:jc w:val="both"/>
        <w:ind w:left="286" w:right="120" w:hanging="286"/>
        <w:spacing w:after="0" w:line="257" w:lineRule="auto"/>
        <w:tabs>
          <w:tab w:leader="none" w:pos="286"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completing the merger, all classes of convertible preferred stock of Disc are expected to convert to common shares at a 1:1 conversion ratio, Series Seed convertible preferred stock are expected to convert to 5,000,000 Disc common shares, Series A convertible preferred stock are expected convert to 41,666,666 Disc common shares and Series B convertible preferred stock are expected to convert to 37,499,999 Disc common shares.</w:t>
      </w:r>
    </w:p>
    <w:p>
      <w:pPr>
        <w:spacing w:after="0" w:line="183" w:lineRule="exact"/>
        <w:rPr>
          <w:rFonts w:ascii="Times New Roman" w:cs="Times New Roman" w:eastAsia="Times New Roman" w:hAnsi="Times New Roman"/>
          <w:sz w:val="16"/>
          <w:szCs w:val="16"/>
          <w:color w:val="auto"/>
        </w:rPr>
      </w:pPr>
    </w:p>
    <w:p>
      <w:pPr>
        <w:jc w:val="both"/>
        <w:ind w:left="286" w:right="120" w:hanging="286"/>
        <w:spacing w:after="0" w:line="253" w:lineRule="auto"/>
        <w:tabs>
          <w:tab w:leader="none" w:pos="286"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Gemini’s estimated transaction costs of $8.1 million that were not accrued or expensed as of September 30, 2022, consisting of legal and accounting related fees of approximately $0.2 million, directors’ and officers’ liability tail insurance costs of approximately $6.1 million, and investment banking fees of approximately $1.8 million as an increase in accrued expenses, a reduction in prepaid insurance of $1.2 million and an increase to accumulated deficit of $8.1 million in the unaudited pro forma condensed combined balance sheet.</w:t>
      </w:r>
    </w:p>
    <w:p>
      <w:pPr>
        <w:spacing w:after="0" w:line="181" w:lineRule="exact"/>
        <w:rPr>
          <w:sz w:val="20"/>
          <w:szCs w:val="20"/>
          <w:color w:val="auto"/>
        </w:rPr>
      </w:pPr>
    </w:p>
    <w:p>
      <w:pPr>
        <w:ind w:left="6"/>
        <w:spacing w:after="0" w:line="259" w:lineRule="auto"/>
        <w:rPr>
          <w:sz w:val="20"/>
          <w:szCs w:val="20"/>
          <w:color w:val="auto"/>
        </w:rPr>
      </w:pPr>
      <w:r>
        <w:rPr>
          <w:rFonts w:ascii="Times New Roman" w:cs="Times New Roman" w:eastAsia="Times New Roman" w:hAnsi="Times New Roman"/>
          <w:sz w:val="19"/>
          <w:szCs w:val="19"/>
          <w:color w:val="auto"/>
        </w:rPr>
        <w:t>Gemini’s transaction costs of $8.1 million are reflected as general and administrative expense in the unaudited pro forma condensed combined statement of operations for the year ended December 31, 2021.</w:t>
      </w:r>
    </w:p>
    <w:p>
      <w:pPr>
        <w:spacing w:after="0" w:line="169" w:lineRule="exact"/>
        <w:rPr>
          <w:sz w:val="20"/>
          <w:szCs w:val="20"/>
          <w:color w:val="auto"/>
        </w:rPr>
      </w:pPr>
    </w:p>
    <w:p>
      <w:pPr>
        <w:ind w:left="286" w:right="40" w:hanging="286"/>
        <w:spacing w:after="0" w:line="251" w:lineRule="auto"/>
        <w:tabs>
          <w:tab w:leader="none" w:pos="286"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Disc’s estimated transaction costs of $7.3 million that were not accrued or expensed as of September 30, 2022, consisting of legal and accounting related fees of approximately $0.5 million and investment banking fees of approximately $5.7 million as an increase in accrued expenses, a reduction in capitalized deferred transaction costs of $1.1 million and a reduction to additional paid-in capital of $7.3 million in the unaudited pro forma condensed combined balance sheet. As the merger will be accounted for as a reverse recapitalization equivalent to the issuance of equity for the net assets, primarily cash and cash equivalents, of Gemini, these direct and incremental costs are treated as a reduction of the net proceeds received within additional paid-in capital.</w:t>
      </w:r>
    </w:p>
    <w:p>
      <w:pPr>
        <w:spacing w:after="0" w:line="182" w:lineRule="exact"/>
        <w:rPr>
          <w:sz w:val="20"/>
          <w:szCs w:val="20"/>
          <w:color w:val="auto"/>
        </w:rPr>
      </w:pPr>
    </w:p>
    <w:p>
      <w:pPr>
        <w:ind w:left="6"/>
        <w:spacing w:after="0" w:line="259" w:lineRule="auto"/>
        <w:rPr>
          <w:sz w:val="20"/>
          <w:szCs w:val="20"/>
          <w:color w:val="auto"/>
        </w:rPr>
      </w:pPr>
      <w:r>
        <w:rPr>
          <w:rFonts w:ascii="Times New Roman" w:cs="Times New Roman" w:eastAsia="Times New Roman" w:hAnsi="Times New Roman"/>
          <w:sz w:val="19"/>
          <w:szCs w:val="19"/>
          <w:color w:val="auto"/>
        </w:rPr>
        <w:t>The adjustments for transaction costs exclude costs related to Disc’s ongoing operations as a public company, which will be charged to expense as incurred.</w:t>
      </w:r>
    </w:p>
    <w:p>
      <w:pPr>
        <w:spacing w:after="0" w:line="169" w:lineRule="exact"/>
        <w:rPr>
          <w:sz w:val="20"/>
          <w:szCs w:val="20"/>
          <w:color w:val="auto"/>
        </w:rPr>
      </w:pPr>
    </w:p>
    <w:p>
      <w:pPr>
        <w:ind w:left="286" w:right="300" w:hanging="286"/>
        <w:spacing w:after="0" w:line="253" w:lineRule="auto"/>
        <w:tabs>
          <w:tab w:leader="none" w:pos="286"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estimated compensation expense of $1.4 million related to change-in-control cash payments, retention and severance payments resulting from pre-existing employment agreements that will be payable in cash in connection with the merger but were not incurred as of September 30, 2022 is reflected as an increase to accrued expenses and accumulated deficit in the unaudited pro forma condensed combined balance sheet. Gemini’s compensation costs of $1.4 million are reflected as general and administrative expense in the unaudited pro forma condensed combined statement of operations for the year ended December 31, 2021.</w:t>
      </w:r>
    </w:p>
    <w:p>
      <w:pPr>
        <w:spacing w:after="0" w:line="187" w:lineRule="exact"/>
        <w:rPr>
          <w:rFonts w:ascii="Times New Roman" w:cs="Times New Roman" w:eastAsia="Times New Roman" w:hAnsi="Times New Roman"/>
          <w:sz w:val="16"/>
          <w:szCs w:val="16"/>
          <w:color w:val="auto"/>
        </w:rPr>
      </w:pPr>
    </w:p>
    <w:p>
      <w:pPr>
        <w:ind w:left="286" w:right="80" w:hanging="286"/>
        <w:spacing w:after="0" w:line="253" w:lineRule="auto"/>
        <w:tabs>
          <w:tab w:leader="none" w:pos="286"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Disc’s estimated post-merger compensation expense of $0.3 million related to a change-in-control cash payment resulting from the decision to approve a one-time payment to an executive of Gemini that will be payable in cash in connection with the merger but was not incurred as of September 30, 2022 is reflected as an increase to accrued expenses and accumulated deficit in the unaudited pro forma condensed combined balance sheet. Disc’s compensation costs of $0.3 million are reflected as general and administrative expense in the unaudited pro forma condensed combined statement of operations for the year ended December 31, 2021.</w:t>
      </w:r>
    </w:p>
    <w:p>
      <w:pPr>
        <w:spacing w:after="0" w:line="187" w:lineRule="exact"/>
        <w:rPr>
          <w:rFonts w:ascii="Times New Roman" w:cs="Times New Roman" w:eastAsia="Times New Roman" w:hAnsi="Times New Roman"/>
          <w:sz w:val="16"/>
          <w:szCs w:val="16"/>
          <w:color w:val="auto"/>
        </w:rPr>
      </w:pPr>
    </w:p>
    <w:p>
      <w:pPr>
        <w:ind w:left="286" w:right="80" w:hanging="286"/>
        <w:spacing w:after="0" w:line="247" w:lineRule="auto"/>
        <w:tabs>
          <w:tab w:leader="none" w:pos="286"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share-based compensation costs are recognized as a result of the transaction based on the fair value of the outstanding unvested awards on the merger date. The amounts are either recognized as a post-merger expense or are recognized in part as pre-merger expense of Gemini and in part as post-merger expense of the combined company, based on the specific facts and circumstances of each award. Certain awards included accelerated vesting upon both a change of control and subsequent separation of the individual. As a result, a portion of the expense is recognized as pre-merger expense of Gemini and a portion is recognized as post-merger expense of the combined entity, based on the percentage of the original service period of the awards that had elapsed as of the merger date. Certain other awards did not include an acceleration of vesting term upon a change of control but were modified in August 2022 to include acceleration upon a change of control. This modification was deemed to be in contemplation of the merger. The expense for the modified awards is recognized as post-merger expense of the combined entity based on the fair value of the awards on the merger date. As a result, $0.1 million of expense was recognized as pre-merger expense of Gemini for certain awards that were not previously recognized, and are reflected as an increase to additional paid-in capital and accumulated deficit in the unaudited pro forma condensed combined balance sheet and $1.1 million of expense was recognized as post-merger expense of the combined entity for certain awards that were not previously recognized, and are reflected as an increase to additional paid-in capital and accumulated deficit in the unaudited pro forma condensed combined balance sheet. Total share-based compensation costs of $1.2 million are reflected as general and administrative expense in the unaudited pro forma condensed combined statement of operations for the year ended December 31, 2021.</w:t>
      </w:r>
    </w:p>
    <w:p>
      <w:pPr>
        <w:spacing w:after="0" w:line="193"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the Disc Pre-closing Financing pro forma adjustments on the equity accounts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150100" cy="146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14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Disc</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191"/>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except share amounts)</w:t>
            </w: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4"/>
              </w:rPr>
              <w:t>Capital</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w w:val="99"/>
              </w:rPr>
              <w:t>Consummation of Disc pre-</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53,500</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closing financing</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21,314,737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10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53,498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Total adjustment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21,314,737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100" w:type="dxa"/>
            <w:vAlign w:val="bottom"/>
            <w:gridSpan w:val="2"/>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53,498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53,500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impacts of the Merger pro forma adjustments on the equity accounts, including the impacts to give effect to the anticipated Gemini 1:10 reverse stock split on the Gemini shares and the estimated exchange ratio, as well as the elimination of Gemini’s historical common stock, additional paid-in capital and accumulated deficit balances and the capitalization of the fair value of the estimated number of common shares of the combined company to be owned by Gemini stockholders,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14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Disc</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except share amounts)</w:t>
            </w:r>
          </w:p>
        </w:tc>
        <w:tc>
          <w:tcPr>
            <w:tcW w:w="140" w:type="dxa"/>
            <w:vAlign w:val="bottom"/>
          </w:tcPr>
          <w:p>
            <w:pPr>
              <w:spacing w:after="0"/>
              <w:rPr>
                <w:sz w:val="16"/>
                <w:szCs w:val="16"/>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171"/>
        </w:trPr>
        <w:tc>
          <w:tcPr>
            <w:tcW w:w="18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Conversion of outstanding</w:t>
            </w:r>
          </w:p>
        </w:tc>
        <w:tc>
          <w:tcPr>
            <w:tcW w:w="1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Disc convertible preferred</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141,856</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into common stock</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84,166,665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141,848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6"/>
              </w:rPr>
              <w:t>Payment of transaction costs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(15,406)</w:t>
            </w:r>
          </w:p>
        </w:tc>
        <w:tc>
          <w:tcPr>
            <w:tcW w:w="0" w:type="dxa"/>
            <w:vAlign w:val="bottom"/>
          </w:tcPr>
          <w:p>
            <w:pPr>
              <w:spacing w:after="0"/>
              <w:rPr>
                <w:sz w:val="1"/>
                <w:szCs w:val="1"/>
                <w:color w:val="auto"/>
              </w:rPr>
            </w:pPr>
          </w:p>
        </w:tc>
      </w:tr>
      <w:tr>
        <w:trPr>
          <w:trHeight w:val="204"/>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associated with the merger</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(7,309)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(8,097)</w:t>
            </w:r>
          </w:p>
        </w:tc>
        <w:tc>
          <w:tcPr>
            <w:tcW w:w="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Payment of change-in-</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control, retention and</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severance in connection</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(1,741)</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with the merger</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 recognized by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Gemini related to</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acceleration of vesting of</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awards upon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Closing</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33,640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costs recognized by Disc</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subsequent to the merger</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date related to Gemini</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awards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23,267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(1,069)</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Elimination of Gemini’s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historical equity carrying</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values, after pro forma</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(95,029)</w:t>
            </w:r>
          </w:p>
        </w:tc>
        <w:tc>
          <w:tcPr>
            <w:tcW w:w="0" w:type="dxa"/>
            <w:vAlign w:val="bottom"/>
          </w:tcPr>
          <w:p>
            <w:pPr>
              <w:spacing w:after="0"/>
              <w:rPr>
                <w:sz w:val="1"/>
                <w:szCs w:val="1"/>
                <w:color w:val="auto"/>
              </w:rPr>
            </w:pPr>
          </w:p>
        </w:tc>
      </w:tr>
      <w:tr>
        <w:trPr>
          <w:trHeight w:val="204"/>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(43,333,093)</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(314,948)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219,923</w:t>
            </w:r>
          </w:p>
        </w:tc>
        <w:tc>
          <w:tcPr>
            <w:tcW w:w="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The effect of the reverse</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95,029</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recapitalization of Gemini</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4,363,575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95,028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Exchange of outstanding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 common stock into</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Gemini common stock</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on the estimated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exchange ratio for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purposes of these pro</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forma condensed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combined financial</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information</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(114,286,498)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12,525,778</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 shares of</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combined company to</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9,900</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Roche at the Closing</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482,064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(1,144)</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Total adjustment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(30,096,566)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(25,928,036)</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(73,161)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207,775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134,609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amounts of the elimination of Gemini’s historical equity carrying values within the table above include the impacts of the pro forma adjustments related to pre-merger expenses of Gemini. A reconciliation from the amounts of Gemini’s historical equity carrying values contained within the unaudited pro forma condensed combined balance sheet as of September 30,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50100" cy="146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18" w:name="page419"/>
    <w:bookmarkEnd w:id="418"/>
    <w:tbl>
      <w:tblPr>
        <w:tblLayout w:type="fixed"/>
        <w:tblInd w:w="6"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140" w:type="dxa"/>
            <w:vAlign w:val="bottom"/>
          </w:tcPr>
          <w:p>
            <w:pPr>
              <w:spacing w:after="0"/>
              <w:rPr>
                <w:sz w:val="16"/>
                <w:szCs w:val="16"/>
                <w:color w:val="auto"/>
              </w:rPr>
            </w:pPr>
          </w:p>
        </w:tc>
        <w:tc>
          <w:tcPr>
            <w:tcW w:w="154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Disc</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except share amounts)</w:t>
            </w:r>
          </w:p>
        </w:tc>
        <w:tc>
          <w:tcPr>
            <w:tcW w:w="14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Capital</w:t>
            </w:r>
          </w:p>
        </w:tc>
        <w:tc>
          <w:tcPr>
            <w:tcW w:w="8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171"/>
        </w:trPr>
        <w:tc>
          <w:tcPr>
            <w:tcW w:w="18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Gemini’s historical equity</w:t>
            </w:r>
          </w:p>
        </w:tc>
        <w:tc>
          <w:tcPr>
            <w:tcW w:w="1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carrying values as of</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104,567</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September 30, 2022</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43,299,453</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314,851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(210,288)</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Pro form adjustments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Payment of Gemini</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transaction costs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(8,097)</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associated with the merger</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(8,097)</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8"/>
              </w:rPr>
              <w:t>Payment of Gemini change-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in-control, retention and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severance in connection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(1,441)</w:t>
            </w:r>
          </w:p>
        </w:tc>
        <w:tc>
          <w:tcPr>
            <w:tcW w:w="0" w:type="dxa"/>
            <w:vAlign w:val="bottom"/>
          </w:tcPr>
          <w:p>
            <w:pPr>
              <w:spacing w:after="0"/>
              <w:rPr>
                <w:sz w:val="1"/>
                <w:szCs w:val="1"/>
                <w:color w:val="auto"/>
              </w:rPr>
            </w:pPr>
          </w:p>
        </w:tc>
      </w:tr>
      <w:tr>
        <w:trPr>
          <w:trHeight w:val="204"/>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 the merger</w:t>
            </w:r>
          </w:p>
        </w:tc>
        <w:tc>
          <w:tcPr>
            <w:tcW w:w="140" w:type="dxa"/>
            <w:vAlign w:val="bottom"/>
          </w:tcPr>
          <w:p>
            <w:pPr>
              <w:spacing w:after="0"/>
              <w:rPr>
                <w:sz w:val="17"/>
                <w:szCs w:val="17"/>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(1,441)</w:t>
            </w:r>
          </w:p>
        </w:tc>
        <w:tc>
          <w:tcPr>
            <w:tcW w:w="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costs recognized by</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Gemini related to</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acceleration of vesting of</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awards upon</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Closing</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33,640</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Gemini’s historical equity</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carrying values as of</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September 30, 2022, after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95,029</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 forma adjustments</w:t>
            </w:r>
          </w:p>
        </w:tc>
        <w:tc>
          <w:tcPr>
            <w:tcW w:w="140" w:type="dxa"/>
            <w:vAlign w:val="bottom"/>
          </w:tcPr>
          <w:p>
            <w:pPr>
              <w:spacing w:after="0"/>
              <w:rPr>
                <w:sz w:val="17"/>
                <w:szCs w:val="17"/>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43,333,093</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314,948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(219,923)</w:t>
            </w:r>
          </w:p>
        </w:tc>
        <w:tc>
          <w:tcPr>
            <w:tcW w:w="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86" w:right="20" w:hanging="286"/>
        <w:spacing w:after="0" w:line="257" w:lineRule="auto"/>
        <w:tabs>
          <w:tab w:leader="none" w:pos="286"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Roche is expected to receive shares of the combined organization equal to 2.85% of the outstanding shares immediately following the closing of the merger, including the Disc pre-closing financing. This stock issuance is pursuant to the contractual terms of the existing license agreement between Roche and Disc and resulted in the settlement of the derivative liability of $9.9 million, increase in additional paid-in capital of $11.0 million and increase in accumulated deficit of $1.1 million.</w:t>
      </w:r>
    </w:p>
    <w:p>
      <w:pPr>
        <w:spacing w:after="0" w:line="177" w:lineRule="exact"/>
        <w:rPr>
          <w:sz w:val="20"/>
          <w:szCs w:val="20"/>
          <w:color w:val="auto"/>
        </w:rPr>
      </w:pPr>
    </w:p>
    <w:p>
      <w:pPr>
        <w:jc w:val="both"/>
        <w:ind w:left="6"/>
        <w:spacing w:after="0" w:line="237" w:lineRule="auto"/>
        <w:rPr>
          <w:sz w:val="20"/>
          <w:szCs w:val="20"/>
          <w:color w:val="auto"/>
        </w:rPr>
      </w:pPr>
      <w:r>
        <w:rPr>
          <w:rFonts w:ascii="Times New Roman" w:cs="Times New Roman" w:eastAsia="Times New Roman" w:hAnsi="Times New Roman"/>
          <w:sz w:val="19"/>
          <w:szCs w:val="19"/>
          <w:color w:val="auto"/>
        </w:rPr>
        <w:t>In addition, for the purposes of the unaudited pro forma condensed combined statements of operations, the settlement of the Roche liability is treated as if the combined organization had issued shares to Roche on January 1, 2021. As the derivative liability would have been settled on January 1, 2021, the historical change in fair value of derivative liability of $(5.1) million and $(3.5) million were removed from the unaudited pro forma condensed combined statements of operations for the year ended December 31, 2021 and the nine months ended September 30, 2022, respectively. The incremental expense upon settlement of $1.1 million is not reflected in the pro forma statements of operations because it is an expense directly related to the settlement of the obligation, which would have increased gradually in the normal course of business leading up to the consummation of the transaction, as if it occurred on January 1, 2021.</w:t>
      </w:r>
    </w:p>
    <w:p>
      <w:pPr>
        <w:spacing w:after="0" w:line="187" w:lineRule="exact"/>
        <w:rPr>
          <w:sz w:val="20"/>
          <w:szCs w:val="20"/>
          <w:color w:val="auto"/>
        </w:rPr>
      </w:pPr>
    </w:p>
    <w:p>
      <w:pPr>
        <w:ind w:left="286" w:right="80" w:hanging="286"/>
        <w:spacing w:after="0" w:line="250" w:lineRule="auto"/>
        <w:tabs>
          <w:tab w:leader="none" w:pos="286"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combined basic and diluted earnings per share have been adjusted to reflect the pro forma net loss for the year ended December 31, 2021 and the nine months ended September 30, 2022. In addition, the weighted average shares outstanding for these periods have been adjusted to give effect to the issuance of Gemini’s common stock in connection with the Disc pre-closing financing and the merger as of September 30, 2022. As the combined organization is in a net loss position for both periods presented, any adjustment for potentially dilutive shares would be anti-dilutive, and as such basic and diluted loss per share are the same for both periods presented. The following table presents the calculation of the pro forma weighted average number of common stock outstanding. The estimated number of shares reflects the impact of the anticipated Gemini 1:10 reverse stock split that is expected to be effected prior to consummation of the merger:</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Nine Months</w:t>
            </w:r>
          </w:p>
        </w:tc>
      </w:tr>
      <w:tr>
        <w:trPr>
          <w:trHeight w:val="188"/>
        </w:trPr>
        <w:tc>
          <w:tcPr>
            <w:tcW w:w="86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Ended</w:t>
            </w:r>
          </w:p>
        </w:tc>
      </w:tr>
      <w:tr>
        <w:trPr>
          <w:trHeight w:val="188"/>
        </w:trPr>
        <w:tc>
          <w:tcPr>
            <w:tcW w:w="86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r>
      <w:tr>
        <w:trPr>
          <w:trHeight w:val="210"/>
        </w:trPr>
        <w:tc>
          <w:tcPr>
            <w:tcW w:w="86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8"/>
                <w:szCs w:val="18"/>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 common shares outstanding-basic and diluted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8,014,679</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8,604,591</w:t>
            </w:r>
          </w:p>
        </w:tc>
        <w:tc>
          <w:tcPr>
            <w:tcW w:w="120" w:type="dxa"/>
            <w:vAlign w:val="bottom"/>
            <w:shd w:val="clear" w:color="auto" w:fill="CCEEFF"/>
          </w:tcPr>
          <w:p>
            <w:pPr>
              <w:spacing w:after="0"/>
              <w:rPr>
                <w:sz w:val="16"/>
                <w:szCs w:val="16"/>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Impact of Disc pre-closing financing assuming consummation as of January 1, 2021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21,314,737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21,314,737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Disc convertible preferred stock assuming conversion as of January 1, 2021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84,166,665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84,166,665</w:t>
            </w:r>
          </w:p>
        </w:tc>
      </w:tr>
      <w:tr>
        <w:trPr>
          <w:trHeight w:val="188"/>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113,496,081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114,085,993</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Application of estimated exchange ratio to historical Disc weighted-average shares outstanding</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0.1096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0.1096</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Adjusted Disc weighted-average shares outstanding</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12,439,170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12,503,824</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Gemini common stock issued to Roche assuming issuance as of January 1, 2021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482,064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482,064</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Impact of Gemini common stock related to stock units that accelerated vesting as of January 1, 2021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33,640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33,640</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common shares issued upon vesting of equity awards for the combined company as of January 1, 2021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23,267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23,267</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Gemini common shares outstanding-basic and diluted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4,036,230</w:t>
            </w:r>
          </w:p>
        </w:tc>
        <w:tc>
          <w:tcPr>
            <w:tcW w:w="2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4,323,617</w:t>
            </w: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combined weighted average number of shares of common stock-basic and diluted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17,014,371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17,366,412</w:t>
            </w:r>
          </w:p>
        </w:tc>
      </w:tr>
      <w:tr>
        <w:trPr>
          <w:trHeight w:val="520"/>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6"/>
      </w:cols>
      <w:pgMar w:left="314"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973E32"/>
    <w:multiLevelType w:val="hybridMultilevel"/>
    <w:lvl w:ilvl="0">
      <w:lvlJc w:val="left"/>
      <w:lvlText w:val="☐"/>
      <w:numFmt w:val="bullet"/>
      <w:start w:val="1"/>
    </w:lvl>
  </w:abstractNum>
  <w:abstractNum w:abstractNumId="1">
    <w:nsid w:val="EAD6F57"/>
    <w:multiLevelType w:val="hybridMultilevel"/>
    <w:lvl w:ilvl="0">
      <w:lvlJc w:val="left"/>
      <w:lvlText w:val="•"/>
      <w:numFmt w:val="bullet"/>
      <w:start w:val="1"/>
    </w:lvl>
  </w:abstractNum>
  <w:abstractNum w:abstractNumId="2">
    <w:nsid w:val="6EC9D844"/>
    <w:multiLevelType w:val="hybridMultilevel"/>
    <w:lvl w:ilvl="0">
      <w:lvlJc w:val="left"/>
      <w:lvlText w:val="%1"/>
      <w:numFmt w:val="decimal"/>
      <w:start w:val="104"/>
    </w:lvl>
  </w:abstractNum>
  <w:abstractNum w:abstractNumId="3">
    <w:nsid w:val="5C49EAEE"/>
    <w:multiLevelType w:val="hybridMultilevel"/>
    <w:lvl w:ilvl="0">
      <w:lvlJc w:val="left"/>
      <w:lvlText w:val="%1."/>
      <w:numFmt w:val="decimal"/>
      <w:start w:val="1"/>
    </w:lvl>
  </w:abstractNum>
  <w:abstractNum w:abstractNumId="4">
    <w:nsid w:val="64AF49B"/>
    <w:multiLevelType w:val="hybridMultilevel"/>
    <w:lvl w:ilvl="0">
      <w:lvlJc w:val="left"/>
      <w:lvlText w:val="%1."/>
      <w:numFmt w:val="decimal"/>
      <w:start w:val="2"/>
    </w:lvl>
  </w:abstractNum>
  <w:abstractNum w:abstractNumId="5">
    <w:nsid w:val="397C46BC"/>
    <w:multiLevelType w:val="hybridMultilevel"/>
    <w:lvl w:ilvl="0">
      <w:lvlJc w:val="left"/>
      <w:lvlText w:val="%1."/>
      <w:numFmt w:val="decimal"/>
      <w:start w:val="1"/>
    </w:lvl>
  </w:abstractNum>
  <w:abstractNum w:abstractNumId="6">
    <w:nsid w:val="7E448DE9"/>
    <w:multiLevelType w:val="hybridMultilevel"/>
    <w:lvl w:ilvl="0">
      <w:lvlJc w:val="left"/>
      <w:lvlText w:val="%1."/>
      <w:numFmt w:val="decimal"/>
      <w:start w:val="2"/>
    </w:lvl>
  </w:abstractNum>
  <w:abstractNum w:abstractNumId="7">
    <w:nsid w:val="5A9CC3E5"/>
    <w:multiLevelType w:val="hybridMultilevel"/>
    <w:lvl w:ilvl="0">
      <w:lvlJc w:val="left"/>
      <w:lvlText w:val="%1."/>
      <w:numFmt w:val="decimal"/>
      <w:start w:val="1"/>
    </w:lvl>
  </w:abstractNum>
  <w:abstractNum w:abstractNumId="8">
    <w:nsid w:val="1AFE3625"/>
    <w:multiLevelType w:val="hybridMultilevel"/>
    <w:lvl w:ilvl="0">
      <w:lvlJc w:val="left"/>
      <w:lvlText w:val="%1."/>
      <w:numFmt w:val="decimal"/>
      <w:start w:val="2"/>
    </w:lvl>
    <w:lvl w:ilvl="1">
      <w:lvlJc w:val="left"/>
      <w:lvlText w:val="(%2)"/>
      <w:numFmt w:val="lowerLetter"/>
      <w:start w:val="1"/>
    </w:lvl>
  </w:abstractNum>
  <w:abstractNum w:abstractNumId="9">
    <w:nsid w:val="3CA88ECF"/>
    <w:multiLevelType w:val="hybridMultilevel"/>
    <w:lvl w:ilvl="0">
      <w:lvlJc w:val="left"/>
      <w:lvlText w:val="%1"/>
      <w:numFmt w:val="lowerLetter"/>
      <w:start w:val="1"/>
    </w:lvl>
    <w:lvl w:ilvl="1">
      <w:lvlJc w:val="left"/>
      <w:lvlText w:val="(%2)"/>
      <w:numFmt w:val="lowerLetter"/>
      <w:start w:val="2"/>
    </w:lvl>
  </w:abstractNum>
  <w:abstractNum w:abstractNumId="10">
    <w:nsid w:val="6EBE4208"/>
    <w:multiLevelType w:val="hybridMultilevel"/>
    <w:lvl w:ilvl="0">
      <w:lvlJc w:val="left"/>
      <w:lvlText w:val="%1."/>
      <w:numFmt w:val="lowerLetter"/>
      <w:start w:val="1"/>
    </w:lvl>
    <w:lvl w:ilvl="1">
      <w:lvlJc w:val="left"/>
      <w:lvlText w:val="%2"/>
      <w:numFmt w:val="lowerLetter"/>
      <w:start w:val="1"/>
    </w:lvl>
  </w:abstractNum>
  <w:abstractNum w:abstractNumId="11">
    <w:nsid w:val="C058D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2">
    <w:nsid w:val="CBE5BE9"/>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13">
    <w:nsid w:val="3102BBE2"/>
    <w:multiLevelType w:val="hybridMultilevel"/>
    <w:lvl w:ilvl="0">
      <w:lvlJc w:val="left"/>
      <w:lvlText w:val="(%1)"/>
      <w:numFmt w:val="lowerLetter"/>
      <w:start w:val="3"/>
    </w:lvl>
  </w:abstractNum>
  <w:abstractNum w:abstractNumId="14">
    <w:nsid w:val="26A02C5E"/>
    <w:multiLevelType w:val="hybridMultilevel"/>
    <w:lvl w:ilvl="0">
      <w:lvlJc w:val="left"/>
      <w:lvlText w:val="(%1)"/>
      <w:numFmt w:val="lowerLetter"/>
      <w:start w:val="6"/>
    </w:lvl>
  </w:abstractNum>
  <w:abstractNum w:abstractNumId="15">
    <w:nsid w:val="541C8153"/>
    <w:multiLevelType w:val="hybridMultilevel"/>
    <w:lvl w:ilvl="0">
      <w:lvlJc w:val="left"/>
      <w:lvlText w:val="(%1)"/>
      <w:numFmt w:val="lowerLetter"/>
      <w:start w:val="11"/>
    </w:lvl>
  </w:abstractNum>
  <w:abstractNum w:abstractNumId="16">
    <w:nsid w:val="67906F6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
    <w:nsid w:val="10DB9DA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8">
    <w:nsid w:val="697D2D2"/>
    <w:multiLevelType w:val="hybridMultilevel"/>
    <w:lvl w:ilvl="0">
      <w:lvlJc w:val="left"/>
      <w:lvlText w:val="(%1)"/>
      <w:numFmt w:val="lowerLetter"/>
      <w:start w:val="2"/>
    </w:lvl>
  </w:abstractNum>
  <w:abstractNum w:abstractNumId="19">
    <w:nsid w:val="6D68AB2"/>
    <w:multiLevelType w:val="hybridMultilevel"/>
    <w:lvl w:ilvl="0">
      <w:lvlJc w:val="left"/>
      <w:lvlText w:val="(%1)"/>
      <w:numFmt w:val="lowerLetter"/>
      <w:start w:val="4"/>
    </w:lvl>
  </w:abstractNum>
  <w:abstractNum w:abstractNumId="20">
    <w:nsid w:val="3A966CD0"/>
    <w:multiLevelType w:val="hybridMultilevel"/>
    <w:lvl w:ilvl="0">
      <w:lvlJc w:val="left"/>
      <w:lvlText w:val="%1."/>
      <w:numFmt w:val="decimal"/>
      <w:start w:val="6"/>
    </w:lvl>
    <w:lvl w:ilvl="1">
      <w:lvlJc w:val="left"/>
      <w:lvlText w:val="(%2)"/>
      <w:numFmt w:val="lowerLetter"/>
      <w:start w:val="1"/>
    </w:lvl>
  </w:abstractNum>
  <w:abstractNum w:abstractNumId="21">
    <w:nsid w:val="63F37E85"/>
    <w:multiLevelType w:val="hybridMultilevel"/>
    <w:lvl w:ilvl="0">
      <w:lvlJc w:val="left"/>
      <w:lvlText w:val="(%1)"/>
      <w:numFmt w:val="lowerLetter"/>
      <w:start w:val="6"/>
    </w:lvl>
  </w:abstractNum>
  <w:abstractNum w:abstractNumId="22">
    <w:nsid w:val="5895F5FA"/>
    <w:multiLevelType w:val="hybridMultilevel"/>
    <w:lvl w:ilvl="0">
      <w:lvlJc w:val="left"/>
      <w:lvlText w:val="●"/>
      <w:numFmt w:val="bullet"/>
      <w:start w:val="1"/>
    </w:lvl>
  </w:abstractNum>
  <w:abstractNum w:abstractNumId="23">
    <w:nsid w:val="38A5D054"/>
    <w:multiLevelType w:val="hybridMultilevel"/>
    <w:lvl w:ilvl="0">
      <w:lvlJc w:val="left"/>
      <w:lvlText w:val="%1."/>
      <w:numFmt w:val="decimal"/>
      <w:start w:val="1"/>
    </w:lvl>
    <w:lvl w:ilvl="1">
      <w:lvlJc w:val="left"/>
      <w:lvlText w:val="(%2)"/>
      <w:numFmt w:val="lowerLetter"/>
      <w:start w:val="1"/>
    </w:lvl>
  </w:abstractNum>
  <w:abstractNum w:abstractNumId="24">
    <w:nsid w:val="F3F09D8"/>
    <w:multiLevelType w:val="hybridMultilevel"/>
    <w:lvl w:ilvl="0">
      <w:lvlJc w:val="left"/>
      <w:lvlText w:val="%1."/>
      <w:numFmt w:val="decimal"/>
      <w:start w:val="3"/>
    </w:lvl>
    <w:lvl w:ilvl="1">
      <w:lvlJc w:val="left"/>
      <w:lvlText w:val="(%2)"/>
      <w:numFmt w:val="lowerLetter"/>
      <w:start w:val="1"/>
    </w:lvl>
  </w:abstractNum>
  <w:abstractNum w:abstractNumId="25">
    <w:nsid w:val="4B793735"/>
    <w:multiLevelType w:val="hybridMultilevel"/>
    <w:lvl w:ilvl="0">
      <w:lvlJc w:val="left"/>
      <w:lvlText w:val="(%1)"/>
      <w:numFmt w:val="lowerLetter"/>
      <w:start w:val="2"/>
    </w:lvl>
  </w:abstractNum>
  <w:abstractNum w:abstractNumId="26">
    <w:nsid w:val="4A10B4E8"/>
    <w:multiLevelType w:val="hybridMultilevel"/>
    <w:lvl w:ilvl="0">
      <w:lvlJc w:val="left"/>
      <w:lvlText w:val="(%1)"/>
      <w:numFmt w:val="lowerLetter"/>
      <w:start w:val="3"/>
    </w:lvl>
  </w:abstractNum>
  <w:abstractNum w:abstractNumId="27">
    <w:nsid w:val="43D3BCD4"/>
    <w:multiLevelType w:val="hybridMultilevel"/>
    <w:lvl w:ilvl="0">
      <w:lvlJc w:val="left"/>
      <w:lvlText w:val="(%1)"/>
      <w:numFmt w:val="lowerLetter"/>
      <w:start w:val="4"/>
    </w:lvl>
  </w:abstractNum>
  <w:abstractNum w:abstractNumId="28">
    <w:nsid w:val="4C2A7166"/>
    <w:multiLevelType w:val="hybridMultilevel"/>
    <w:lvl w:ilvl="0">
      <w:lvlJc w:val="left"/>
      <w:lvlText w:val="%1"/>
      <w:numFmt w:val="decimal"/>
      <w:start w:val="1"/>
    </w:lvl>
    <w:lvl w:ilvl="1">
      <w:lvlJc w:val="left"/>
      <w:lvlText w:val="(%2)"/>
      <w:numFmt w:val="lowerLetter"/>
      <w:start w:val="1"/>
    </w:lvl>
  </w:abstractNum>
  <w:abstractNum w:abstractNumId="29">
    <w:nsid w:val="2E534A82"/>
    <w:multiLevelType w:val="hybridMultilevel"/>
    <w:lvl w:ilvl="0">
      <w:lvlJc w:val="left"/>
      <w:lvlText w:val="%1."/>
      <w:numFmt w:val="decimal"/>
      <w:start w:val="5"/>
    </w:lvl>
    <w:lvl w:ilvl="1">
      <w:lvlJc w:val="left"/>
      <w:lvlText w:val="%2"/>
      <w:numFmt w:val="lowerLetter"/>
      <w:start w:val="1"/>
    </w:lvl>
  </w:abstractNum>
  <w:abstractNum w:abstractNumId="30">
    <w:nsid w:val="26F2D364"/>
    <w:multiLevelType w:val="hybridMultilevel"/>
    <w:lvl w:ilvl="0">
      <w:lvlJc w:val="left"/>
      <w:lvlText w:val="%1."/>
      <w:numFmt w:val="decimal"/>
      <w:start w:val="1"/>
    </w:lvl>
  </w:abstractNum>
  <w:abstractNum w:abstractNumId="31">
    <w:nsid w:val="71C1AF98"/>
    <w:multiLevelType w:val="hybridMultilevel"/>
    <w:lvl w:ilvl="0">
      <w:lvlJc w:val="left"/>
      <w:lvlText w:val="%1."/>
      <w:numFmt w:val="decimal"/>
      <w:start w:val="5"/>
    </w:lvl>
  </w:abstractNum>
  <w:abstractNum w:abstractNumId="32">
    <w:nsid w:val="3D00B9D9"/>
    <w:multiLevelType w:val="hybridMultilevel"/>
    <w:lvl w:ilvl="0">
      <w:lvlJc w:val="left"/>
      <w:lvlText w:val="(%1)"/>
      <w:numFmt w:val="lowerLetter"/>
      <w:start w:val="1"/>
    </w:lvl>
  </w:abstractNum>
  <w:abstractNum w:abstractNumId="33">
    <w:nsid w:val="15BCABA8"/>
    <w:multiLevelType w:val="hybridMultilevel"/>
    <w:lvl w:ilvl="0">
      <w:lvlJc w:val="left"/>
      <w:lvlText w:val="(%1)"/>
      <w:numFmt w:val="lowerLetter"/>
      <w:start w:val="4"/>
    </w:lvl>
  </w:abstractNum>
  <w:abstractNum w:abstractNumId="34">
    <w:nsid w:val="4E0B9A87"/>
    <w:multiLevelType w:val="hybridMultilevel"/>
    <w:lvl w:ilvl="0">
      <w:lvlJc w:val="left"/>
      <w:lvlText w:val="(%1)"/>
      <w:numFmt w:val="lowerLetter"/>
      <w:start w:val="1"/>
    </w:lvl>
  </w:abstractNum>
  <w:abstractNum w:abstractNumId="35">
    <w:nsid w:val="434BAE75"/>
    <w:multiLevelType w:val="hybridMultilevel"/>
    <w:lvl w:ilvl="0">
      <w:lvlJc w:val="left"/>
      <w:lvlText w:val="(%1)"/>
      <w:numFmt w:val="lowerLetter"/>
      <w:start w:val="1"/>
    </w:lvl>
  </w:abstractNum>
  <w:abstractNum w:abstractNumId="36">
    <w:nsid w:val="4F38F265"/>
    <w:multiLevelType w:val="hybridMultilevel"/>
    <w:lvl w:ilvl="0">
      <w:lvlJc w:val="left"/>
      <w:lvlText w:val="(%1)"/>
      <w:numFmt w:val="lowerLetter"/>
      <w:start w:val="2"/>
    </w:lvl>
  </w:abstractNum>
  <w:abstractNum w:abstractNumId="37">
    <w:nsid w:val="4C502870"/>
    <w:multiLevelType w:val="hybridMultilevel"/>
    <w:lvl w:ilvl="0">
      <w:lvlJc w:val="left"/>
      <w:lvlText w:val="(%1)"/>
      <w:numFmt w:val="lowerLetter"/>
      <w:start w:val="1"/>
    </w:lvl>
  </w:abstractNum>
  <w:abstractNum w:abstractNumId="38">
    <w:nsid w:val="1DE8725A"/>
    <w:multiLevelType w:val="hybridMultilevel"/>
    <w:lvl w:ilvl="0">
      <w:lvlJc w:val="left"/>
      <w:lvlText w:val="(%1)"/>
      <w:numFmt w:val="lowerLetter"/>
      <w:start w:val="2"/>
    </w:lvl>
  </w:abstractNum>
  <w:abstractNum w:abstractNumId="39">
    <w:nsid w:val="6A37288A"/>
    <w:multiLevelType w:val="hybridMultilevel"/>
    <w:lvl w:ilvl="0">
      <w:lvlJc w:val="left"/>
      <w:lvlText w:val="(%1)"/>
      <w:numFmt w:val="lowerLetter"/>
      <w:start w:val="1"/>
    </w:lvl>
  </w:abstractNum>
  <w:abstractNum w:abstractNumId="40">
    <w:nsid w:val="8F8B73F"/>
    <w:multiLevelType w:val="hybridMultilevel"/>
    <w:lvl w:ilvl="0">
      <w:lvlJc w:val="left"/>
      <w:lvlText w:val="(%1)"/>
      <w:numFmt w:val="lowerLetter"/>
      <w:start w:val="3"/>
    </w:lvl>
  </w:abstractNum>
  <w:abstractNum w:abstractNumId="41">
    <w:nsid w:val="CA6B462"/>
    <w:multiLevelType w:val="hybridMultilevel"/>
    <w:lvl w:ilvl="0">
      <w:lvlJc w:val="left"/>
      <w:lvlText w:val="(%1)"/>
      <w:numFmt w:val="lowerLetter"/>
      <w:start w:val="1"/>
    </w:lvl>
  </w:abstractNum>
  <w:abstractNum w:abstractNumId="42">
    <w:nsid w:val="763CB680"/>
    <w:multiLevelType w:val="hybridMultilevel"/>
    <w:lvl w:ilvl="0">
      <w:lvlJc w:val="left"/>
      <w:lvlText w:val="(%1)"/>
      <w:numFmt w:val="lowerLetter"/>
      <w:start w:val="2"/>
    </w:lvl>
  </w:abstractNum>
  <w:abstractNum w:abstractNumId="43">
    <w:nsid w:val="15B71329"/>
    <w:multiLevelType w:val="hybridMultilevel"/>
    <w:lvl w:ilvl="0">
      <w:lvlJc w:val="left"/>
      <w:lvlText w:val="(%1)"/>
      <w:numFmt w:val="lowerLetter"/>
      <w:start w:val="1"/>
    </w:lvl>
  </w:abstractNum>
  <w:abstractNum w:abstractNumId="44">
    <w:nsid w:val="3DA97044"/>
    <w:multiLevelType w:val="hybridMultilevel"/>
    <w:lvl w:ilvl="0">
      <w:lvlJc w:val="left"/>
      <w:lvlText w:val="(%1)"/>
      <w:numFmt w:val="lowerLetter"/>
      <w:start w:val="8"/>
    </w:lvl>
  </w:abstractNum>
  <w:abstractNum w:abstractNumId="45">
    <w:nsid w:val="1CDCE2DE"/>
    <w:multiLevelType w:val="hybridMultilevel"/>
    <w:lvl w:ilvl="0">
      <w:lvlJc w:val="left"/>
      <w:lvlText w:val="(%1)"/>
      <w:numFmt w:val="lowerLetter"/>
      <w:start w:val="13"/>
    </w:lvl>
  </w:abstractNum>
  <w:abstractNum w:abstractNumId="46">
    <w:nsid w:val="69D3947C"/>
    <w:multiLevelType w:val="hybridMultilevel"/>
    <w:lvl w:ilvl="0">
      <w:lvlJc w:val="left"/>
      <w:lvlText w:val="(%1)"/>
      <w:numFmt w:val="lowerLetter"/>
      <w:start w:val="1"/>
    </w:lvl>
  </w:abstractNum>
  <w:abstractNum w:abstractNumId="47">
    <w:nsid w:val="2539DFA5"/>
    <w:multiLevelType w:val="hybridMultilevel"/>
    <w:lvl w:ilvl="0">
      <w:lvlJc w:val="left"/>
      <w:lvlText w:val="(%1)"/>
      <w:numFmt w:val="lowerLetter"/>
      <w:start w:val="4"/>
    </w:lvl>
  </w:abstractNum>
  <w:abstractNum w:abstractNumId="48">
    <w:nsid w:val="2DB88089"/>
    <w:multiLevelType w:val="hybridMultilevel"/>
    <w:lvl w:ilvl="0">
      <w:lvlJc w:val="left"/>
      <w:lvlText w:val="(%1)"/>
      <w:numFmt w:val="lowerLetter"/>
      <w:start w:val="1"/>
    </w:lvl>
  </w:abstractNum>
  <w:abstractNum w:abstractNumId="49">
    <w:nsid w:val="706B674E"/>
    <w:multiLevelType w:val="hybridMultilevel"/>
    <w:lvl w:ilvl="0">
      <w:lvlJc w:val="left"/>
      <w:lvlText w:val="(%1)"/>
      <w:numFmt w:val="lowerLetter"/>
      <w:start w:val="6"/>
    </w:lvl>
  </w:abstractNum>
  <w:abstractNum w:abstractNumId="50">
    <w:nsid w:val="2C106A57"/>
    <w:multiLevelType w:val="hybridMultilevel"/>
    <w:lvl w:ilvl="0">
      <w:lvlJc w:val="left"/>
      <w:lvlText w:val="(%1)"/>
      <w:numFmt w:val="lowerLetter"/>
      <w:start w:val="1"/>
    </w:lvl>
  </w:abstractNum>
  <w:abstractNum w:abstractNumId="51">
    <w:nsid w:val="684EED59"/>
    <w:multiLevelType w:val="hybridMultilevel"/>
    <w:lvl w:ilvl="0">
      <w:lvlJc w:val="left"/>
      <w:lvlText w:val="(%1)"/>
      <w:numFmt w:val="lowerRoman"/>
      <w:start w:val="1"/>
    </w:lvl>
  </w:abstractNum>
  <w:abstractNum w:abstractNumId="52">
    <w:nsid w:val="545EE5D3"/>
    <w:multiLevelType w:val="hybridMultilevel"/>
    <w:lvl w:ilvl="0">
      <w:lvlJc w:val="left"/>
      <w:lvlText w:val="(%1)"/>
      <w:numFmt w:val="lowerLetter"/>
      <w:start w:val="2"/>
    </w:lvl>
  </w:abstractNum>
  <w:abstractNum w:abstractNumId="53">
    <w:nsid w:val="4A66051"/>
    <w:multiLevelType w:val="hybridMultilevel"/>
    <w:lvl w:ilvl="0">
      <w:lvlJc w:val="left"/>
      <w:lvlText w:val="(%1)"/>
      <w:numFmt w:val="lowerLetter"/>
      <w:start w:val="1"/>
    </w:lvl>
  </w:abstractNum>
  <w:abstractNum w:abstractNumId="54">
    <w:nsid w:val="20F4BDAD"/>
    <w:multiLevelType w:val="hybridMultilevel"/>
    <w:lvl w:ilvl="0">
      <w:lvlJc w:val="left"/>
      <w:lvlText w:val="(%1)"/>
      <w:numFmt w:val="lowerLetter"/>
      <w:start w:val="2"/>
    </w:lvl>
  </w:abstractNum>
  <w:abstractNum w:abstractNumId="55">
    <w:nsid w:val="639DEFAC"/>
    <w:multiLevelType w:val="hybridMultilevel"/>
    <w:lvl w:ilvl="0">
      <w:lvlJc w:val="left"/>
      <w:lvlText w:val="(%1)"/>
      <w:numFmt w:val="lowerLetter"/>
      <w:start w:val="1"/>
    </w:lvl>
  </w:abstractNum>
  <w:abstractNum w:abstractNumId="56">
    <w:nsid w:val="501F9786"/>
    <w:multiLevelType w:val="hybridMultilevel"/>
    <w:lvl w:ilvl="0">
      <w:lvlJc w:val="left"/>
      <w:lvlText w:val="(%1)"/>
      <w:numFmt w:val="lowerLetter"/>
      <w:start w:val="1"/>
    </w:lvl>
    <w:lvl w:ilvl="1">
      <w:lvlJc w:val="left"/>
      <w:lvlText w:val="(%2)"/>
      <w:numFmt w:val="lowerRoman"/>
      <w:start w:val="1"/>
    </w:lvl>
  </w:abstractNum>
  <w:abstractNum w:abstractNumId="57">
    <w:nsid w:val="6B057295"/>
    <w:multiLevelType w:val="hybridMultilevel"/>
    <w:lvl w:ilvl="0">
      <w:lvlJc w:val="left"/>
      <w:lvlText w:val="(%1)"/>
      <w:numFmt w:val="lowerRoman"/>
      <w:start w:val="3"/>
    </w:lvl>
  </w:abstractNum>
  <w:abstractNum w:abstractNumId="58">
    <w:nsid w:val="2771AC80"/>
    <w:multiLevelType w:val="hybridMultilevel"/>
    <w:lvl w:ilvl="0">
      <w:lvlJc w:val="left"/>
      <w:lvlText w:val="(%1)"/>
      <w:numFmt w:val="lowerLetter"/>
      <w:start w:val="3"/>
    </w:lvl>
    <w:lvl w:ilvl="1">
      <w:lvlJc w:val="left"/>
      <w:lvlText w:val="(%2)"/>
      <w:numFmt w:val="lowerRoman"/>
      <w:start w:val="1"/>
    </w:lvl>
  </w:abstractNum>
  <w:abstractNum w:abstractNumId="59">
    <w:nsid w:val="1C4A08EC"/>
    <w:multiLevelType w:val="hybridMultilevel"/>
    <w:lvl w:ilvl="0">
      <w:lvlJc w:val="left"/>
      <w:lvlText w:val="%1"/>
      <w:numFmt w:val="lowerLetter"/>
      <w:start w:val="1"/>
    </w:lvl>
    <w:lvl w:ilvl="1">
      <w:lvlJc w:val="left"/>
      <w:lvlText w:val="(%2)"/>
      <w:numFmt w:val="lowerRoman"/>
      <w:start w:val="3"/>
    </w:lvl>
  </w:abstractNum>
  <w:abstractNum w:abstractNumId="60">
    <w:nsid w:val="1958BD17"/>
    <w:multiLevelType w:val="hybridMultilevel"/>
    <w:lvl w:ilvl="0">
      <w:lvlJc w:val="left"/>
      <w:lvlText w:val="(%1)"/>
      <w:numFmt w:val="lowerLetter"/>
      <w:start w:val="4"/>
    </w:lvl>
    <w:lvl w:ilvl="1">
      <w:lvlJc w:val="left"/>
      <w:lvlText w:val="%2"/>
      <w:numFmt w:val="lowerRoman"/>
      <w:start w:val="1"/>
    </w:lvl>
  </w:abstractNum>
  <w:abstractNum w:abstractNumId="61">
    <w:nsid w:val="4E647FE4"/>
    <w:multiLevelType w:val="hybridMultilevel"/>
    <w:lvl w:ilvl="0">
      <w:lvlJc w:val="left"/>
      <w:lvlText w:val="(%1)"/>
      <w:numFmt w:val="lowerLetter"/>
      <w:start w:val="8"/>
    </w:lvl>
  </w:abstractNum>
  <w:abstractNum w:abstractNumId="62">
    <w:nsid w:val="E0BB885"/>
    <w:multiLevelType w:val="hybridMultilevel"/>
    <w:lvl w:ilvl="0">
      <w:lvlJc w:val="left"/>
      <w:lvlText w:val="(%1)"/>
      <w:numFmt w:val="lowerLetter"/>
      <w:start w:val="1"/>
    </w:lvl>
  </w:abstractNum>
  <w:abstractNum w:abstractNumId="63">
    <w:nsid w:val="565976F1"/>
    <w:multiLevelType w:val="hybridMultilevel"/>
    <w:lvl w:ilvl="0">
      <w:lvlJc w:val="left"/>
      <w:lvlText w:val="(%1)"/>
      <w:numFmt w:val="lowerLetter"/>
      <w:start w:val="2"/>
    </w:lvl>
  </w:abstractNum>
  <w:abstractNum w:abstractNumId="64">
    <w:nsid w:val="64212B8C"/>
    <w:multiLevelType w:val="hybridMultilevel"/>
    <w:lvl w:ilvl="0">
      <w:lvlJc w:val="left"/>
      <w:lvlText w:val="(%1)"/>
      <w:numFmt w:val="lowerLetter"/>
      <w:start w:val="1"/>
    </w:lvl>
  </w:abstractNum>
  <w:abstractNum w:abstractNumId="65">
    <w:nsid w:val="5C17530C"/>
    <w:multiLevelType w:val="hybridMultilevel"/>
    <w:lvl w:ilvl="0">
      <w:lvlJc w:val="left"/>
      <w:lvlText w:val="(%1)"/>
      <w:numFmt w:val="lowerLetter"/>
      <w:start w:val="2"/>
    </w:lvl>
  </w:abstractNum>
  <w:abstractNum w:abstractNumId="66">
    <w:nsid w:val="19A52566"/>
    <w:multiLevelType w:val="hybridMultilevel"/>
    <w:lvl w:ilvl="0">
      <w:lvlJc w:val="left"/>
      <w:lvlText w:val="(%1)"/>
      <w:numFmt w:val="lowerLetter"/>
      <w:start w:val="1"/>
    </w:lvl>
  </w:abstractNum>
  <w:abstractNum w:abstractNumId="67">
    <w:nsid w:val="335A1DF1"/>
    <w:multiLevelType w:val="hybridMultilevel"/>
    <w:lvl w:ilvl="0">
      <w:lvlJc w:val="left"/>
      <w:lvlText w:val="(%1)"/>
      <w:numFmt w:val="lowerLetter"/>
      <w:start w:val="3"/>
    </w:lvl>
  </w:abstractNum>
  <w:abstractNum w:abstractNumId="68">
    <w:nsid w:val="28677B7C"/>
    <w:multiLevelType w:val="hybridMultilevel"/>
    <w:lvl w:ilvl="0">
      <w:lvlJc w:val="left"/>
      <w:lvlText w:val="(%1)"/>
      <w:numFmt w:val="lowerLetter"/>
      <w:start w:val="1"/>
    </w:lvl>
  </w:abstractNum>
  <w:abstractNum w:abstractNumId="69">
    <w:nsid w:val="378D97C0"/>
    <w:multiLevelType w:val="hybridMultilevel"/>
    <w:lvl w:ilvl="0">
      <w:lvlJc w:val="left"/>
      <w:lvlText w:val="(%1)"/>
      <w:numFmt w:val="lowerLetter"/>
      <w:start w:val="3"/>
    </w:lvl>
  </w:abstractNum>
  <w:abstractNum w:abstractNumId="70">
    <w:nsid w:val="1D91467C"/>
    <w:multiLevelType w:val="hybridMultilevel"/>
    <w:lvl w:ilvl="0">
      <w:lvlJc w:val="left"/>
      <w:lvlText w:val="(%1)"/>
      <w:numFmt w:val="lowerLetter"/>
      <w:start w:val="1"/>
    </w:lvl>
  </w:abstractNum>
  <w:abstractNum w:abstractNumId="71">
    <w:nsid w:val="316032BB"/>
    <w:multiLevelType w:val="hybridMultilevel"/>
    <w:lvl w:ilvl="0">
      <w:lvlJc w:val="left"/>
      <w:lvlText w:val="(%1)"/>
      <w:numFmt w:val="lowerLetter"/>
      <w:start w:val="5"/>
    </w:lvl>
  </w:abstractNum>
  <w:abstractNum w:abstractNumId="72">
    <w:nsid w:val="44344C22"/>
    <w:multiLevelType w:val="hybridMultilevel"/>
    <w:lvl w:ilvl="0">
      <w:lvlJc w:val="left"/>
      <w:lvlText w:val="(%1)"/>
      <w:numFmt w:val="lowerLetter"/>
      <w:start w:val="1"/>
    </w:lvl>
  </w:abstractNum>
  <w:abstractNum w:abstractNumId="73">
    <w:nsid w:val="13CDFCFC"/>
    <w:multiLevelType w:val="hybridMultilevel"/>
    <w:lvl w:ilvl="0">
      <w:lvlJc w:val="left"/>
      <w:lvlText w:val="(%1)"/>
      <w:numFmt w:val="lowerLetter"/>
      <w:start w:val="3"/>
    </w:lvl>
  </w:abstractNum>
  <w:abstractNum w:abstractNumId="74">
    <w:nsid w:val="471745E4"/>
    <w:multiLevelType w:val="hybridMultilevel"/>
    <w:lvl w:ilvl="0">
      <w:lvlJc w:val="left"/>
      <w:lvlText w:val="(%1)"/>
      <w:numFmt w:val="lowerLetter"/>
      <w:start w:val="1"/>
    </w:lvl>
  </w:abstractNum>
  <w:abstractNum w:abstractNumId="75">
    <w:nsid w:val="1DDBC66"/>
    <w:multiLevelType w:val="hybridMultilevel"/>
    <w:lvl w:ilvl="0">
      <w:lvlJc w:val="left"/>
      <w:lvlText w:val="(%1)"/>
      <w:numFmt w:val="lowerLetter"/>
      <w:start w:val="1"/>
    </w:lvl>
  </w:abstractNum>
  <w:abstractNum w:abstractNumId="76">
    <w:nsid w:val="30AADFDA"/>
    <w:multiLevelType w:val="hybridMultilevel"/>
    <w:lvl w:ilvl="0">
      <w:lvlJc w:val="left"/>
      <w:lvlText w:val="(%1)"/>
      <w:numFmt w:val="lowerLetter"/>
      <w:start w:val="1"/>
    </w:lvl>
  </w:abstractNum>
  <w:abstractNum w:abstractNumId="77">
    <w:nsid w:val="30EADA61"/>
    <w:multiLevelType w:val="hybridMultilevel"/>
    <w:lvl w:ilvl="0">
      <w:lvlJc w:val="left"/>
      <w:lvlText w:val="(%1)"/>
      <w:numFmt w:val="lowerRoman"/>
      <w:start w:val="1"/>
    </w:lvl>
  </w:abstractNum>
  <w:abstractNum w:abstractNumId="78">
    <w:nsid w:val="27179C0B"/>
    <w:multiLevelType w:val="hybridMultilevel"/>
    <w:lvl w:ilvl="0">
      <w:lvlJc w:val="left"/>
      <w:lvlText w:val="1"/>
      <w:numFmt w:val="bullet"/>
      <w:start w:val="1"/>
    </w:lvl>
  </w:abstractNum>
  <w:abstractNum w:abstractNumId="79">
    <w:nsid w:val="5E636063"/>
    <w:multiLevelType w:val="hybridMultilevel"/>
    <w:lvl w:ilvl="0">
      <w:lvlJc w:val="left"/>
      <w:lvlText w:val="%1"/>
      <w:numFmt w:val="upperLetter"/>
      <w:start w:val="1"/>
    </w:lvl>
    <w:lvl w:ilvl="1">
      <w:lvlJc w:val="left"/>
      <w:lvlText w:val="(%2)"/>
      <w:numFmt w:val="lowerRoman"/>
      <w:start w:val="4"/>
    </w:lvl>
  </w:abstractNum>
  <w:abstractNum w:abstractNumId="80">
    <w:nsid w:val="215641AF"/>
    <w:multiLevelType w:val="hybridMultilevel"/>
    <w:lvl w:ilvl="0">
      <w:lvlJc w:val="left"/>
      <w:lvlText w:val="(%1)"/>
      <w:numFmt w:val="upperLetter"/>
      <w:start w:val="3"/>
    </w:lvl>
    <w:lvl w:ilvl="1">
      <w:lvlJc w:val="left"/>
      <w:lvlText w:val="%2"/>
      <w:numFmt w:val="lowerRoman"/>
      <w:start w:val="1"/>
    </w:lvl>
  </w:abstractNum>
  <w:abstractNum w:abstractNumId="81">
    <w:nsid w:val="53280662"/>
    <w:multiLevelType w:val="hybridMultilevel"/>
    <w:lvl w:ilvl="0">
      <w:lvlJc w:val="left"/>
      <w:lvlText w:val="(%1)"/>
      <w:numFmt w:val="lowerLetter"/>
      <w:start w:val="3"/>
    </w:lvl>
  </w:abstractNum>
  <w:abstractNum w:abstractNumId="82">
    <w:nsid w:val="46B24DBC"/>
    <w:multiLevelType w:val="hybridMultilevel"/>
    <w:lvl w:ilvl="0">
      <w:lvlJc w:val="left"/>
      <w:lvlText w:val="(%1)"/>
      <w:numFmt w:val="lowerRoman"/>
      <w:start w:val="1"/>
    </w:lvl>
  </w:abstractNum>
  <w:abstractNum w:abstractNumId="83">
    <w:nsid w:val="75B52783"/>
    <w:multiLevelType w:val="hybridMultilevel"/>
    <w:lvl w:ilvl="0">
      <w:lvlJc w:val="left"/>
      <w:lvlText w:val="(%1)"/>
      <w:numFmt w:val="lowerRoman"/>
      <w:start w:val="4"/>
    </w:lvl>
  </w:abstractNum>
  <w:abstractNum w:abstractNumId="84">
    <w:nsid w:val="57CE66B4"/>
    <w:multiLevelType w:val="hybridMultilevel"/>
    <w:lvl w:ilvl="0">
      <w:lvlJc w:val="left"/>
      <w:lvlText w:val="(%1)"/>
      <w:numFmt w:val="lowerLetter"/>
      <w:start w:val="4"/>
    </w:lvl>
  </w:abstractNum>
  <w:abstractNum w:abstractNumId="85">
    <w:nsid w:val="67A70B69"/>
    <w:multiLevelType w:val="hybridMultilevel"/>
    <w:lvl w:ilvl="0">
      <w:lvlJc w:val="left"/>
      <w:lvlText w:val="3"/>
      <w:numFmt w:val="bullet"/>
      <w:start w:val="1"/>
    </w:lvl>
  </w:abstractNum>
  <w:abstractNum w:abstractNumId="86">
    <w:nsid w:val="5953172F"/>
    <w:multiLevelType w:val="hybridMultilevel"/>
    <w:lvl w:ilvl="0">
      <w:lvlJc w:val="left"/>
      <w:lvlText w:val="(%1)"/>
      <w:numFmt w:val="lowerLetter"/>
      <w:start w:val="9"/>
    </w:lvl>
  </w:abstractNum>
  <w:abstractNum w:abstractNumId="87">
    <w:nsid w:val="27EDFE3A"/>
    <w:multiLevelType w:val="hybridMultilevel"/>
    <w:lvl w:ilvl="0">
      <w:lvlJc w:val="left"/>
      <w:lvlText w:val="(%1)"/>
      <w:numFmt w:val="lowerLetter"/>
      <w:start w:val="1"/>
    </w:lvl>
  </w:abstractNum>
  <w:abstractNum w:abstractNumId="88">
    <w:nsid w:val="52AC7DFF"/>
    <w:multiLevelType w:val="hybridMultilevel"/>
    <w:lvl w:ilvl="0">
      <w:lvlJc w:val="left"/>
      <w:lvlText w:val="(%1)"/>
      <w:numFmt w:val="lowerLetter"/>
      <w:start w:val="4"/>
    </w:lvl>
  </w:abstractNum>
  <w:abstractNum w:abstractNumId="89">
    <w:nsid w:val="C4C3AF"/>
    <w:multiLevelType w:val="hybridMultilevel"/>
    <w:lvl w:ilvl="0">
      <w:lvlJc w:val="left"/>
      <w:lvlText w:val="(%1)"/>
      <w:numFmt w:val="lowerLetter"/>
      <w:start w:val="1"/>
    </w:lvl>
  </w:abstractNum>
  <w:abstractNum w:abstractNumId="90">
    <w:nsid w:val="44380727"/>
    <w:multiLevelType w:val="hybridMultilevel"/>
    <w:lvl w:ilvl="0">
      <w:lvlJc w:val="left"/>
      <w:lvlText w:val="(%1)"/>
      <w:numFmt w:val="lowerLetter"/>
      <w:start w:val="2"/>
    </w:lvl>
  </w:abstractNum>
  <w:abstractNum w:abstractNumId="91">
    <w:nsid w:val="6C053B16"/>
    <w:multiLevelType w:val="hybridMultilevel"/>
    <w:lvl w:ilvl="0">
      <w:lvlJc w:val="left"/>
      <w:lvlText w:val="(%1)"/>
      <w:numFmt w:val="lowerLetter"/>
      <w:start w:val="1"/>
    </w:lvl>
  </w:abstractNum>
  <w:abstractNum w:abstractNumId="92">
    <w:nsid w:val="4F294393"/>
    <w:multiLevelType w:val="hybridMultilevel"/>
    <w:lvl w:ilvl="0">
      <w:lvlJc w:val="left"/>
      <w:lvlText w:val="4"/>
      <w:numFmt w:val="bullet"/>
      <w:start w:val="1"/>
    </w:lvl>
  </w:abstractNum>
  <w:abstractNum w:abstractNumId="93">
    <w:nsid w:val="5243BFAC"/>
    <w:multiLevelType w:val="hybridMultilevel"/>
    <w:lvl w:ilvl="0">
      <w:lvlJc w:val="left"/>
      <w:lvlText w:val="(%1)"/>
      <w:numFmt w:val="lowerLetter"/>
      <w:start w:val="3"/>
    </w:lvl>
  </w:abstractNum>
  <w:abstractNum w:abstractNumId="94">
    <w:nsid w:val="425EB207"/>
    <w:multiLevelType w:val="hybridMultilevel"/>
    <w:lvl w:ilvl="0">
      <w:lvlJc w:val="left"/>
      <w:lvlText w:val="(%1)"/>
      <w:numFmt w:val="lowerLetter"/>
      <w:start w:val="1"/>
    </w:lvl>
  </w:abstractNum>
  <w:abstractNum w:abstractNumId="95">
    <w:nsid w:val="334A6F1F"/>
    <w:multiLevelType w:val="hybridMultilevel"/>
    <w:lvl w:ilvl="0">
      <w:lvlJc w:val="left"/>
      <w:lvlText w:val="%1"/>
      <w:numFmt w:val="decimal"/>
      <w:start w:val="1"/>
    </w:lvl>
    <w:lvl w:ilvl="1">
      <w:lvlJc w:val="left"/>
      <w:lvlText w:val="(%2)"/>
      <w:numFmt w:val="lowerLetter"/>
      <w:start w:val="1"/>
    </w:lvl>
  </w:abstractNum>
  <w:abstractNum w:abstractNumId="96">
    <w:nsid w:val="2E5B12B8"/>
    <w:multiLevelType w:val="hybridMultilevel"/>
    <w:lvl w:ilvl="0">
      <w:lvlJc w:val="left"/>
      <w:lvlText w:val="(%1)"/>
      <w:numFmt w:val="decimal"/>
      <w:start w:val="60"/>
    </w:lvl>
    <w:lvl w:ilvl="1">
      <w:lvlJc w:val="left"/>
      <w:lvlText w:val="(%2)"/>
      <w:numFmt w:val="lowerLetter"/>
      <w:start w:val="2"/>
    </w:lvl>
  </w:abstractNum>
  <w:abstractNum w:abstractNumId="97">
    <w:nsid w:val="5C03D76D"/>
    <w:multiLevelType w:val="hybridMultilevel"/>
    <w:lvl w:ilvl="0">
      <w:lvlJc w:val="left"/>
      <w:lvlText w:val="(%1)"/>
      <w:numFmt w:val="lowerLetter"/>
      <w:start w:val="5"/>
    </w:lvl>
  </w:abstractNum>
  <w:abstractNum w:abstractNumId="98">
    <w:nsid w:val="66A48D11"/>
    <w:multiLevelType w:val="hybridMultilevel"/>
    <w:lvl w:ilvl="0">
      <w:lvlJc w:val="left"/>
      <w:lvlText w:val="(%1)"/>
      <w:numFmt w:val="lowerLetter"/>
      <w:start w:val="1"/>
    </w:lvl>
  </w:abstractNum>
  <w:abstractNum w:abstractNumId="99">
    <w:nsid w:val="56C28E34"/>
    <w:multiLevelType w:val="hybridMultilevel"/>
    <w:lvl w:ilvl="0">
      <w:lvlJc w:val="left"/>
      <w:lvlText w:val="(%1)"/>
      <w:numFmt w:val="lowerLetter"/>
      <w:start w:val="3"/>
    </w:lvl>
  </w:abstractNum>
  <w:abstractNum w:abstractNumId="100">
    <w:nsid w:val="13916F2D"/>
    <w:multiLevelType w:val="hybridMultilevel"/>
    <w:lvl w:ilvl="0">
      <w:lvlJc w:val="left"/>
      <w:lvlText w:val="(%1)"/>
      <w:numFmt w:val="lowerLetter"/>
      <w:start w:val="1"/>
    </w:lvl>
  </w:abstractNum>
  <w:abstractNum w:abstractNumId="101">
    <w:nsid w:val="435D38D"/>
    <w:multiLevelType w:val="hybridMultilevel"/>
    <w:lvl w:ilvl="0">
      <w:lvlJc w:val="left"/>
      <w:lvlText w:val="(%1)"/>
      <w:numFmt w:val="lowerLetter"/>
      <w:start w:val="2"/>
    </w:lvl>
  </w:abstractNum>
  <w:abstractNum w:abstractNumId="102">
    <w:nsid w:val="822C0EF"/>
    <w:multiLevelType w:val="hybridMultilevel"/>
    <w:lvl w:ilvl="0">
      <w:lvlJc w:val="left"/>
      <w:lvlText w:val="(%1)"/>
      <w:numFmt w:val="lowerLetter"/>
      <w:start w:val="1"/>
    </w:lvl>
  </w:abstractNum>
  <w:abstractNum w:abstractNumId="103">
    <w:nsid w:val="57C5BB4F"/>
    <w:multiLevelType w:val="hybridMultilevel"/>
    <w:lvl w:ilvl="0">
      <w:lvlJc w:val="left"/>
      <w:lvlText w:val="%1."/>
      <w:numFmt w:val="decimal"/>
      <w:start w:val="1"/>
    </w:lvl>
  </w:abstractNum>
  <w:abstractNum w:abstractNumId="104">
    <w:nsid w:val="1803D089"/>
    <w:multiLevelType w:val="hybridMultilevel"/>
    <w:lvl w:ilvl="0">
      <w:lvlJc w:val="left"/>
      <w:lvlText w:val="%1"/>
      <w:numFmt w:val="decimal"/>
      <w:start w:val="1"/>
    </w:lvl>
    <w:lvl w:ilvl="1">
      <w:lvlJc w:val="left"/>
      <w:lvlText w:val="(%2)"/>
      <w:numFmt w:val="lowerLetter"/>
      <w:start w:val="1"/>
    </w:lvl>
  </w:abstractNum>
  <w:abstractNum w:abstractNumId="105">
    <w:nsid w:val="4F3A06D4"/>
    <w:multiLevelType w:val="hybridMultilevel"/>
    <w:lvl w:ilvl="0">
      <w:lvlJc w:val="left"/>
      <w:lvlText w:val="%1."/>
      <w:numFmt w:val="decimal"/>
      <w:start w:val="4"/>
    </w:lvl>
    <w:lvl w:ilvl="1">
      <w:lvlJc w:val="left"/>
      <w:lvlText w:val="(%2)"/>
      <w:numFmt w:val="lowerLetter"/>
      <w:start w:val="1"/>
    </w:lvl>
  </w:abstractNum>
  <w:abstractNum w:abstractNumId="106">
    <w:nsid w:val="59A377B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7">
    <w:nsid w:val="48AEB0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8">
    <w:nsid w:val="24E135"/>
    <w:multiLevelType w:val="hybridMultilevel"/>
    <w:lvl w:ilvl="0">
      <w:lvlJc w:val="left"/>
      <w:lvlText w:val="%1"/>
      <w:numFmt w:val="decimal"/>
      <w:start w:val="1"/>
    </w:lvl>
    <w:lvl w:ilvl="1">
      <w:lvlJc w:val="left"/>
      <w:lvlText w:val="(%2)"/>
      <w:numFmt w:val="lowerLetter"/>
      <w:start w:val="3"/>
    </w:lvl>
  </w:abstractNum>
  <w:abstractNum w:abstractNumId="109">
    <w:nsid w:val="BB13C1"/>
    <w:multiLevelType w:val="hybridMultilevel"/>
    <w:lvl w:ilvl="0">
      <w:lvlJc w:val="left"/>
      <w:lvlText w:val="%1."/>
      <w:numFmt w:val="decimal"/>
      <w:start w:val="6"/>
    </w:lvl>
    <w:lvl w:ilvl="1">
      <w:lvlJc w:val="left"/>
      <w:lvlText w:val="(%2)"/>
      <w:numFmt w:val="lowerLetter"/>
      <w:start w:val="1"/>
    </w:lvl>
  </w:abstractNum>
  <w:abstractNum w:abstractNumId="110">
    <w:nsid w:val="271210C7"/>
    <w:multiLevelType w:val="hybridMultilevel"/>
    <w:lvl w:ilvl="0">
      <w:lvlJc w:val="left"/>
      <w:lvlText w:val="(%1)"/>
      <w:numFmt w:val="lowerLetter"/>
      <w:start w:val="5"/>
    </w:lvl>
  </w:abstractNum>
  <w:abstractNum w:abstractNumId="111">
    <w:nsid w:val="217B22E4"/>
    <w:multiLevelType w:val="hybridMultilevel"/>
    <w:lvl w:ilvl="0">
      <w:lvlJc w:val="left"/>
      <w:lvlText w:val="%1."/>
      <w:numFmt w:val="decimal"/>
      <w:start w:val="1"/>
    </w:lvl>
    <w:lvl w:ilvl="1">
      <w:lvlJc w:val="left"/>
      <w:lvlText w:val="(%2)"/>
      <w:numFmt w:val="lowerLetter"/>
      <w:start w:val="1"/>
    </w:lvl>
  </w:abstractNum>
  <w:abstractNum w:abstractNumId="112">
    <w:nsid w:val="53E31A24"/>
    <w:multiLevelType w:val="hybridMultilevel"/>
    <w:lvl w:ilvl="0">
      <w:lvlJc w:val="left"/>
      <w:lvlText w:val="%1."/>
      <w:numFmt w:val="decimal"/>
      <w:start w:val="2"/>
    </w:lvl>
    <w:lvl w:ilvl="1">
      <w:lvlJc w:val="left"/>
      <w:lvlText w:val="(%2)"/>
      <w:numFmt w:val="lowerLetter"/>
      <w:start w:val="1"/>
    </w:lvl>
  </w:abstractNum>
  <w:abstractNum w:abstractNumId="113">
    <w:nsid w:val="6DC45E83"/>
    <w:multiLevelType w:val="hybridMultilevel"/>
    <w:lvl w:ilvl="0">
      <w:lvlJc w:val="left"/>
      <w:lvlText w:val="%1"/>
      <w:numFmt w:val="decimal"/>
      <w:start w:val="1"/>
    </w:lvl>
    <w:lvl w:ilvl="1">
      <w:lvlJc w:val="left"/>
      <w:lvlText w:val="(%2)"/>
      <w:numFmt w:val="lowerLetter"/>
      <w:start w:val="3"/>
    </w:lvl>
  </w:abstractNum>
  <w:abstractNum w:abstractNumId="114">
    <w:nsid w:val="17304A67"/>
    <w:multiLevelType w:val="hybridMultilevel"/>
    <w:lvl w:ilvl="0">
      <w:lvlJc w:val="left"/>
      <w:lvlText w:val="%1."/>
      <w:numFmt w:val="decimal"/>
      <w:start w:val="3"/>
    </w:lvl>
    <w:lvl w:ilvl="1">
      <w:lvlJc w:val="left"/>
      <w:lvlText w:val="%2"/>
      <w:numFmt w:val="lowerLetter"/>
      <w:start w:val="1"/>
    </w:lvl>
  </w:abstractNum>
  <w:abstractNum w:abstractNumId="115">
    <w:nsid w:val="2BB180D8"/>
    <w:multiLevelType w:val="hybridMultilevel"/>
    <w:lvl w:ilvl="0">
      <w:lvlJc w:val="left"/>
      <w:lvlText w:val="(%1)"/>
      <w:numFmt w:val="lowerLetter"/>
      <w:start w:val="1"/>
    </w:lvl>
  </w:abstractNum>
  <w:abstractNum w:abstractNumId="116">
    <w:nsid w:val="556B69ED"/>
    <w:multiLevelType w:val="hybridMultilevel"/>
    <w:lvl w:ilvl="0">
      <w:lvlJc w:val="left"/>
      <w:lvlText w:val="(%1)"/>
      <w:numFmt w:val="lowerRoman"/>
      <w:start w:val="1"/>
    </w:lvl>
  </w:abstractNum>
  <w:abstractNum w:abstractNumId="117">
    <w:nsid w:val="70836196"/>
    <w:multiLevelType w:val="hybridMultilevel"/>
    <w:lvl w:ilvl="0">
      <w:lvlJc w:val="left"/>
      <w:lvlText w:val="%1"/>
      <w:numFmt w:val="lowerLetter"/>
      <w:start w:val="1"/>
    </w:lvl>
    <w:lvl w:ilvl="1">
      <w:lvlJc w:val="left"/>
      <w:lvlText w:val="(%2)"/>
      <w:numFmt w:val="lowerRoman"/>
      <w:start w:val="6"/>
    </w:lvl>
  </w:abstractNum>
  <w:abstractNum w:abstractNumId="118">
    <w:nsid w:val="539F7F12"/>
    <w:multiLevelType w:val="hybridMultilevel"/>
    <w:lvl w:ilvl="0">
      <w:lvlJc w:val="left"/>
      <w:lvlText w:val="(%1)"/>
      <w:numFmt w:val="lowerLetter"/>
      <w:start w:val="4"/>
    </w:lvl>
    <w:lvl w:ilvl="1">
      <w:lvlJc w:val="left"/>
      <w:lvlText w:val="(%2)"/>
      <w:numFmt w:val="lowerRoman"/>
      <w:start w:val="1"/>
    </w:lvl>
  </w:abstractNum>
  <w:abstractNum w:abstractNumId="119">
    <w:nsid w:val="2817E7EC"/>
    <w:multiLevelType w:val="hybridMultilevel"/>
    <w:lvl w:ilvl="0">
      <w:lvlJc w:val="left"/>
      <w:lvlText w:val="(%1)"/>
      <w:numFmt w:val="lowerRoman"/>
      <w:start w:val="3"/>
    </w:lvl>
  </w:abstractNum>
  <w:abstractNum w:abstractNumId="120">
    <w:nsid w:val="71482545"/>
    <w:multiLevelType w:val="hybridMultilevel"/>
    <w:lvl w:ilvl="0">
      <w:lvlJc w:val="left"/>
      <w:lvlText w:val="(%1)"/>
      <w:numFmt w:val="lowerRoman"/>
      <w:start w:val="1"/>
    </w:lvl>
  </w:abstractNum>
  <w:abstractNum w:abstractNumId="121">
    <w:nsid w:val="17D78639"/>
    <w:multiLevelType w:val="hybridMultilevel"/>
    <w:lvl w:ilvl="0">
      <w:lvlJc w:val="left"/>
      <w:lvlText w:val="%1."/>
      <w:numFmt w:val="decimal"/>
      <w:start w:val="4"/>
    </w:lvl>
    <w:lvl w:ilvl="1">
      <w:lvlJc w:val="left"/>
      <w:lvlText w:val="(%2)"/>
      <w:numFmt w:val="lowerLetter"/>
      <w:start w:val="1"/>
    </w:lvl>
  </w:abstractNum>
  <w:abstractNum w:abstractNumId="122">
    <w:nsid w:val="141D23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23">
    <w:nsid w:val="407168D8"/>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124">
    <w:nsid w:val="6A1B45E5"/>
    <w:multiLevelType w:val="hybridMultilevel"/>
    <w:lvl w:ilvl="0">
      <w:lvlJc w:val="left"/>
      <w:lvlText w:val="(%1)"/>
      <w:numFmt w:val="lowerLetter"/>
      <w:start w:val="1"/>
    </w:lvl>
  </w:abstractNum>
  <w:abstractNum w:abstractNumId="125">
    <w:nsid w:val="567BD50A"/>
    <w:multiLevelType w:val="hybridMultilevel"/>
    <w:lvl w:ilvl="0">
      <w:lvlJc w:val="left"/>
      <w:lvlText w:val="(%1)"/>
      <w:numFmt w:val="lowerLetter"/>
      <w:start w:val="4"/>
    </w:lvl>
  </w:abstractNum>
  <w:abstractNum w:abstractNumId="126">
    <w:nsid w:val="73BBD7F8"/>
    <w:multiLevelType w:val="hybridMultilevel"/>
    <w:lvl w:ilvl="0">
      <w:lvlJc w:val="left"/>
      <w:lvlText w:val="%1."/>
      <w:numFmt w:val="decimal"/>
      <w:start w:val="6"/>
    </w:lvl>
    <w:lvl w:ilvl="1">
      <w:lvlJc w:val="left"/>
      <w:lvlText w:val="(%2)"/>
      <w:numFmt w:val="lowerLetter"/>
      <w:start w:val="1"/>
    </w:lvl>
  </w:abstractNum>
  <w:abstractNum w:abstractNumId="127">
    <w:nsid w:val="1876589D"/>
    <w:multiLevelType w:val="hybridMultilevel"/>
    <w:lvl w:ilvl="0">
      <w:lvlJc w:val="left"/>
      <w:lvlText w:val="(%1)"/>
      <w:numFmt w:val="lowerRoman"/>
      <w:start w:val="1"/>
    </w:lvl>
  </w:abstractNum>
  <w:abstractNum w:abstractNumId="128">
    <w:nsid w:val="327FAC77"/>
    <w:multiLevelType w:val="hybridMultilevel"/>
    <w:lvl w:ilvl="0">
      <w:lvlJc w:val="left"/>
      <w:lvlText w:val="(%1)"/>
      <w:numFmt w:val="lowerRoman"/>
      <w:start w:val="3"/>
    </w:lvl>
  </w:abstractNum>
  <w:abstractNum w:abstractNumId="129">
    <w:nsid w:val="5A606509"/>
    <w:multiLevelType w:val="hybridMultilevel"/>
    <w:lvl w:ilvl="0">
      <w:lvlJc w:val="left"/>
      <w:lvlText w:val="(%1)"/>
      <w:numFmt w:val="lowerLetter"/>
      <w:start w:val="2"/>
    </w:lvl>
    <w:lvl w:ilvl="1">
      <w:lvlJc w:val="left"/>
      <w:lvlText w:val="(%2)"/>
      <w:numFmt w:val="lowerLetter"/>
      <w:start w:val="9"/>
    </w:lvl>
  </w:abstractNum>
  <w:abstractNum w:abstractNumId="130">
    <w:nsid w:val="6F38E6D1"/>
    <w:multiLevelType w:val="hybridMultilevel"/>
    <w:lvl w:ilvl="0">
      <w:lvlJc w:val="left"/>
      <w:lvlText w:val="(%1)"/>
      <w:numFmt w:val="lowerRoman"/>
      <w:start w:val="2"/>
    </w:lvl>
  </w:abstractNum>
  <w:abstractNum w:abstractNumId="131">
    <w:nsid w:val="46111BA5"/>
    <w:multiLevelType w:val="hybridMultilevel"/>
    <w:lvl w:ilvl="0">
      <w:lvlJc w:val="left"/>
      <w:lvlText w:val="(%1)"/>
      <w:numFmt w:val="lowerRoman"/>
      <w:start w:val="4"/>
    </w:lvl>
  </w:abstractNum>
  <w:abstractNum w:abstractNumId="132">
    <w:nsid w:val="5E963896"/>
    <w:multiLevelType w:val="hybridMultilevel"/>
    <w:lvl w:ilvl="0">
      <w:lvlJc w:val="left"/>
      <w:lvlText w:val="%1."/>
      <w:numFmt w:val="decimal"/>
      <w:start w:val="7"/>
    </w:lvl>
    <w:lvl w:ilvl="1">
      <w:lvlJc w:val="left"/>
      <w:lvlText w:val="(%2)"/>
      <w:numFmt w:val="lowerLetter"/>
      <w:start w:val="1"/>
    </w:lvl>
  </w:abstractNum>
  <w:abstractNum w:abstractNumId="133">
    <w:nsid w:val="775BA7C1"/>
    <w:multiLevelType w:val="hybridMultilevel"/>
    <w:lvl w:ilvl="0">
      <w:lvlJc w:val="left"/>
      <w:lvlText w:val="%1"/>
      <w:numFmt w:val="decimal"/>
      <w:start w:val="1"/>
    </w:lvl>
    <w:lvl w:ilvl="1">
      <w:lvlJc w:val="left"/>
      <w:lvlText w:val="(%2)"/>
      <w:numFmt w:val="lowerLetter"/>
      <w:start w:val="4"/>
    </w:lvl>
  </w:abstractNum>
  <w:abstractNum w:abstractNumId="134">
    <w:nsid w:val="1DD6D6F4"/>
    <w:multiLevelType w:val="hybridMultilevel"/>
    <w:lvl w:ilvl="0">
      <w:lvlJc w:val="left"/>
      <w:lvlText w:val="%1."/>
      <w:numFmt w:val="decimal"/>
      <w:start w:val="8"/>
    </w:lvl>
    <w:lvl w:ilvl="1">
      <w:lvlJc w:val="left"/>
      <w:lvlText w:val="(%2)"/>
      <w:numFmt w:val="lowerLetter"/>
      <w:start w:val="1"/>
    </w:lvl>
  </w:abstractNum>
  <w:abstractNum w:abstractNumId="135">
    <w:nsid w:val="769A091F"/>
    <w:multiLevelType w:val="hybridMultilevel"/>
    <w:lvl w:ilvl="0">
      <w:lvlJc w:val="left"/>
      <w:lvlText w:val="(%1)"/>
      <w:numFmt w:val="lowerLetter"/>
      <w:start w:val="2"/>
    </w:lvl>
  </w:abstractNum>
  <w:abstractNum w:abstractNumId="136">
    <w:nsid w:val="4695AE95"/>
    <w:multiLevelType w:val="hybridMultilevel"/>
    <w:lvl w:ilvl="0">
      <w:lvlJc w:val="left"/>
      <w:lvlText w:val="(%1)"/>
      <w:numFmt w:val="lowerLetter"/>
      <w:start w:val="4"/>
    </w:lvl>
  </w:abstractNum>
  <w:abstractNum w:abstractNumId="137">
    <w:nsid w:val="777A4EAA"/>
    <w:multiLevelType w:val="hybridMultilevel"/>
    <w:lvl w:ilvl="0">
      <w:lvlJc w:val="left"/>
      <w:lvlText w:val="%1."/>
      <w:numFmt w:val="decimal"/>
      <w:start w:val="9"/>
    </w:lvl>
    <w:lvl w:ilvl="1">
      <w:lvlJc w:val="left"/>
      <w:lvlText w:val="(%2)"/>
      <w:numFmt w:val="lowerLetter"/>
      <w:start w:val="1"/>
    </w:lvl>
  </w:abstractNum>
  <w:abstractNum w:abstractNumId="138">
    <w:nsid w:val="3F48B982"/>
    <w:multiLevelType w:val="hybridMultilevel"/>
    <w:lvl w:ilvl="0">
      <w:lvlJc w:val="left"/>
      <w:lvlText w:val="%1"/>
      <w:numFmt w:val="decimal"/>
      <w:start w:val="1"/>
    </w:lvl>
    <w:lvl w:ilvl="1">
      <w:lvlJc w:val="left"/>
      <w:lvlText w:val="(%2)"/>
      <w:numFmt w:val="lowerLetter"/>
      <w:start w:val="2"/>
    </w:lvl>
  </w:abstractNum>
  <w:abstractNum w:abstractNumId="139">
    <w:nsid w:val="46BA8FCA"/>
    <w:multiLevelType w:val="hybridMultilevel"/>
    <w:lvl w:ilvl="0">
      <w:lvlJc w:val="left"/>
      <w:lvlText w:val="%1."/>
      <w:numFmt w:val="decimal"/>
      <w:start w:val="10"/>
    </w:lvl>
    <w:lvl w:ilvl="1">
      <w:lvlJc w:val="left"/>
      <w:lvlText w:val="%2"/>
      <w:numFmt w:val="lowerLetter"/>
      <w:start w:val="1"/>
    </w:lvl>
  </w:abstractNum>
  <w:abstractNum w:abstractNumId="140">
    <w:nsid w:val="7835626C"/>
    <w:multiLevelType w:val="hybridMultilevel"/>
    <w:lvl w:ilvl="0">
      <w:lvlJc w:val="left"/>
      <w:lvlText w:val="%1."/>
      <w:numFmt w:val="decimal"/>
      <w:start w:val="11"/>
    </w:lvl>
  </w:abstractNum>
  <w:abstractNum w:abstractNumId="141">
    <w:nsid w:val="665ACA49"/>
    <w:multiLevelType w:val="hybridMultilevel"/>
    <w:lvl w:ilvl="0">
      <w:lvlJc w:val="left"/>
      <w:lvlText w:val="%1."/>
      <w:numFmt w:val="decimal"/>
      <w:start w:val="15"/>
    </w:lvl>
  </w:abstractNum>
  <w:abstractNum w:abstractNumId="142">
    <w:nsid w:val="6835B2AE"/>
    <w:multiLevelType w:val="hybridMultilevel"/>
    <w:lvl w:ilvl="0">
      <w:lvlJc w:val="left"/>
      <w:lvlText w:val="%1."/>
      <w:numFmt w:val="decimal"/>
      <w:start w:val="18"/>
    </w:lvl>
  </w:abstractNum>
  <w:abstractNum w:abstractNumId="143">
    <w:nsid w:val="4C187C90"/>
    <w:multiLevelType w:val="hybridMultilevel"/>
    <w:lvl w:ilvl="0">
      <w:lvlJc w:val="left"/>
      <w:lvlText w:val="%1."/>
      <w:numFmt w:val="decimal"/>
      <w:start w:val="22"/>
    </w:lvl>
  </w:abstractNum>
  <w:abstractNum w:abstractNumId="144">
    <w:nsid w:val="541F28CD"/>
    <w:multiLevelType w:val="hybridMultilevel"/>
    <w:lvl w:ilvl="0">
      <w:lvlJc w:val="left"/>
      <w:lvlText w:val="%1."/>
      <w:numFmt w:val="decimal"/>
      <w:start w:val="1"/>
    </w:lvl>
    <w:lvl w:ilvl="1">
      <w:lvlJc w:val="left"/>
      <w:lvlText w:val="(%2)"/>
      <w:numFmt w:val="lowerLetter"/>
      <w:start w:val="1"/>
    </w:lvl>
  </w:abstractNum>
  <w:abstractNum w:abstractNumId="145">
    <w:nsid w:val="7F65FD16"/>
    <w:multiLevelType w:val="hybridMultilevel"/>
    <w:lvl w:ilvl="0">
      <w:lvlJc w:val="left"/>
      <w:lvlText w:val="%1."/>
      <w:numFmt w:val="decimal"/>
      <w:start w:val="2"/>
    </w:lvl>
    <w:lvl w:ilvl="1">
      <w:lvlJc w:val="left"/>
      <w:lvlText w:val="(%2)"/>
      <w:numFmt w:val="lowerLetter"/>
      <w:start w:val="1"/>
    </w:lvl>
  </w:abstractNum>
  <w:abstractNum w:abstractNumId="146">
    <w:nsid w:val="77C9FD68"/>
    <w:multiLevelType w:val="hybridMultilevel"/>
    <w:lvl w:ilvl="0">
      <w:lvlJc w:val="left"/>
      <w:lvlText w:val="%1"/>
      <w:numFmt w:val="decimal"/>
      <w:start w:val="1"/>
    </w:lvl>
    <w:lvl w:ilvl="1">
      <w:lvlJc w:val="left"/>
      <w:lvlText w:val="(%2)"/>
      <w:numFmt w:val="lowerLetter"/>
      <w:start w:val="4"/>
    </w:lvl>
  </w:abstractNum>
  <w:abstractNum w:abstractNumId="147">
    <w:nsid w:val="298A92BA"/>
    <w:multiLevelType w:val="hybridMultilevel"/>
    <w:lvl w:ilvl="0">
      <w:lvlJc w:val="left"/>
      <w:lvlText w:val="%1."/>
      <w:numFmt w:val="decimal"/>
      <w:start w:val="3"/>
    </w:lvl>
    <w:lvl w:ilvl="1">
      <w:lvlJc w:val="left"/>
      <w:lvlText w:val="(%2)"/>
      <w:numFmt w:val="lowerLetter"/>
      <w:start w:val="1"/>
    </w:lvl>
  </w:abstractNum>
  <w:abstractNum w:abstractNumId="148">
    <w:nsid w:val="6FE95EAC"/>
    <w:multiLevelType w:val="hybridMultilevel"/>
    <w:lvl w:ilvl="0">
      <w:lvlJc w:val="left"/>
      <w:lvlText w:val="(%1)"/>
      <w:numFmt w:val="lowerLetter"/>
      <w:start w:val="2"/>
    </w:lvl>
    <w:lvl w:ilvl="1">
      <w:lvlJc w:val="left"/>
      <w:lvlText w:val="(%2)"/>
      <w:numFmt w:val="lowerLetter"/>
      <w:start w:val="9"/>
    </w:lvl>
  </w:abstractNum>
  <w:abstractNum w:abstractNumId="149">
    <w:nsid w:val="4B697C7A"/>
    <w:multiLevelType w:val="hybridMultilevel"/>
    <w:lvl w:ilvl="0">
      <w:lvlJc w:val="left"/>
      <w:lvlText w:val="(%1)"/>
      <w:numFmt w:val="lowerRoman"/>
      <w:start w:val="2"/>
    </w:lvl>
  </w:abstractNum>
  <w:abstractNum w:abstractNumId="150">
    <w:nsid w:val="51A27AA6"/>
    <w:multiLevelType w:val="hybridMultilevel"/>
    <w:lvl w:ilvl="0">
      <w:lvlJc w:val="left"/>
      <w:lvlText w:val="(%1)"/>
      <w:numFmt w:val="lowerLetter"/>
      <w:start w:val="4"/>
    </w:lvl>
    <w:lvl w:ilvl="1">
      <w:lvlJc w:val="left"/>
      <w:lvlText w:val="(%2)"/>
      <w:numFmt w:val="lowerRoman"/>
      <w:start w:val="1"/>
    </w:lvl>
  </w:abstractNum>
  <w:abstractNum w:abstractNumId="151">
    <w:nsid w:val="613183F2"/>
    <w:multiLevelType w:val="hybridMultilevel"/>
    <w:lvl w:ilvl="0">
      <w:lvlJc w:val="left"/>
      <w:lvlText w:val="(%1)"/>
      <w:numFmt w:val="lowerRoman"/>
      <w:start w:val="4"/>
    </w:lvl>
  </w:abstractNum>
  <w:abstractNum w:abstractNumId="152">
    <w:nsid w:val="634102B4"/>
    <w:multiLevelType w:val="hybridMultilevel"/>
    <w:lvl w:ilvl="0">
      <w:lvlJc w:val="left"/>
      <w:lvlText w:val="(%1)"/>
      <w:numFmt w:val="lowerRoman"/>
      <w:start w:val="1"/>
    </w:lvl>
  </w:abstractNum>
  <w:abstractNum w:abstractNumId="153">
    <w:nsid w:val="65BF9DA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54">
    <w:nsid w:val="21A2ECC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55">
    <w:nsid w:val="4D5C4899"/>
    <w:multiLevelType w:val="hybridMultilevel"/>
    <w:lvl w:ilvl="0">
      <w:lvlJc w:val="left"/>
      <w:lvlText w:val="%1."/>
      <w:numFmt w:val="decimal"/>
      <w:start w:val="5"/>
    </w:lvl>
  </w:abstractNum>
  <w:abstractNum w:abstractNumId="156">
    <w:nsid w:val="3C3B72B2"/>
    <w:multiLevelType w:val="hybridMultilevel"/>
    <w:lvl w:ilvl="0">
      <w:lvlJc w:val="left"/>
      <w:lvlText w:val="(%1)"/>
      <w:numFmt w:val="lowerLetter"/>
      <w:start w:val="1"/>
    </w:lvl>
  </w:abstractNum>
  <w:abstractNum w:abstractNumId="157">
    <w:nsid w:val="155EC4C2"/>
    <w:multiLevelType w:val="hybridMultilevel"/>
    <w:lvl w:ilvl="0">
      <w:lvlJc w:val="left"/>
      <w:lvlText w:val="%1."/>
      <w:numFmt w:val="decimal"/>
      <w:start w:val="6"/>
    </w:lvl>
    <w:lvl w:ilvl="1">
      <w:lvlJc w:val="left"/>
      <w:lvlText w:val="(%2)"/>
      <w:numFmt w:val="lowerLetter"/>
      <w:start w:val="1"/>
    </w:lvl>
  </w:abstractNum>
  <w:abstractNum w:abstractNumId="158">
    <w:nsid w:val="65D2A137"/>
    <w:multiLevelType w:val="hybridMultilevel"/>
    <w:lvl w:ilvl="0">
      <w:lvlJc w:val="left"/>
      <w:lvlText w:val="(%1)"/>
      <w:numFmt w:val="lowerRoman"/>
      <w:start w:val="1"/>
    </w:lvl>
  </w:abstractNum>
  <w:abstractNum w:abstractNumId="159">
    <w:nsid w:val="6EBB1F2A"/>
    <w:multiLevelType w:val="hybridMultilevel"/>
    <w:lvl w:ilvl="0">
      <w:lvlJc w:val="left"/>
      <w:lvlText w:val="(%1)"/>
      <w:numFmt w:val="lowerRoman"/>
      <w:start w:val="3"/>
    </w:lvl>
  </w:abstractNum>
  <w:abstractNum w:abstractNumId="160">
    <w:nsid w:val="6FBF29CB"/>
    <w:multiLevelType w:val="hybridMultilevel"/>
    <w:lvl w:ilvl="0">
      <w:lvlJc w:val="left"/>
      <w:lvlText w:val="(%1)"/>
      <w:numFmt w:val="lowerLetter"/>
      <w:start w:val="2"/>
    </w:lvl>
    <w:lvl w:ilvl="1">
      <w:lvlJc w:val="left"/>
      <w:lvlText w:val="(%2)"/>
      <w:numFmt w:val="lowerLetter"/>
      <w:start w:val="9"/>
    </w:lvl>
  </w:abstractNum>
  <w:abstractNum w:abstractNumId="161">
    <w:nsid w:val="550B8808"/>
    <w:multiLevelType w:val="hybridMultilevel"/>
    <w:lvl w:ilvl="0">
      <w:lvlJc w:val="left"/>
      <w:lvlText w:val="(%1)"/>
      <w:numFmt w:val="lowerRoman"/>
      <w:start w:val="2"/>
    </w:lvl>
  </w:abstractNum>
  <w:abstractNum w:abstractNumId="162">
    <w:nsid w:val="34CC3ACF"/>
    <w:multiLevelType w:val="hybridMultilevel"/>
    <w:lvl w:ilvl="0">
      <w:lvlJc w:val="left"/>
      <w:lvlText w:val="(%1)"/>
      <w:numFmt w:val="lowerRoman"/>
      <w:start w:val="4"/>
    </w:lvl>
  </w:abstractNum>
  <w:abstractNum w:abstractNumId="163">
    <w:nsid w:val="4E556261"/>
    <w:multiLevelType w:val="hybridMultilevel"/>
    <w:lvl w:ilvl="0">
      <w:lvlJc w:val="left"/>
      <w:lvlText w:val="%1."/>
      <w:numFmt w:val="decimal"/>
      <w:start w:val="7"/>
    </w:lvl>
    <w:lvl w:ilvl="1">
      <w:lvlJc w:val="left"/>
      <w:lvlText w:val="(%2)"/>
      <w:numFmt w:val="lowerLetter"/>
      <w:start w:val="1"/>
    </w:lvl>
  </w:abstractNum>
  <w:abstractNum w:abstractNumId="164">
    <w:nsid w:val="4C672FC9"/>
    <w:multiLevelType w:val="hybridMultilevel"/>
    <w:lvl w:ilvl="0">
      <w:lvlJc w:val="left"/>
      <w:lvlText w:val="%1"/>
      <w:numFmt w:val="decimal"/>
      <w:start w:val="1"/>
    </w:lvl>
    <w:lvl w:ilvl="1">
      <w:lvlJc w:val="left"/>
      <w:lvlText w:val="(%2)"/>
      <w:numFmt w:val="lowerLetter"/>
      <w:start w:val="4"/>
    </w:lvl>
  </w:abstractNum>
  <w:abstractNum w:abstractNumId="165">
    <w:nsid w:val="52A311C3"/>
    <w:multiLevelType w:val="hybridMultilevel"/>
    <w:lvl w:ilvl="0">
      <w:lvlJc w:val="left"/>
      <w:lvlText w:val="%1."/>
      <w:numFmt w:val="decimal"/>
      <w:start w:val="8"/>
    </w:lvl>
    <w:lvl w:ilvl="1">
      <w:lvlJc w:val="left"/>
      <w:lvlText w:val="(%2)"/>
      <w:numFmt w:val="lowerLetter"/>
      <w:start w:val="1"/>
    </w:lvl>
  </w:abstractNum>
  <w:abstractNum w:abstractNumId="166">
    <w:nsid w:val="44EF6B80"/>
    <w:multiLevelType w:val="hybridMultilevel"/>
    <w:lvl w:ilvl="0">
      <w:lvlJc w:val="left"/>
      <w:lvlText w:val="(%1)"/>
      <w:numFmt w:val="lowerLetter"/>
      <w:start w:val="2"/>
    </w:lvl>
  </w:abstractNum>
  <w:abstractNum w:abstractNumId="167">
    <w:nsid w:val="12FCDE5E"/>
    <w:multiLevelType w:val="hybridMultilevel"/>
    <w:lvl w:ilvl="0">
      <w:lvlJc w:val="left"/>
      <w:lvlText w:val="(%1)"/>
      <w:numFmt w:val="lowerLetter"/>
      <w:start w:val="4"/>
    </w:lvl>
  </w:abstractNum>
  <w:abstractNum w:abstractNumId="168">
    <w:nsid w:val="4A1D606E"/>
    <w:multiLevelType w:val="hybridMultilevel"/>
    <w:lvl w:ilvl="0">
      <w:lvlJc w:val="left"/>
      <w:lvlText w:val="(%1)"/>
      <w:numFmt w:val="lowerLetter"/>
      <w:start w:val="5"/>
    </w:lvl>
  </w:abstractNum>
  <w:abstractNum w:abstractNumId="169">
    <w:nsid w:val="4382503"/>
    <w:multiLevelType w:val="hybridMultilevel"/>
    <w:lvl w:ilvl="0">
      <w:lvlJc w:val="left"/>
      <w:lvlText w:val="%1."/>
      <w:numFmt w:val="decimal"/>
      <w:start w:val="9"/>
    </w:lvl>
    <w:lvl w:ilvl="1">
      <w:lvlJc w:val="left"/>
      <w:lvlText w:val="(%2)"/>
      <w:numFmt w:val="lowerLetter"/>
      <w:start w:val="1"/>
    </w:lvl>
  </w:abstractNum>
  <w:abstractNum w:abstractNumId="170">
    <w:nsid w:val="59B76E28"/>
    <w:multiLevelType w:val="hybridMultilevel"/>
    <w:lvl w:ilvl="0">
      <w:lvlJc w:val="left"/>
      <w:lvlText w:val="%1."/>
      <w:numFmt w:val="decimal"/>
      <w:start w:val="11"/>
    </w:lvl>
  </w:abstractNum>
  <w:abstractNum w:abstractNumId="171">
    <w:nsid w:val="4252C2DA"/>
    <w:multiLevelType w:val="hybridMultilevel"/>
    <w:lvl w:ilvl="0">
      <w:lvlJc w:val="left"/>
      <w:lvlText w:val="%1."/>
      <w:numFmt w:val="decimal"/>
      <w:start w:val="15"/>
    </w:lvl>
  </w:abstractNum>
  <w:abstractNum w:abstractNumId="172">
    <w:nsid w:val="6A92EF4C"/>
    <w:multiLevelType w:val="hybridMultilevel"/>
    <w:lvl w:ilvl="0">
      <w:lvlJc w:val="left"/>
      <w:lvlText w:val="%1."/>
      <w:numFmt w:val="decimal"/>
      <w:start w:val="19"/>
    </w:lvl>
  </w:abstractNum>
  <w:abstractNum w:abstractNumId="173">
    <w:nsid w:val="41ED20D7"/>
    <w:multiLevelType w:val="hybridMultilevel"/>
    <w:lvl w:ilvl="0">
      <w:lvlJc w:val="left"/>
      <w:lvlText w:val="%1."/>
      <w:numFmt w:val="decimal"/>
      <w:start w:val="22"/>
    </w:lvl>
  </w:abstractNum>
  <w:abstractNum w:abstractNumId="174">
    <w:nsid w:val="E6B3F6A"/>
    <w:multiLevelType w:val="hybridMultilevel"/>
    <w:lvl w:ilvl="0">
      <w:lvlJc w:val="left"/>
      <w:lvlText w:val="%1."/>
      <w:numFmt w:val="decimal"/>
      <w:start w:val="1"/>
    </w:lvl>
    <w:lvl w:ilvl="1">
      <w:lvlJc w:val="left"/>
      <w:lvlText w:val="(%2)"/>
      <w:numFmt w:val="lowerLetter"/>
      <w:start w:val="1"/>
    </w:lvl>
  </w:abstractNum>
  <w:abstractNum w:abstractNumId="175">
    <w:nsid w:val="3EB21819"/>
    <w:multiLevelType w:val="hybridMultilevel"/>
    <w:lvl w:ilvl="0">
      <w:lvlJc w:val="left"/>
      <w:lvlText w:val="%1."/>
      <w:numFmt w:val="decimal"/>
      <w:start w:val="2"/>
    </w:lvl>
    <w:lvl w:ilvl="1">
      <w:lvlJc w:val="left"/>
      <w:lvlText w:val="(%2)"/>
      <w:numFmt w:val="lowerLetter"/>
      <w:start w:val="1"/>
    </w:lvl>
  </w:abstractNum>
  <w:abstractNum w:abstractNumId="176">
    <w:nsid w:val="41531DED"/>
    <w:multiLevelType w:val="hybridMultilevel"/>
    <w:lvl w:ilvl="0">
      <w:lvlJc w:val="left"/>
      <w:lvlText w:val="%1"/>
      <w:numFmt w:val="decimal"/>
      <w:start w:val="1"/>
    </w:lvl>
    <w:lvl w:ilvl="1">
      <w:lvlJc w:val="left"/>
      <w:lvlText w:val="(%2)"/>
      <w:numFmt w:val="lowerLetter"/>
      <w:start w:val="4"/>
    </w:lvl>
  </w:abstractNum>
  <w:abstractNum w:abstractNumId="177">
    <w:nsid w:val="6353CD2"/>
    <w:multiLevelType w:val="hybridMultilevel"/>
    <w:lvl w:ilvl="0">
      <w:lvlJc w:val="left"/>
      <w:lvlText w:val="%1."/>
      <w:numFmt w:val="decimal"/>
      <w:start w:val="3"/>
    </w:lvl>
    <w:lvl w:ilvl="1">
      <w:lvlJc w:val="left"/>
      <w:lvlText w:val="(%2)"/>
      <w:numFmt w:val="lowerLetter"/>
      <w:start w:val="1"/>
    </w:lvl>
  </w:abstractNum>
  <w:abstractNum w:abstractNumId="178">
    <w:nsid w:val="683CAAD3"/>
    <w:multiLevelType w:val="hybridMultilevel"/>
    <w:lvl w:ilvl="0">
      <w:lvlJc w:val="left"/>
      <w:lvlText w:val="(%1)"/>
      <w:numFmt w:val="lowerLetter"/>
      <w:start w:val="2"/>
    </w:lvl>
    <w:lvl w:ilvl="1">
      <w:lvlJc w:val="left"/>
      <w:lvlText w:val="(%2)"/>
      <w:numFmt w:val="lowerLetter"/>
      <w:start w:val="9"/>
    </w:lvl>
  </w:abstractNum>
  <w:abstractNum w:abstractNumId="179">
    <w:nsid w:val="313C7C99"/>
    <w:multiLevelType w:val="hybridMultilevel"/>
    <w:lvl w:ilvl="0">
      <w:lvlJc w:val="left"/>
      <w:lvlText w:val="(%1)"/>
      <w:numFmt w:val="lowerRoman"/>
      <w:start w:val="2"/>
    </w:lvl>
  </w:abstractNum>
  <w:abstractNum w:abstractNumId="180">
    <w:nsid w:val="519EB94C"/>
    <w:multiLevelType w:val="hybridMultilevel"/>
    <w:lvl w:ilvl="0">
      <w:lvlJc w:val="left"/>
      <w:lvlText w:val="(%1)"/>
      <w:numFmt w:val="lowerRoman"/>
      <w:start w:val="3"/>
    </w:lvl>
  </w:abstractNum>
  <w:abstractNum w:abstractNumId="181">
    <w:nsid w:val="39DF2579"/>
    <w:multiLevelType w:val="hybridMultilevel"/>
    <w:lvl w:ilvl="0">
      <w:lvlJc w:val="left"/>
      <w:lvlText w:val="(%1)"/>
      <w:numFmt w:val="lowerLetter"/>
      <w:start w:val="4"/>
    </w:lvl>
    <w:lvl w:ilvl="1">
      <w:lvlJc w:val="left"/>
      <w:lvlText w:val="(%2)"/>
      <w:numFmt w:val="lowerRoman"/>
      <w:start w:val="1"/>
    </w:lvl>
  </w:abstractNum>
  <w:abstractNum w:abstractNumId="182">
    <w:nsid w:val="126E008B"/>
    <w:multiLevelType w:val="hybridMultilevel"/>
    <w:lvl w:ilvl="0">
      <w:lvlJc w:val="left"/>
      <w:lvlText w:val="(%1)"/>
      <w:numFmt w:val="lowerRoman"/>
      <w:start w:val="4"/>
    </w:lvl>
  </w:abstractNum>
  <w:abstractNum w:abstractNumId="183">
    <w:nsid w:val="34DFBC00"/>
    <w:multiLevelType w:val="hybridMultilevel"/>
    <w:lvl w:ilvl="0">
      <w:lvlJc w:val="left"/>
      <w:lvlText w:val="(%1)"/>
      <w:numFmt w:val="lowerRoman"/>
      <w:start w:val="1"/>
    </w:lvl>
  </w:abstractNum>
  <w:abstractNum w:abstractNumId="184">
    <w:nsid w:val="1F9EC32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85">
    <w:nsid w:val="3410ED5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86">
    <w:nsid w:val="23C049A"/>
    <w:multiLevelType w:val="hybridMultilevel"/>
    <w:lvl w:ilvl="0">
      <w:lvlJc w:val="left"/>
      <w:lvlText w:val="%1."/>
      <w:numFmt w:val="decimal"/>
      <w:start w:val="5"/>
    </w:lvl>
    <w:lvl w:ilvl="1">
      <w:lvlJc w:val="left"/>
      <w:lvlText w:val="(%2)"/>
      <w:numFmt w:val="lowerLetter"/>
      <w:start w:val="1"/>
    </w:lvl>
  </w:abstractNum>
  <w:abstractNum w:abstractNumId="187">
    <w:nsid w:val="5BDA35D4"/>
    <w:multiLevelType w:val="hybridMultilevel"/>
    <w:lvl w:ilvl="0">
      <w:lvlJc w:val="left"/>
      <w:lvlText w:val="(%1)"/>
      <w:numFmt w:val="lowerLetter"/>
      <w:start w:val="2"/>
    </w:lvl>
  </w:abstractNum>
  <w:abstractNum w:abstractNumId="188">
    <w:nsid w:val="496FB218"/>
    <w:multiLevelType w:val="hybridMultilevel"/>
    <w:lvl w:ilvl="0">
      <w:lvlJc w:val="left"/>
      <w:lvlText w:val="%1."/>
      <w:numFmt w:val="decimal"/>
      <w:start w:val="6"/>
    </w:lvl>
    <w:lvl w:ilvl="1">
      <w:lvlJc w:val="left"/>
      <w:lvlText w:val="(%2)"/>
      <w:numFmt w:val="lowerLetter"/>
      <w:start w:val="1"/>
    </w:lvl>
  </w:abstractNum>
  <w:abstractNum w:abstractNumId="189">
    <w:nsid w:val="680EA5D1"/>
    <w:multiLevelType w:val="hybridMultilevel"/>
    <w:lvl w:ilvl="0">
      <w:lvlJc w:val="left"/>
      <w:lvlText w:val="(%1)"/>
      <w:numFmt w:val="lowerRoman"/>
      <w:start w:val="1"/>
    </w:lvl>
  </w:abstractNum>
  <w:abstractNum w:abstractNumId="190">
    <w:nsid w:val="4A9554FE"/>
    <w:multiLevelType w:val="hybridMultilevel"/>
    <w:lvl w:ilvl="0">
      <w:lvlJc w:val="left"/>
      <w:lvlText w:val="(%1)"/>
      <w:numFmt w:val="lowerRoman"/>
      <w:start w:val="3"/>
    </w:lvl>
  </w:abstractNum>
  <w:abstractNum w:abstractNumId="191">
    <w:nsid w:val="392EDBE4"/>
    <w:multiLevelType w:val="hybridMultilevel"/>
    <w:lvl w:ilvl="0">
      <w:lvlJc w:val="left"/>
      <w:lvlText w:val="(%1)"/>
      <w:numFmt w:val="lowerLetter"/>
      <w:start w:val="2"/>
    </w:lvl>
    <w:lvl w:ilvl="1">
      <w:lvlJc w:val="left"/>
      <w:lvlText w:val="(%2)"/>
      <w:numFmt w:val="lowerLetter"/>
      <w:start w:val="9"/>
    </w:lvl>
  </w:abstractNum>
  <w:abstractNum w:abstractNumId="192">
    <w:nsid w:val="3D1A2DD9"/>
    <w:multiLevelType w:val="hybridMultilevel"/>
    <w:lvl w:ilvl="0">
      <w:lvlJc w:val="left"/>
      <w:lvlText w:val="(%1)"/>
      <w:numFmt w:val="lowerRoman"/>
      <w:start w:val="2"/>
    </w:lvl>
  </w:abstractNum>
  <w:abstractNum w:abstractNumId="193">
    <w:nsid w:val="7F618FCD"/>
    <w:multiLevelType w:val="hybridMultilevel"/>
    <w:lvl w:ilvl="0">
      <w:lvlJc w:val="left"/>
      <w:lvlText w:val="(%1)"/>
      <w:numFmt w:val="lowerRoman"/>
      <w:start w:val="4"/>
    </w:lvl>
  </w:abstractNum>
  <w:abstractNum w:abstractNumId="194">
    <w:nsid w:val="7843E45"/>
    <w:multiLevelType w:val="hybridMultilevel"/>
    <w:lvl w:ilvl="0">
      <w:lvlJc w:val="left"/>
      <w:lvlText w:val="%1."/>
      <w:numFmt w:val="decimal"/>
      <w:start w:val="7"/>
    </w:lvl>
    <w:lvl w:ilvl="1">
      <w:lvlJc w:val="left"/>
      <w:lvlText w:val="(%2)"/>
      <w:numFmt w:val="lowerLetter"/>
      <w:start w:val="1"/>
    </w:lvl>
  </w:abstractNum>
  <w:abstractNum w:abstractNumId="195">
    <w:nsid w:val="9815DA3"/>
    <w:multiLevelType w:val="hybridMultilevel"/>
    <w:lvl w:ilvl="0">
      <w:lvlJc w:val="left"/>
      <w:lvlText w:val="%1"/>
      <w:numFmt w:val="decimal"/>
      <w:start w:val="1"/>
    </w:lvl>
    <w:lvl w:ilvl="1">
      <w:lvlJc w:val="left"/>
      <w:lvlText w:val="(%2)"/>
      <w:numFmt w:val="lowerLetter"/>
      <w:start w:val="4"/>
    </w:lvl>
  </w:abstractNum>
  <w:abstractNum w:abstractNumId="196">
    <w:nsid w:val="5204A191"/>
    <w:multiLevelType w:val="hybridMultilevel"/>
    <w:lvl w:ilvl="0">
      <w:lvlJc w:val="left"/>
      <w:lvlText w:val="%1."/>
      <w:numFmt w:val="decimal"/>
      <w:start w:val="8"/>
    </w:lvl>
    <w:lvl w:ilvl="1">
      <w:lvlJc w:val="left"/>
      <w:lvlText w:val="(%2)"/>
      <w:numFmt w:val="lowerLetter"/>
      <w:start w:val="1"/>
    </w:lvl>
  </w:abstractNum>
  <w:abstractNum w:abstractNumId="197">
    <w:nsid w:val="4C73A9C6"/>
    <w:multiLevelType w:val="hybridMultilevel"/>
    <w:lvl w:ilvl="0">
      <w:lvlJc w:val="left"/>
      <w:lvlText w:val="(%1)"/>
      <w:numFmt w:val="lowerLetter"/>
      <w:start w:val="2"/>
    </w:lvl>
  </w:abstractNum>
  <w:abstractNum w:abstractNumId="198">
    <w:nsid w:val="1C7E3C01"/>
    <w:multiLevelType w:val="hybridMultilevel"/>
    <w:lvl w:ilvl="0">
      <w:lvlJc w:val="left"/>
      <w:lvlText w:val="%1"/>
      <w:numFmt w:val="decimal"/>
      <w:start w:val="1"/>
    </w:lvl>
    <w:lvl w:ilvl="1">
      <w:lvlJc w:val="left"/>
      <w:lvlText w:val="(%2)"/>
      <w:numFmt w:val="lowerLetter"/>
      <w:start w:val="4"/>
    </w:lvl>
  </w:abstractNum>
  <w:abstractNum w:abstractNumId="199">
    <w:nsid w:val="1C2201FF"/>
    <w:multiLevelType w:val="hybridMultilevel"/>
    <w:lvl w:ilvl="0">
      <w:lvlJc w:val="left"/>
      <w:lvlText w:val="%1."/>
      <w:numFmt w:val="decimal"/>
      <w:start w:val="9"/>
    </w:lvl>
    <w:lvl w:ilvl="1">
      <w:lvlJc w:val="left"/>
      <w:lvlText w:val="(%2)"/>
      <w:numFmt w:val="lowerLetter"/>
      <w:start w:val="1"/>
    </w:lvl>
  </w:abstractNum>
  <w:abstractNum w:abstractNumId="200">
    <w:nsid w:val="50ABCEC9"/>
    <w:multiLevelType w:val="hybridMultilevel"/>
    <w:lvl w:ilvl="0">
      <w:lvlJc w:val="left"/>
      <w:lvlText w:val="%1"/>
      <w:numFmt w:val="decimal"/>
      <w:start w:val="1"/>
    </w:lvl>
    <w:lvl w:ilvl="1">
      <w:lvlJc w:val="left"/>
      <w:lvlText w:val="(%2)"/>
      <w:numFmt w:val="lowerLetter"/>
      <w:start w:val="2"/>
    </w:lvl>
  </w:abstractNum>
  <w:abstractNum w:abstractNumId="201">
    <w:nsid w:val="7635AA2A"/>
    <w:multiLevelType w:val="hybridMultilevel"/>
    <w:lvl w:ilvl="0">
      <w:lvlJc w:val="left"/>
      <w:lvlText w:val="%1."/>
      <w:numFmt w:val="decimal"/>
      <w:start w:val="10"/>
    </w:lvl>
    <w:lvl w:ilvl="1">
      <w:lvlJc w:val="left"/>
      <w:lvlText w:val="%2"/>
      <w:numFmt w:val="lowerLetter"/>
      <w:start w:val="1"/>
    </w:lvl>
  </w:abstractNum>
  <w:abstractNum w:abstractNumId="202">
    <w:nsid w:val="5E74C4D9"/>
    <w:multiLevelType w:val="hybridMultilevel"/>
    <w:lvl w:ilvl="0">
      <w:lvlJc w:val="left"/>
      <w:lvlText w:val="%1."/>
      <w:numFmt w:val="decimal"/>
      <w:start w:val="11"/>
    </w:lvl>
  </w:abstractNum>
  <w:abstractNum w:abstractNumId="203">
    <w:nsid w:val="3B3EBE15"/>
    <w:multiLevelType w:val="hybridMultilevel"/>
    <w:lvl w:ilvl="0">
      <w:lvlJc w:val="left"/>
      <w:lvlText w:val="%1."/>
      <w:numFmt w:val="decimal"/>
      <w:start w:val="15"/>
    </w:lvl>
  </w:abstractNum>
  <w:abstractNum w:abstractNumId="204">
    <w:nsid w:val="3822CB01"/>
    <w:multiLevelType w:val="hybridMultilevel"/>
    <w:lvl w:ilvl="0">
      <w:lvlJc w:val="left"/>
      <w:lvlText w:val="%1."/>
      <w:numFmt w:val="decimal"/>
      <w:start w:val="18"/>
    </w:lvl>
  </w:abstractNum>
  <w:abstractNum w:abstractNumId="205">
    <w:nsid w:val="6CE00443"/>
    <w:multiLevelType w:val="hybridMultilevel"/>
    <w:lvl w:ilvl="0">
      <w:lvlJc w:val="left"/>
      <w:lvlText w:val="%1."/>
      <w:numFmt w:val="decimal"/>
      <w:start w:val="22"/>
    </w:lvl>
  </w:abstractNum>
  <w:abstractNum w:abstractNumId="206">
    <w:nsid w:val="79F0D62F"/>
    <w:multiLevelType w:val="hybridMultilevel"/>
    <w:lvl w:ilvl="0">
      <w:lvlJc w:val="left"/>
      <w:lvlText w:val="(%1)"/>
      <w:numFmt w:val="upperLetter"/>
      <w:start w:val="2"/>
    </w:lvl>
  </w:abstractNum>
  <w:abstractNum w:abstractNumId="207">
    <w:nsid w:val="7975E8EE"/>
    <w:multiLevelType w:val="hybridMultilevel"/>
    <w:lvl w:ilvl="0">
      <w:lvlJc w:val="left"/>
      <w:lvlText w:val="(%1)"/>
      <w:numFmt w:val="lowerLetter"/>
      <w:start w:val="1"/>
    </w:lvl>
  </w:abstractNum>
  <w:abstractNum w:abstractNumId="208">
    <w:nsid w:val="73154115"/>
    <w:multiLevelType w:val="hybridMultilevel"/>
    <w:lvl w:ilvl="0">
      <w:lvlJc w:val="left"/>
      <w:lvlText w:val="(%1)"/>
      <w:numFmt w:val="lowerRoman"/>
      <w:start w:val="1"/>
    </w:lvl>
  </w:abstractNum>
  <w:abstractNum w:abstractNumId="209">
    <w:nsid w:val="622D8102"/>
    <w:multiLevelType w:val="hybridMultilevel"/>
    <w:lvl w:ilvl="0">
      <w:lvlJc w:val="left"/>
      <w:lvlText w:val="(%1)"/>
      <w:numFmt w:val="lowerLetter"/>
      <w:start w:val="3"/>
    </w:lvl>
  </w:abstractNum>
  <w:abstractNum w:abstractNumId="210">
    <w:nsid w:val="2AB26587"/>
    <w:multiLevelType w:val="hybridMultilevel"/>
    <w:lvl w:ilvl="0">
      <w:lvlJc w:val="left"/>
      <w:lvlText w:val="(%1)"/>
      <w:numFmt w:val="lowerLetter"/>
      <w:start w:val="5"/>
    </w:lvl>
  </w:abstractNum>
  <w:abstractNum w:abstractNumId="211">
    <w:nsid w:val="44B3FA61"/>
    <w:multiLevelType w:val="hybridMultilevel"/>
    <w:lvl w:ilvl="0">
      <w:lvlJc w:val="left"/>
      <w:lvlText w:val="(%1)"/>
      <w:numFmt w:val="lowerLetter"/>
      <w:start w:val="1"/>
    </w:lvl>
  </w:abstractNum>
  <w:abstractNum w:abstractNumId="212">
    <w:nsid w:val="1C0CA67C"/>
    <w:multiLevelType w:val="hybridMultilevel"/>
    <w:lvl w:ilvl="0">
      <w:lvlJc w:val="left"/>
      <w:lvlText w:val="(%1)"/>
      <w:numFmt w:val="lowerLetter"/>
      <w:start w:val="3"/>
    </w:lvl>
    <w:lvl w:ilvl="1">
      <w:lvlJc w:val="left"/>
      <w:lvlText w:val="(%2)"/>
      <w:numFmt w:val="lowerLetter"/>
      <w:start w:val="9"/>
    </w:lvl>
  </w:abstractNum>
  <w:abstractNum w:abstractNumId="213">
    <w:nsid w:val="3D206613"/>
    <w:multiLevelType w:val="hybridMultilevel"/>
    <w:lvl w:ilvl="0">
      <w:lvlJc w:val="left"/>
      <w:lvlText w:val="(%1)"/>
      <w:numFmt w:val="upperLetter"/>
      <w:start w:val="1"/>
    </w:lvl>
  </w:abstractNum>
  <w:abstractNum w:abstractNumId="214">
    <w:nsid w:val="7993B662"/>
    <w:multiLevelType w:val="hybridMultilevel"/>
    <w:lvl w:ilvl="0">
      <w:lvlJc w:val="left"/>
      <w:lvlText w:val="(%1)"/>
      <w:numFmt w:val="lowerRoman"/>
      <w:start w:val="2"/>
    </w:lvl>
  </w:abstractNum>
  <w:abstractNum w:abstractNumId="215">
    <w:nsid w:val="3BAB699E"/>
    <w:multiLevelType w:val="hybridMultilevel"/>
    <w:lvl w:ilvl="0">
      <w:lvlJc w:val="left"/>
      <w:lvlText w:val="(%1)"/>
      <w:numFmt w:val="upperLetter"/>
      <w:start w:val="1"/>
    </w:lvl>
  </w:abstractNum>
  <w:abstractNum w:abstractNumId="216">
    <w:nsid w:val="71315369"/>
    <w:multiLevelType w:val="hybridMultilevel"/>
    <w:lvl w:ilvl="0">
      <w:lvlJc w:val="left"/>
      <w:lvlText w:val="(%1)"/>
      <w:numFmt w:val="upperLetter"/>
      <w:start w:val="2"/>
    </w:lvl>
  </w:abstractNum>
  <w:abstractNum w:abstractNumId="217">
    <w:nsid w:val="7BCFBAFC"/>
    <w:multiLevelType w:val="hybridMultilevel"/>
    <w:lvl w:ilvl="0">
      <w:lvlJc w:val="left"/>
      <w:lvlText w:val="(%1)"/>
      <w:numFmt w:val="lowerLetter"/>
      <w:start w:val="1"/>
    </w:lvl>
  </w:abstractNum>
  <w:abstractNum w:abstractNumId="218">
    <w:nsid w:val="17859F72"/>
    <w:multiLevelType w:val="hybridMultilevel"/>
    <w:lvl w:ilvl="0">
      <w:lvlJc w:val="left"/>
      <w:lvlText w:val="(%1)"/>
      <w:numFmt w:val="lowerRoman"/>
      <w:start w:val="1"/>
    </w:lvl>
  </w:abstractNum>
  <w:abstractNum w:abstractNumId="219">
    <w:nsid w:val="3AA10581"/>
    <w:multiLevelType w:val="hybridMultilevel"/>
    <w:lvl w:ilvl="0">
      <w:lvlJc w:val="left"/>
      <w:lvlText w:val="(%1)"/>
      <w:numFmt w:val="lowerRoman"/>
      <w:start w:val="2"/>
    </w:lvl>
    <w:lvl w:ilvl="1">
      <w:lvlJc w:val="left"/>
      <w:lvlText w:val="(%2)"/>
      <w:numFmt w:val="upperLetter"/>
      <w:start w:val="1"/>
    </w:lvl>
  </w:abstractNum>
  <w:abstractNum w:abstractNumId="220">
    <w:nsid w:val="63DE60CD"/>
    <w:multiLevelType w:val="hybridMultilevel"/>
    <w:lvl w:ilvl="0">
      <w:lvlJc w:val="left"/>
      <w:lvlText w:val="(%1)"/>
      <w:numFmt w:val="upperLetter"/>
      <w:start w:val="4"/>
    </w:lvl>
  </w:abstractNum>
  <w:abstractNum w:abstractNumId="221">
    <w:nsid w:val="621AF471"/>
    <w:multiLevelType w:val="hybridMultilevel"/>
    <w:lvl w:ilvl="0">
      <w:lvlJc w:val="left"/>
      <w:lvlText w:val="(%1)"/>
      <w:numFmt w:val="lowerLetter"/>
      <w:start w:val="2"/>
    </w:lvl>
  </w:abstractNum>
  <w:abstractNum w:abstractNumId="222">
    <w:nsid w:val="73CFE165"/>
    <w:multiLevelType w:val="hybridMultilevel"/>
    <w:lvl w:ilvl="0">
      <w:lvlJc w:val="left"/>
      <w:lvlText w:val="(%1)"/>
      <w:numFmt w:val="lowerLetter"/>
      <w:start w:val="1"/>
    </w:lvl>
  </w:abstractNum>
  <w:abstractNum w:abstractNumId="223">
    <w:nsid w:val="20F88EA6"/>
    <w:multiLevelType w:val="hybridMultilevel"/>
    <w:lvl w:ilvl="0">
      <w:lvlJc w:val="left"/>
      <w:lvlText w:val="(%1)"/>
      <w:numFmt w:val="lowerLetter"/>
      <w:start w:val="1"/>
    </w:lvl>
  </w:abstractNum>
  <w:abstractNum w:abstractNumId="224">
    <w:nsid w:val="617C843E"/>
    <w:multiLevelType w:val="hybridMultilevel"/>
    <w:lvl w:ilvl="0">
      <w:lvlJc w:val="left"/>
      <w:lvlText w:val="(%1)"/>
      <w:numFmt w:val="lowerLetter"/>
      <w:start w:val="1"/>
    </w:lvl>
    <w:lvl w:ilvl="1">
      <w:lvlJc w:val="left"/>
      <w:lvlText w:val="(%2)"/>
      <w:numFmt w:val="lowerLetter"/>
      <w:start w:val="9"/>
    </w:lvl>
  </w:abstractNum>
  <w:abstractNum w:abstractNumId="225">
    <w:nsid w:val="7B541FAB"/>
    <w:multiLevelType w:val="hybridMultilevel"/>
    <w:lvl w:ilvl="0">
      <w:lvlJc w:val="left"/>
      <w:lvlText w:val="(%1)"/>
      <w:numFmt w:val="lowerRoman"/>
      <w:start w:val="2"/>
    </w:lvl>
    <w:lvl w:ilvl="1">
      <w:lvlJc w:val="left"/>
      <w:lvlText w:val="(%2)"/>
      <w:numFmt w:val="upperLetter"/>
      <w:start w:val="1"/>
    </w:lvl>
  </w:abstractNum>
  <w:abstractNum w:abstractNumId="226">
    <w:nsid w:val="2A79EC49"/>
    <w:multiLevelType w:val="hybridMultilevel"/>
    <w:lvl w:ilvl="0">
      <w:lvlJc w:val="left"/>
      <w:lvlText w:val="(%1)"/>
      <w:numFmt w:val="lowerLetter"/>
      <w:start w:val="2"/>
    </w:lvl>
    <w:lvl w:ilvl="1">
      <w:lvlJc w:val="left"/>
      <w:lvlText w:val="(%2)"/>
      <w:numFmt w:val="lowerRoman"/>
      <w:start w:val="1"/>
    </w:lvl>
  </w:abstractNum>
  <w:abstractNum w:abstractNumId="227">
    <w:nsid w:val="338125CF"/>
    <w:multiLevelType w:val="hybridMultilevel"/>
    <w:lvl w:ilvl="0">
      <w:lvlJc w:val="left"/>
      <w:lvlText w:val="%1"/>
      <w:numFmt w:val="lowerLetter"/>
      <w:start w:val="1"/>
    </w:lvl>
    <w:lvl w:ilvl="1">
      <w:lvlJc w:val="left"/>
      <w:lvlText w:val="(%2)"/>
      <w:numFmt w:val="lowerLetter"/>
      <w:start w:val="61"/>
    </w:lvl>
  </w:abstractNum>
  <w:abstractNum w:abstractNumId="228">
    <w:nsid w:val="47C7C971"/>
    <w:multiLevelType w:val="hybridMultilevel"/>
    <w:lvl w:ilvl="0">
      <w:lvlJc w:val="left"/>
      <w:lvlText w:val="(%1)"/>
      <w:numFmt w:val="lowerLetter"/>
      <w:start w:val="4"/>
    </w:lvl>
    <w:lvl w:ilvl="1">
      <w:lvlJc w:val="left"/>
      <w:lvlText w:val="%2"/>
      <w:numFmt w:val="lowerLetter"/>
      <w:start w:val="1"/>
    </w:lvl>
  </w:abstractNum>
  <w:abstractNum w:abstractNumId="229">
    <w:nsid w:val="46F8284B"/>
    <w:multiLevelType w:val="hybridMultilevel"/>
    <w:lvl w:ilvl="0">
      <w:lvlJc w:val="left"/>
      <w:lvlText w:val="(%1)"/>
      <w:numFmt w:val="lowerRoman"/>
      <w:start w:val="1"/>
    </w:lvl>
  </w:abstractNum>
  <w:abstractNum w:abstractNumId="230">
    <w:nsid w:val="4FA327CE"/>
    <w:multiLevelType w:val="hybridMultilevel"/>
    <w:lvl w:ilvl="0">
      <w:lvlJc w:val="left"/>
      <w:lvlText w:val="(%1)"/>
      <w:numFmt w:val="lowerRoman"/>
      <w:start w:val="2"/>
    </w:lvl>
  </w:abstractNum>
  <w:abstractNum w:abstractNumId="231">
    <w:nsid w:val="1873983A"/>
    <w:multiLevelType w:val="hybridMultilevel"/>
    <w:lvl w:ilvl="0">
      <w:lvlJc w:val="left"/>
      <w:lvlText w:val="(%1)"/>
      <w:numFmt w:val="lowerLetter"/>
      <w:start w:val="6"/>
    </w:lvl>
  </w:abstractNum>
  <w:abstractNum w:abstractNumId="232">
    <w:nsid w:val="3D2DD275"/>
    <w:multiLevelType w:val="hybridMultilevel"/>
    <w:lvl w:ilvl="0">
      <w:lvlJc w:val="left"/>
      <w:lvlText w:val="(%1)"/>
      <w:numFmt w:val="lowerLetter"/>
      <w:start w:val="8"/>
    </w:lvl>
  </w:abstractNum>
  <w:abstractNum w:abstractNumId="233">
    <w:nsid w:val="2E17ECA7"/>
    <w:multiLevelType w:val="hybridMultilevel"/>
    <w:lvl w:ilvl="0">
      <w:lvlJc w:val="left"/>
      <w:lvlText w:val="(%1)"/>
      <w:numFmt w:val="lowerLetter"/>
      <w:start w:val="1"/>
    </w:lvl>
  </w:abstractNum>
  <w:abstractNum w:abstractNumId="234">
    <w:nsid w:val="53B2564F"/>
    <w:multiLevelType w:val="hybridMultilevel"/>
    <w:lvl w:ilvl="0">
      <w:lvlJc w:val="left"/>
      <w:lvlText w:val="(%1)"/>
      <w:numFmt w:val="lowerRoman"/>
      <w:start w:val="1"/>
    </w:lvl>
  </w:abstractNum>
  <w:abstractNum w:abstractNumId="235">
    <w:nsid w:val="75509D76"/>
    <w:multiLevelType w:val="hybridMultilevel"/>
    <w:lvl w:ilvl="0">
      <w:lvlJc w:val="left"/>
      <w:lvlText w:val="(%1)"/>
      <w:numFmt w:val="lowerLetter"/>
      <w:start w:val="1"/>
    </w:lvl>
  </w:abstractNum>
  <w:abstractNum w:abstractNumId="236">
    <w:nsid w:val="1AF7F0EA"/>
    <w:multiLevelType w:val="hybridMultilevel"/>
    <w:lvl w:ilvl="0">
      <w:lvlJc w:val="left"/>
      <w:lvlText w:val="(%1)"/>
      <w:numFmt w:val="lowerLetter"/>
      <w:start w:val="5"/>
    </w:lvl>
  </w:abstractNum>
  <w:abstractNum w:abstractNumId="237">
    <w:nsid w:val="4DA32C7E"/>
    <w:multiLevelType w:val="hybridMultilevel"/>
    <w:lvl w:ilvl="0">
      <w:lvlJc w:val="left"/>
      <w:lvlText w:val="(%1)"/>
      <w:numFmt w:val="lowerLetter"/>
      <w:start w:val="7"/>
    </w:lvl>
  </w:abstractNum>
  <w:abstractNum w:abstractNumId="238">
    <w:nsid w:val="6EC68664"/>
    <w:multiLevelType w:val="hybridMultilevel"/>
    <w:lvl w:ilvl="0">
      <w:lvlJc w:val="left"/>
      <w:lvlText w:val="%1."/>
      <w:numFmt w:val="decimal"/>
      <w:start w:val="1"/>
    </w:lvl>
  </w:abstractNum>
  <w:abstractNum w:abstractNumId="239">
    <w:nsid w:val="E0D31FF"/>
    <w:multiLevelType w:val="hybridMultilevel"/>
    <w:lvl w:ilvl="0">
      <w:lvlJc w:val="left"/>
      <w:lvlText w:val="%1."/>
      <w:numFmt w:val="decimal"/>
      <w:start w:val="2"/>
    </w:lvl>
  </w:abstractNum>
  <w:abstractNum w:abstractNumId="240">
    <w:nsid w:val="2FD0AD81"/>
    <w:multiLevelType w:val="hybridMultilevel"/>
    <w:lvl w:ilvl="0">
      <w:lvlJc w:val="left"/>
      <w:lvlText w:val="%1."/>
      <w:numFmt w:val="decimal"/>
      <w:start w:val="1"/>
    </w:lvl>
  </w:abstractNum>
  <w:abstractNum w:abstractNumId="241">
    <w:nsid w:val="1978EBEB"/>
    <w:multiLevelType w:val="hybridMultilevel"/>
    <w:lvl w:ilvl="0">
      <w:lvlJc w:val="left"/>
      <w:lvlText w:val="%1."/>
      <w:numFmt w:val="decimal"/>
      <w:start w:val="2"/>
    </w:lvl>
  </w:abstractNum>
  <w:abstractNum w:abstractNumId="242">
    <w:nsid w:val="52C12C61"/>
    <w:multiLevelType w:val="hybridMultilevel"/>
    <w:lvl w:ilvl="0">
      <w:lvlJc w:val="left"/>
      <w:lvlText w:val="%1."/>
      <w:numFmt w:val="decimal"/>
      <w:start w:val="1"/>
    </w:lvl>
  </w:abstractNum>
  <w:abstractNum w:abstractNumId="243">
    <w:nsid w:val="4BDD53FD"/>
    <w:multiLevelType w:val="hybridMultilevel"/>
    <w:lvl w:ilvl="0">
      <w:lvlJc w:val="left"/>
      <w:lvlText w:val="%1."/>
      <w:numFmt w:val="decimal"/>
      <w:start w:val="2"/>
    </w:lvl>
  </w:abstractNum>
  <w:abstractNum w:abstractNumId="244">
    <w:nsid w:val="569951FE"/>
    <w:multiLevelType w:val="hybridMultilevel"/>
    <w:lvl w:ilvl="0">
      <w:lvlJc w:val="left"/>
      <w:lvlText w:val="%1."/>
      <w:numFmt w:val="decimal"/>
      <w:start w:val="1"/>
    </w:lvl>
  </w:abstractNum>
  <w:abstractNum w:abstractNumId="245">
    <w:nsid w:val="4C54E2C3"/>
    <w:multiLevelType w:val="hybridMultilevel"/>
    <w:lvl w:ilvl="0">
      <w:lvlJc w:val="left"/>
      <w:lvlText w:val="%1."/>
      <w:numFmt w:val="decimal"/>
      <w:start w:val="2"/>
    </w:lvl>
  </w:abstractNum>
  <w:abstractNum w:abstractNumId="246">
    <w:nsid w:val="788BD9B"/>
    <w:multiLevelType w:val="hybridMultilevel"/>
    <w:lvl w:ilvl="0">
      <w:lvlJc w:val="left"/>
      <w:lvlText w:val="%1."/>
      <w:numFmt w:val="decimal"/>
      <w:start w:val="1"/>
    </w:lvl>
  </w:abstractNum>
  <w:abstractNum w:abstractNumId="247">
    <w:nsid w:val="47CAA567"/>
    <w:multiLevelType w:val="hybridMultilevel"/>
    <w:lvl w:ilvl="0">
      <w:lvlJc w:val="left"/>
      <w:lvlText w:val="%1."/>
      <w:numFmt w:val="decimal"/>
      <w:start w:val="2"/>
    </w:lvl>
  </w:abstractNum>
  <w:abstractNum w:abstractNumId="248">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9">
    <w:nsid w:val="1F0E5D0D"/>
    <w:multiLevelType w:val="hybridMultilevel"/>
    <w:lvl w:ilvl="0">
      <w:lvlJc w:val="left"/>
      <w:lvlText w:val="(%1)"/>
      <w:numFmt w:val="lowerLetter"/>
      <w:start w:val="4"/>
    </w:lvl>
  </w:abstractNum>
  <w:abstractNum w:abstractNumId="250">
    <w:nsid w:val="26BAAE9"/>
    <w:multiLevelType w:val="hybridMultilevel"/>
    <w:lvl w:ilvl="0">
      <w:lvlJc w:val="left"/>
      <w:lvlText w:val="%1."/>
      <w:numFmt w:val="decimal"/>
      <w:start w:val="2"/>
    </w:lvl>
    <w:lvl w:ilvl="1">
      <w:lvlJc w:val="left"/>
      <w:lvlText w:val="(%2)"/>
      <w:numFmt w:val="lowerLetter"/>
      <w:start w:val="1"/>
    </w:lvl>
  </w:abstractNum>
  <w:abstractNum w:abstractNumId="251">
    <w:nsid w:val="2C02FE8C"/>
    <w:multiLevelType w:val="hybridMultilevel"/>
    <w:lvl w:ilvl="0">
      <w:lvlJc w:val="left"/>
      <w:lvlText w:val="(%1)"/>
      <w:numFmt w:val="lowerLetter"/>
      <w:start w:val="2"/>
    </w:lvl>
  </w:abstractNum>
  <w:abstractNum w:abstractNumId="252">
    <w:nsid w:val="129517E"/>
    <w:multiLevelType w:val="hybridMultilevel"/>
    <w:lvl w:ilvl="0">
      <w:lvlJc w:val="left"/>
      <w:lvlText w:val="%1"/>
      <w:numFmt w:val="decimal"/>
      <w:start w:val="1"/>
    </w:lvl>
    <w:lvl w:ilvl="1">
      <w:lvlJc w:val="left"/>
      <w:lvlText w:val="(%2)"/>
      <w:numFmt w:val="lowerLetter"/>
      <w:start w:val="10"/>
    </w:lvl>
  </w:abstractNum>
  <w:abstractNum w:abstractNumId="253">
    <w:nsid w:val="763B8C4E"/>
    <w:multiLevelType w:val="hybridMultilevel"/>
    <w:lvl w:ilvl="0">
      <w:lvlJc w:val="left"/>
      <w:lvlText w:val="%1."/>
      <w:numFmt w:val="decimal"/>
      <w:start w:val="7"/>
    </w:lvl>
    <w:lvl w:ilvl="1">
      <w:lvlJc w:val="left"/>
      <w:lvlText w:val="(%2)"/>
      <w:numFmt w:val="lowerLetter"/>
      <w:start w:val="1"/>
    </w:lvl>
  </w:abstractNum>
  <w:abstractNum w:abstractNumId="254">
    <w:nsid w:val="4CFB8D32"/>
    <w:multiLevelType w:val="hybridMultilevel"/>
    <w:lvl w:ilvl="0">
      <w:lvlJc w:val="left"/>
      <w:lvlText w:val="1"/>
      <w:numFmt w:val="bullet"/>
      <w:start w:val="1"/>
    </w:lvl>
  </w:abstractNum>
  <w:abstractNum w:abstractNumId="255">
    <w:nsid w:val="62A5D5BD"/>
    <w:multiLevelType w:val="hybridMultilevel"/>
    <w:lvl w:ilvl="0">
      <w:lvlJc w:val="left"/>
      <w:lvlText w:val="(%1)"/>
      <w:numFmt w:val="lowerRoman"/>
      <w:start w:val="1"/>
    </w:lvl>
  </w:abstractNum>
  <w:abstractNum w:abstractNumId="256">
    <w:nsid w:val="718FABF9"/>
    <w:multiLevelType w:val="hybridMultilevel"/>
    <w:lvl w:ilvl="0">
      <w:lvlJc w:val="left"/>
      <w:lvlText w:val="(%1)"/>
      <w:numFmt w:val="lowerRoman"/>
      <w:start w:val="6"/>
    </w:lvl>
  </w:abstractNum>
  <w:abstractNum w:abstractNumId="257">
    <w:nsid w:val="777579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8">
    <w:nsid w:val="1626FB8C"/>
    <w:multiLevelType w:val="hybridMultilevel"/>
    <w:lvl w:ilvl="0">
      <w:lvlJc w:val="left"/>
      <w:lvlText w:val="%1."/>
      <w:numFmt w:val="decimal"/>
      <w:start w:val="2"/>
    </w:lvl>
    <w:lvl w:ilvl="1">
      <w:lvlJc w:val="left"/>
      <w:lvlText w:val="(%2)"/>
      <w:numFmt w:val="lowerLetter"/>
      <w:start w:val="1"/>
    </w:lvl>
  </w:abstractNum>
  <w:abstractNum w:abstractNumId="259">
    <w:nsid w:val="3957756A"/>
    <w:multiLevelType w:val="hybridMultilevel"/>
    <w:lvl w:ilvl="0">
      <w:lvlJc w:val="left"/>
      <w:lvlText w:val="%1"/>
      <w:numFmt w:val="decimal"/>
      <w:start w:val="1"/>
    </w:lvl>
    <w:lvl w:ilvl="1">
      <w:lvlJc w:val="left"/>
      <w:lvlText w:val="(%2)"/>
      <w:numFmt w:val="lowerLetter"/>
      <w:start w:val="2"/>
    </w:lvl>
  </w:abstractNum>
  <w:abstractNum w:abstractNumId="260">
    <w:nsid w:val="3E6DA1C7"/>
    <w:multiLevelType w:val="hybridMultilevel"/>
    <w:lvl w:ilvl="0">
      <w:lvlJc w:val="left"/>
      <w:lvlText w:val="%1."/>
      <w:numFmt w:val="decimal"/>
      <w:start w:val="3"/>
    </w:lvl>
    <w:lvl w:ilvl="1">
      <w:lvlJc w:val="left"/>
      <w:lvlText w:val="(%2)"/>
      <w:numFmt w:val="lowerLetter"/>
      <w:start w:val="1"/>
    </w:lvl>
  </w:abstractNum>
  <w:abstractNum w:abstractNumId="261">
    <w:nsid w:val="65CA235B"/>
    <w:multiLevelType w:val="hybridMultilevel"/>
    <w:lvl w:ilvl="0">
      <w:lvlJc w:val="left"/>
      <w:lvlText w:val="%1"/>
      <w:numFmt w:val="decimal"/>
      <w:start w:val="1"/>
    </w:lvl>
    <w:lvl w:ilvl="1">
      <w:lvlJc w:val="left"/>
      <w:lvlText w:val="(%2)"/>
      <w:numFmt w:val="lowerLetter"/>
      <w:start w:val="4"/>
    </w:lvl>
  </w:abstractNum>
  <w:abstractNum w:abstractNumId="262">
    <w:nsid w:val="51CB0DA4"/>
    <w:multiLevelType w:val="hybridMultilevel"/>
    <w:lvl w:ilvl="0">
      <w:lvlJc w:val="left"/>
      <w:lvlText w:val="%1."/>
      <w:numFmt w:val="decimal"/>
      <w:start w:val="7"/>
    </w:lvl>
    <w:lvl w:ilvl="1">
      <w:lvlJc w:val="left"/>
      <w:lvlText w:val="(%2)"/>
      <w:numFmt w:val="lowerLetter"/>
      <w:start w:val="1"/>
    </w:lvl>
  </w:abstractNum>
  <w:abstractNum w:abstractNumId="263">
    <w:nsid w:val="7B9B743C"/>
    <w:multiLevelType w:val="hybridMultilevel"/>
    <w:lvl w:ilvl="0">
      <w:lvlJc w:val="left"/>
      <w:lvlText w:val="(%1)"/>
      <w:numFmt w:val="lowerLetter"/>
      <w:start w:val="2"/>
    </w:lvl>
  </w:abstractNum>
  <w:abstractNum w:abstractNumId="264">
    <w:nsid w:val="13E21002"/>
    <w:multiLevelType w:val="hybridMultilevel"/>
    <w:lvl w:ilvl="0">
      <w:lvlJc w:val="left"/>
      <w:lvlText w:val="2"/>
      <w:numFmt w:val="bullet"/>
      <w:start w:val="1"/>
    </w:lvl>
  </w:abstractNum>
  <w:abstractNum w:abstractNumId="265">
    <w:nsid w:val="257D63F4"/>
    <w:multiLevelType w:val="hybridMultilevel"/>
    <w:lvl w:ilvl="0">
      <w:lvlJc w:val="left"/>
      <w:lvlText w:val="(%1)"/>
      <w:numFmt w:val="lowerRoman"/>
      <w:start w:val="1"/>
    </w:lvl>
  </w:abstractNum>
  <w:abstractNum w:abstractNumId="266">
    <w:nsid w:val="70EC11B2"/>
    <w:multiLevelType w:val="hybridMultilevel"/>
    <w:lvl w:ilvl="0">
      <w:lvlJc w:val="left"/>
      <w:lvlText w:val="(%1)"/>
      <w:numFmt w:val="lowerRoman"/>
      <w:start w:val="6"/>
    </w:lvl>
  </w:abstractNum>
  <w:abstractNum w:abstractNumId="267">
    <w:nsid w:val="2EDA00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8">
    <w:nsid w:val="732090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69">
    <w:nsid w:val="5FB2981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0">
    <w:nsid w:val="3CE732EC"/>
    <w:multiLevelType w:val="hybridMultilevel"/>
    <w:lvl w:ilvl="0">
      <w:lvlJc w:val="left"/>
      <w:lvlText w:val="%1"/>
      <w:numFmt w:val="decimal"/>
      <w:start w:val="1"/>
    </w:lvl>
    <w:lvl w:ilvl="1">
      <w:lvlJc w:val="left"/>
      <w:lvlText w:val="(%2)"/>
      <w:numFmt w:val="lowerLetter"/>
      <w:start w:val="4"/>
    </w:lvl>
  </w:abstractNum>
  <w:abstractNum w:abstractNumId="271">
    <w:nsid w:val="22F13DF3"/>
    <w:multiLevelType w:val="hybridMultilevel"/>
    <w:lvl w:ilvl="0">
      <w:lvlJc w:val="left"/>
      <w:lvlText w:val="%1."/>
      <w:numFmt w:val="decimal"/>
      <w:start w:val="6"/>
    </w:lvl>
    <w:lvl w:ilvl="1">
      <w:lvlJc w:val="left"/>
      <w:lvlText w:val="(%2)"/>
      <w:numFmt w:val="lowerLetter"/>
      <w:start w:val="1"/>
    </w:lvl>
  </w:abstractNum>
  <w:abstractNum w:abstractNumId="272">
    <w:nsid w:val="792B8401"/>
    <w:multiLevelType w:val="hybridMultilevel"/>
    <w:lvl w:ilvl="0">
      <w:lvlJc w:val="left"/>
      <w:lvlText w:val="(%1)"/>
      <w:numFmt w:val="lowerLetter"/>
      <w:start w:val="2"/>
    </w:lvl>
  </w:abstractNum>
  <w:abstractNum w:abstractNumId="273">
    <w:nsid w:val="FA85F4D"/>
    <w:multiLevelType w:val="hybridMultilevel"/>
    <w:lvl w:ilvl="0">
      <w:lvlJc w:val="left"/>
      <w:lvlText w:val="3"/>
      <w:numFmt w:val="bullet"/>
      <w:start w:val="1"/>
    </w:lvl>
  </w:abstractNum>
  <w:abstractNum w:abstractNumId="274">
    <w:nsid w:val="6ECE91F0"/>
    <w:multiLevelType w:val="hybridMultilevel"/>
    <w:lvl w:ilvl="0">
      <w:lvlJc w:val="left"/>
      <w:lvlText w:val="(%1)"/>
      <w:numFmt w:val="lowerLetter"/>
      <w:start w:val="1"/>
    </w:lvl>
  </w:abstractNum>
  <w:abstractNum w:abstractNumId="275">
    <w:nsid w:val="4FC4D600"/>
    <w:multiLevelType w:val="hybridMultilevel"/>
    <w:lvl w:ilvl="0">
      <w:lvlJc w:val="left"/>
      <w:lvlText w:val="•"/>
      <w:numFmt w:val="bullet"/>
      <w:start w:val="1"/>
    </w:lvl>
  </w:abstractNum>
  <w:abstractNum w:abstractNumId="276">
    <w:nsid w:val="5BFD4210"/>
    <w:multiLevelType w:val="hybridMultilevel"/>
    <w:lvl w:ilvl="0">
      <w:lvlJc w:val="left"/>
      <w:lvlText w:val="1"/>
      <w:numFmt w:val="bullet"/>
      <w:start w:val="1"/>
    </w:lvl>
  </w:abstractNum>
  <w:abstractNum w:abstractNumId="277">
    <w:nsid w:val="76574F8B"/>
    <w:multiLevelType w:val="hybridMultilevel"/>
    <w:lvl w:ilvl="0">
      <w:lvlJc w:val="left"/>
      <w:lvlText w:val="•"/>
      <w:numFmt w:val="bullet"/>
      <w:start w:val="1"/>
    </w:lvl>
  </w:abstractNum>
  <w:abstractNum w:abstractNumId="278">
    <w:nsid w:val="178F7B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9">
    <w:nsid w:val="2421DFC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80">
    <w:nsid w:val="1565AC99"/>
    <w:multiLevelType w:val="hybridMultilevel"/>
    <w:lvl w:ilvl="0">
      <w:lvlJc w:val="left"/>
      <w:lvlText w:val="%1"/>
      <w:numFmt w:val="decimal"/>
      <w:start w:val="1"/>
    </w:lvl>
    <w:lvl w:ilvl="1">
      <w:lvlJc w:val="left"/>
      <w:lvlText w:val="(%2)"/>
      <w:numFmt w:val="lowerLetter"/>
      <w:start w:val="4"/>
    </w:lvl>
  </w:abstractNum>
  <w:abstractNum w:abstractNumId="281">
    <w:nsid w:val="19FB2650"/>
    <w:multiLevelType w:val="hybridMultilevel"/>
    <w:lvl w:ilvl="0">
      <w:lvlJc w:val="left"/>
      <w:lvlText w:val="%1."/>
      <w:numFmt w:val="decimal"/>
      <w:start w:val="3"/>
    </w:lvl>
    <w:lvl w:ilvl="1">
      <w:lvlJc w:val="left"/>
      <w:lvlText w:val="(%2)"/>
      <w:numFmt w:val="lowerLetter"/>
      <w:start w:val="1"/>
    </w:lvl>
  </w:abstractNum>
  <w:abstractNum w:abstractNumId="282">
    <w:nsid w:val="5024DE5B"/>
    <w:multiLevelType w:val="hybridMultilevel"/>
    <w:lvl w:ilvl="0">
      <w:lvlJc w:val="left"/>
      <w:lvlText w:val="%1."/>
      <w:numFmt w:val="decimal"/>
      <w:start w:val="4"/>
    </w:lvl>
  </w:abstractNum>
  <w:abstractNum w:abstractNumId="283">
    <w:nsid w:val="168EFE17"/>
    <w:multiLevelType w:val="hybridMultilevel"/>
    <w:lvl w:ilvl="0">
      <w:lvlJc w:val="left"/>
      <w:lvlText w:val="%1."/>
      <w:numFmt w:val="decimal"/>
      <w:start w:val="5"/>
    </w:lvl>
  </w:abstractNum>
  <w:abstractNum w:abstractNumId="284">
    <w:nsid w:val="1036B29F"/>
    <w:multiLevelType w:val="hybridMultilevel"/>
    <w:lvl w:ilvl="0">
      <w:lvlJc w:val="left"/>
      <w:lvlText w:val="•"/>
      <w:numFmt w:val="bullet"/>
      <w:start w:val="1"/>
    </w:lvl>
  </w:abstractNum>
  <w:abstractNum w:abstractNumId="285">
    <w:nsid w:val="1D206B8E"/>
    <w:multiLevelType w:val="hybridMultilevel"/>
    <w:lvl w:ilvl="0">
      <w:lvlJc w:val="left"/>
      <w:lvlText w:val="%1."/>
      <w:numFmt w:val="decimal"/>
      <w:start w:val="8"/>
    </w:lvl>
  </w:abstractNum>
  <w:abstractNum w:abstractNumId="286">
    <w:nsid w:val="7934D3D4"/>
    <w:multiLevelType w:val="hybridMultilevel"/>
    <w:lvl w:ilvl="0">
      <w:lvlJc w:val="left"/>
      <w:lvlText w:val="%1."/>
      <w:numFmt w:val="decimal"/>
      <w:start w:val="11"/>
    </w:lvl>
    <w:lvl w:ilvl="1">
      <w:lvlJc w:val="left"/>
      <w:lvlText w:val="(%2)"/>
      <w:numFmt w:val="lowerLetter"/>
      <w:start w:val="1"/>
    </w:lvl>
  </w:abstractNum>
  <w:abstractNum w:abstractNumId="287">
    <w:nsid w:val="1C65E98"/>
    <w:multiLevelType w:val="hybridMultilevel"/>
    <w:lvl w:ilvl="0">
      <w:lvlJc w:val="left"/>
      <w:lvlText w:val="(%1)"/>
      <w:numFmt w:val="lowerLetter"/>
      <w:start w:val="2"/>
    </w:lvl>
  </w:abstractNum>
  <w:abstractNum w:abstractNumId="288">
    <w:nsid w:val="1495E50A"/>
    <w:multiLevelType w:val="hybridMultilevel"/>
    <w:lvl w:ilvl="0">
      <w:lvlJc w:val="left"/>
      <w:lvlText w:val="%1."/>
      <w:numFmt w:val="upperLetter"/>
      <w:start w:val="9"/>
    </w:lvl>
  </w:abstractNum>
  <w:abstractNum w:abstractNumId="289">
    <w:nsid w:val="F5BCF61"/>
    <w:multiLevelType w:val="hybridMultilevel"/>
    <w:lvl w:ilvl="0">
      <w:lvlJc w:val="left"/>
      <w:lvlText w:val="%1."/>
      <w:numFmt w:val="upperLetter"/>
      <w:start w:val="35"/>
    </w:lvl>
  </w:abstractNum>
  <w:abstractNum w:abstractNumId="290">
    <w:nsid w:val="3B1DD403"/>
    <w:multiLevelType w:val="hybridMultilevel"/>
    <w:lvl w:ilvl="0">
      <w:lvlJc w:val="left"/>
      <w:lvlText w:val="%1."/>
      <w:numFmt w:val="upperLetter"/>
      <w:start w:val="2"/>
    </w:lvl>
  </w:abstractNum>
  <w:abstractNum w:abstractNumId="291">
    <w:nsid w:val="530386D1"/>
    <w:multiLevelType w:val="hybridMultilevel"/>
    <w:lvl w:ilvl="0">
      <w:lvlJc w:val="left"/>
      <w:lvlText w:val="%1."/>
      <w:numFmt w:val="upperLetter"/>
      <w:start w:val="3"/>
    </w:lvl>
  </w:abstractNum>
  <w:abstractNum w:abstractNumId="292">
    <w:nsid w:val="7525F2BC"/>
    <w:multiLevelType w:val="hybridMultilevel"/>
    <w:lvl w:ilvl="0">
      <w:lvlJc w:val="left"/>
      <w:lvlText w:val="%1."/>
      <w:numFmt w:val="upperLetter"/>
      <w:start w:val="4"/>
    </w:lvl>
  </w:abstractNum>
  <w:abstractNum w:abstractNumId="293">
    <w:nsid w:val="CE8E1A7"/>
    <w:multiLevelType w:val="hybridMultilevel"/>
    <w:lvl w:ilvl="0">
      <w:lvlJc w:val="left"/>
      <w:lvlText w:val="%1."/>
      <w:numFmt w:val="upperLetter"/>
      <w:start w:val="5"/>
    </w:lvl>
  </w:abstractNum>
  <w:abstractNum w:abstractNumId="294">
    <w:nsid w:val="4E9EFB0D"/>
    <w:multiLevelType w:val="hybridMultilevel"/>
    <w:lvl w:ilvl="0">
      <w:lvlJc w:val="left"/>
      <w:lvlText w:val="%1."/>
      <w:numFmt w:val="upperLetter"/>
      <w:start w:val="6"/>
    </w:lvl>
  </w:abstractNum>
  <w:abstractNum w:abstractNumId="295">
    <w:nsid w:val="90802BE"/>
    <w:multiLevelType w:val="hybridMultilevel"/>
    <w:lvl w:ilvl="0">
      <w:lvlJc w:val="left"/>
      <w:lvlText w:val="%1."/>
      <w:numFmt w:val="upperLetter"/>
      <w:start w:val="7"/>
    </w:lvl>
  </w:abstractNum>
  <w:abstractNum w:abstractNumId="296">
    <w:nsid w:val="3266459B"/>
    <w:multiLevelType w:val="hybridMultilevel"/>
    <w:lvl w:ilvl="0">
      <w:lvlJc w:val="left"/>
      <w:lvlText w:val="•"/>
      <w:numFmt w:val="bullet"/>
      <w:start w:val="1"/>
    </w:lvl>
  </w:abstractNum>
  <w:abstractNum w:abstractNumId="297">
    <w:nsid w:val="3F8B0CBF"/>
    <w:multiLevelType w:val="hybridMultilevel"/>
    <w:lvl w:ilvl="0">
      <w:lvlJc w:val="left"/>
      <w:lvlText w:val="%1."/>
      <w:numFmt w:val="upperLetter"/>
      <w:start w:val="8"/>
    </w:lvl>
  </w:abstractNum>
  <w:abstractNum w:abstractNumId="298">
    <w:nsid w:val="37E203AB"/>
    <w:multiLevelType w:val="hybridMultilevel"/>
    <w:lvl w:ilvl="0">
      <w:lvlJc w:val="left"/>
      <w:lvlText w:val="%1."/>
      <w:numFmt w:val="upperLetter"/>
      <w:start w:val="9"/>
    </w:lvl>
  </w:abstractNum>
  <w:abstractNum w:abstractNumId="299">
    <w:nsid w:val="2586D60E"/>
    <w:multiLevelType w:val="hybridMultilevel"/>
    <w:lvl w:ilvl="0">
      <w:lvlJc w:val="left"/>
      <w:lvlText w:val="%1"/>
      <w:numFmt w:val="upperLetter"/>
      <w:start w:val="1"/>
    </w:lvl>
    <w:lvl w:ilvl="1">
      <w:lvlJc w:val="left"/>
      <w:lvlText w:val="•"/>
      <w:numFmt w:val="bullet"/>
      <w:start w:val="1"/>
    </w:lvl>
  </w:abstractNum>
  <w:abstractNum w:abstractNumId="300">
    <w:nsid w:val="1F3DA4D5"/>
    <w:multiLevelType w:val="hybridMultilevel"/>
    <w:lvl w:ilvl="0">
      <w:lvlJc w:val="left"/>
      <w:lvlText w:val="%1."/>
      <w:numFmt w:val="upperLetter"/>
      <w:start w:val="11"/>
    </w:lvl>
  </w:abstractNum>
  <w:abstractNum w:abstractNumId="301">
    <w:nsid w:val="74C93698"/>
    <w:multiLevelType w:val="hybridMultilevel"/>
    <w:lvl w:ilvl="0">
      <w:lvlJc w:val="left"/>
      <w:lvlText w:val="%1."/>
      <w:numFmt w:val="upperLetter"/>
      <w:start w:val="12"/>
    </w:lvl>
  </w:abstractNum>
  <w:abstractNum w:abstractNumId="302">
    <w:nsid w:val="48781401"/>
    <w:multiLevelType w:val="hybridMultilevel"/>
    <w:lvl w:ilvl="0">
      <w:lvlJc w:val="left"/>
      <w:lvlText w:val="%1."/>
      <w:numFmt w:val="upperLetter"/>
      <w:start w:val="13"/>
    </w:lvl>
  </w:abstractNum>
  <w:abstractNum w:abstractNumId="303">
    <w:nsid w:val="186928D6"/>
    <w:multiLevelType w:val="hybridMultilevel"/>
    <w:lvl w:ilvl="0">
      <w:lvlJc w:val="left"/>
      <w:lvlText w:val="%1."/>
      <w:numFmt w:val="upperLetter"/>
      <w:start w:val="61"/>
    </w:lvl>
  </w:abstractNum>
  <w:abstractNum w:abstractNumId="304">
    <w:nsid w:val="47195E5"/>
    <w:multiLevelType w:val="hybridMultilevel"/>
    <w:lvl w:ilvl="0">
      <w:lvlJc w:val="left"/>
      <w:lvlText w:val="%1."/>
      <w:numFmt w:val="upperLetter"/>
      <w:start w:val="2"/>
    </w:lvl>
  </w:abstractNum>
  <w:abstractNum w:abstractNumId="305">
    <w:nsid w:val="3746A5F2"/>
    <w:multiLevelType w:val="hybridMultilevel"/>
    <w:lvl w:ilvl="0">
      <w:lvlJc w:val="left"/>
      <w:lvlText w:val="%1."/>
      <w:numFmt w:val="upperLetter"/>
      <w:start w:val="3"/>
    </w:lvl>
  </w:abstractNum>
  <w:abstractNum w:abstractNumId="306">
    <w:nsid w:val="682DFED6"/>
    <w:multiLevelType w:val="hybridMultilevel"/>
    <w:lvl w:ilvl="0">
      <w:lvlJc w:val="left"/>
      <w:lvlText w:val="•"/>
      <w:numFmt w:val="bullet"/>
      <w:start w:val="1"/>
    </w:lvl>
  </w:abstractNum>
  <w:abstractNum w:abstractNumId="307">
    <w:nsid w:val="606ED7F6"/>
    <w:multiLevelType w:val="hybridMultilevel"/>
    <w:lvl w:ilvl="0">
      <w:lvlJc w:val="left"/>
      <w:lvlText w:val="•"/>
      <w:numFmt w:val="bullet"/>
      <w:start w:val="1"/>
    </w:lvl>
  </w:abstractNum>
  <w:abstractNum w:abstractNumId="308">
    <w:nsid w:val="2D9DF57D"/>
    <w:multiLevelType w:val="hybridMultilevel"/>
    <w:lvl w:ilvl="0">
      <w:lvlJc w:val="left"/>
      <w:lvlText w:val="%1."/>
      <w:numFmt w:val="upperLetter"/>
      <w:start w:val="4"/>
    </w:lvl>
  </w:abstractNum>
  <w:abstractNum w:abstractNumId="309">
    <w:nsid w:val="7FBD7A3E"/>
    <w:multiLevelType w:val="hybridMultilevel"/>
    <w:lvl w:ilvl="0">
      <w:lvlJc w:val="left"/>
      <w:lvlText w:val="%1."/>
      <w:numFmt w:val="upperLetter"/>
      <w:start w:val="5"/>
    </w:lvl>
  </w:abstractNum>
  <w:abstractNum w:abstractNumId="310">
    <w:nsid w:val="490B7C5"/>
    <w:multiLevelType w:val="hybridMultilevel"/>
    <w:lvl w:ilvl="0">
      <w:lvlJc w:val="left"/>
      <w:lvlText w:val="(%1)"/>
      <w:numFmt w:val="decimal"/>
      <w:start w:val="1"/>
    </w:lvl>
  </w:abstractNum>
  <w:abstractNum w:abstractNumId="311">
    <w:nsid w:val="4303A216"/>
    <w:multiLevelType w:val="hybridMultilevel"/>
    <w:lvl w:ilvl="0">
      <w:lvlJc w:val="left"/>
      <w:lvlText w:val="•"/>
      <w:numFmt w:val="bullet"/>
      <w:start w:val="1"/>
    </w:lvl>
  </w:abstractNum>
  <w:abstractNum w:abstractNumId="312">
    <w:nsid w:val="19B8A08E"/>
    <w:multiLevelType w:val="hybridMultilevel"/>
    <w:lvl w:ilvl="0">
      <w:lvlJc w:val="left"/>
      <w:lvlText w:val="•"/>
      <w:numFmt w:val="bullet"/>
      <w:start w:val="1"/>
    </w:lvl>
  </w:abstractNum>
  <w:abstractNum w:abstractNumId="313">
    <w:nsid w:val="54B59621"/>
    <w:multiLevelType w:val="hybridMultilevel"/>
    <w:lvl w:ilvl="0">
      <w:lvlJc w:val="left"/>
      <w:lvlText w:val="(%1)"/>
      <w:numFmt w:val="lowerRoman"/>
      <w:start w:val="15"/>
    </w:lvl>
  </w:abstractNum>
  <w:abstractNum w:abstractNumId="314">
    <w:nsid w:val="5992A02E"/>
    <w:multiLevelType w:val="hybridMultilevel"/>
    <w:lvl w:ilvl="0">
      <w:lvlJc w:val="left"/>
      <w:lvlText w:val="(%1)"/>
      <w:numFmt w:val="lowerRoman"/>
      <w:start w:val="1"/>
    </w:lvl>
  </w:abstractNum>
  <w:abstractNum w:abstractNumId="315">
    <w:nsid w:val="29EF532D"/>
    <w:multiLevelType w:val="hybridMultilevel"/>
    <w:lvl w:ilvl="0">
      <w:lvlJc w:val="left"/>
      <w:lvlText w:val="•"/>
      <w:numFmt w:val="bullet"/>
      <w:start w:val="1"/>
    </w:lvl>
  </w:abstractNum>
  <w:abstractNum w:abstractNumId="316">
    <w:nsid w:val="71D601AF"/>
    <w:multiLevelType w:val="hybridMultilevel"/>
    <w:lvl w:ilvl="0">
      <w:lvlJc w:val="left"/>
      <w:lvlText w:val="•"/>
      <w:numFmt w:val="bullet"/>
      <w:start w:val="1"/>
    </w:lvl>
  </w:abstractNum>
  <w:abstractNum w:abstractNumId="317">
    <w:nsid w:val="52C77402"/>
    <w:multiLevelType w:val="hybridMultilevel"/>
    <w:lvl w:ilvl="0">
      <w:lvlJc w:val="left"/>
      <w:lvlText w:val="•"/>
      <w:numFmt w:val="bullet"/>
      <w:start w:val="1"/>
    </w:lvl>
  </w:abstractNum>
  <w:abstractNum w:abstractNumId="318">
    <w:nsid w:val="2BB5B1C6"/>
    <w:multiLevelType w:val="hybridMultilevel"/>
    <w:lvl w:ilvl="0">
      <w:lvlJc w:val="left"/>
      <w:lvlText w:val="•"/>
      <w:numFmt w:val="bullet"/>
      <w:start w:val="1"/>
    </w:lvl>
  </w:abstractNum>
  <w:abstractNum w:abstractNumId="319">
    <w:nsid w:val="66BE6B9"/>
    <w:multiLevelType w:val="hybridMultilevel"/>
    <w:lvl w:ilvl="0">
      <w:lvlJc w:val="left"/>
      <w:lvlText w:val="•"/>
      <w:numFmt w:val="bullet"/>
      <w:start w:val="1"/>
    </w:lvl>
  </w:abstractNum>
  <w:abstractNum w:abstractNumId="320">
    <w:nsid w:val="62234363"/>
    <w:multiLevelType w:val="hybridMultilevel"/>
    <w:lvl w:ilvl="0">
      <w:lvlJc w:val="left"/>
      <w:lvlText w:val="•"/>
      <w:numFmt w:val="bullet"/>
      <w:start w:val="1"/>
    </w:lvl>
  </w:abstractNum>
  <w:abstractNum w:abstractNumId="321">
    <w:nsid w:val="66D385C9"/>
    <w:multiLevelType w:val="hybridMultilevel"/>
    <w:lvl w:ilvl="0">
      <w:lvlJc w:val="left"/>
      <w:lvlText w:val="•"/>
      <w:numFmt w:val="bullet"/>
      <w:start w:val="1"/>
    </w:lvl>
  </w:abstractNum>
  <w:abstractNum w:abstractNumId="322">
    <w:nsid w:val="596F6D8A"/>
    <w:multiLevelType w:val="hybridMultilevel"/>
    <w:lvl w:ilvl="0">
      <w:lvlJc w:val="left"/>
      <w:lvlText w:val="•"/>
      <w:numFmt w:val="bullet"/>
      <w:start w:val="1"/>
    </w:lvl>
  </w:abstractNum>
  <w:abstractNum w:abstractNumId="323">
    <w:nsid w:val="5749361F"/>
    <w:multiLevelType w:val="hybridMultilevel"/>
    <w:lvl w:ilvl="0">
      <w:lvlJc w:val="left"/>
      <w:lvlText w:val="•"/>
      <w:numFmt w:val="bullet"/>
      <w:start w:val="1"/>
    </w:lvl>
  </w:abstractNum>
  <w:abstractNum w:abstractNumId="324">
    <w:nsid w:val="73BC6770"/>
    <w:multiLevelType w:val="hybridMultilevel"/>
    <w:lvl w:ilvl="0">
      <w:lvlJc w:val="left"/>
      <w:lvlText w:val="•"/>
      <w:numFmt w:val="bullet"/>
      <w:start w:val="1"/>
    </w:lvl>
  </w:abstractNum>
  <w:abstractNum w:abstractNumId="325">
    <w:nsid w:val="280E6897"/>
    <w:multiLevelType w:val="hybridMultilevel"/>
    <w:lvl w:ilvl="0">
      <w:lvlJc w:val="left"/>
      <w:lvlText w:val="•"/>
      <w:numFmt w:val="bullet"/>
      <w:start w:val="1"/>
    </w:lvl>
  </w:abstractNum>
  <w:abstractNum w:abstractNumId="326">
    <w:nsid w:val="605138DE"/>
    <w:multiLevelType w:val="hybridMultilevel"/>
    <w:lvl w:ilvl="0">
      <w:lvlJc w:val="left"/>
      <w:lvlText w:val="•"/>
      <w:numFmt w:val="bullet"/>
      <w:start w:val="1"/>
    </w:lvl>
  </w:abstractNum>
  <w:abstractNum w:abstractNumId="327">
    <w:nsid w:val="2622AD0C"/>
    <w:multiLevelType w:val="hybridMultilevel"/>
    <w:lvl w:ilvl="0">
      <w:lvlJc w:val="left"/>
      <w:lvlText w:val="•"/>
      <w:numFmt w:val="bullet"/>
      <w:start w:val="1"/>
    </w:lvl>
  </w:abstractNum>
  <w:abstractNum w:abstractNumId="328">
    <w:nsid w:val="67997556"/>
    <w:multiLevelType w:val="hybridMultilevel"/>
    <w:lvl w:ilvl="0">
      <w:lvlJc w:val="left"/>
      <w:lvlText w:val="•"/>
      <w:numFmt w:val="bullet"/>
      <w:start w:val="1"/>
    </w:lvl>
  </w:abstractNum>
  <w:abstractNum w:abstractNumId="329">
    <w:nsid w:val="18333C89"/>
    <w:multiLevelType w:val="hybridMultilevel"/>
    <w:lvl w:ilvl="0">
      <w:lvlJc w:val="left"/>
      <w:lvlText w:val="•"/>
      <w:numFmt w:val="bullet"/>
      <w:start w:val="1"/>
    </w:lvl>
  </w:abstractNum>
  <w:abstractNum w:abstractNumId="330">
    <w:nsid w:val="4BA9831A"/>
    <w:multiLevelType w:val="hybridMultilevel"/>
    <w:lvl w:ilvl="0">
      <w:lvlJc w:val="left"/>
      <w:lvlText w:val="•"/>
      <w:numFmt w:val="bullet"/>
      <w:start w:val="1"/>
    </w:lvl>
  </w:abstractNum>
  <w:abstractNum w:abstractNumId="331">
    <w:nsid w:val="6D71A2B"/>
    <w:multiLevelType w:val="hybridMultilevel"/>
    <w:lvl w:ilvl="0">
      <w:lvlJc w:val="left"/>
      <w:lvlText w:val="•"/>
      <w:numFmt w:val="bullet"/>
      <w:start w:val="1"/>
    </w:lvl>
  </w:abstractNum>
  <w:abstractNum w:abstractNumId="332">
    <w:nsid w:val="CFC7321"/>
    <w:multiLevelType w:val="hybridMultilevel"/>
    <w:lvl w:ilvl="0">
      <w:lvlJc w:val="left"/>
      <w:lvlText w:val="•"/>
      <w:numFmt w:val="bullet"/>
      <w:start w:val="1"/>
    </w:lvl>
  </w:abstractNum>
  <w:abstractNum w:abstractNumId="333">
    <w:nsid w:val="1421971B"/>
    <w:multiLevelType w:val="hybridMultilevel"/>
    <w:lvl w:ilvl="0">
      <w:lvlJc w:val="left"/>
      <w:lvlText w:val="•"/>
      <w:numFmt w:val="bullet"/>
      <w:start w:val="1"/>
    </w:lvl>
  </w:abstractNum>
  <w:abstractNum w:abstractNumId="334">
    <w:nsid w:val="1F404301"/>
    <w:multiLevelType w:val="hybridMultilevel"/>
    <w:lvl w:ilvl="0">
      <w:lvlJc w:val="left"/>
      <w:lvlText w:val="•"/>
      <w:numFmt w:val="bullet"/>
      <w:start w:val="1"/>
    </w:lvl>
  </w:abstractNum>
  <w:abstractNum w:abstractNumId="335">
    <w:nsid w:val="116E0907"/>
    <w:multiLevelType w:val="hybridMultilevel"/>
    <w:lvl w:ilvl="0">
      <w:lvlJc w:val="left"/>
      <w:lvlText w:val="•"/>
      <w:numFmt w:val="bullet"/>
      <w:start w:val="1"/>
    </w:lvl>
  </w:abstractNum>
  <w:abstractNum w:abstractNumId="336">
    <w:nsid w:val="4B683D0D"/>
    <w:multiLevelType w:val="hybridMultilevel"/>
    <w:lvl w:ilvl="0">
      <w:lvlJc w:val="left"/>
      <w:lvlText w:val="•"/>
      <w:numFmt w:val="bullet"/>
      <w:start w:val="1"/>
    </w:lvl>
  </w:abstractNum>
  <w:abstractNum w:abstractNumId="337">
    <w:nsid w:val="76E41D8"/>
    <w:multiLevelType w:val="hybridMultilevel"/>
    <w:lvl w:ilvl="0">
      <w:lvlJc w:val="left"/>
      <w:lvlText w:val="•"/>
      <w:numFmt w:val="bullet"/>
      <w:start w:val="1"/>
    </w:lvl>
  </w:abstractNum>
  <w:abstractNum w:abstractNumId="338">
    <w:nsid w:val="71DCE0FD"/>
    <w:multiLevelType w:val="hybridMultilevel"/>
    <w:lvl w:ilvl="0">
      <w:lvlJc w:val="left"/>
      <w:lvlText w:val="•"/>
      <w:numFmt w:val="bullet"/>
      <w:start w:val="1"/>
    </w:lvl>
  </w:abstractNum>
  <w:abstractNum w:abstractNumId="339">
    <w:nsid w:val="7906328B"/>
    <w:multiLevelType w:val="hybridMultilevel"/>
    <w:lvl w:ilvl="0">
      <w:lvlJc w:val="left"/>
      <w:lvlText w:val="•"/>
      <w:numFmt w:val="bullet"/>
      <w:start w:val="1"/>
    </w:lvl>
  </w:abstractNum>
  <w:abstractNum w:abstractNumId="340">
    <w:nsid w:val="72BBC16"/>
    <w:multiLevelType w:val="hybridMultilevel"/>
    <w:lvl w:ilvl="0">
      <w:lvlJc w:val="left"/>
      <w:lvlText w:val="•"/>
      <w:numFmt w:val="bullet"/>
      <w:start w:val="1"/>
    </w:lvl>
  </w:abstractNum>
  <w:abstractNum w:abstractNumId="341">
    <w:nsid w:val="766D98C2"/>
    <w:multiLevelType w:val="hybridMultilevel"/>
    <w:lvl w:ilvl="0">
      <w:lvlJc w:val="left"/>
      <w:lvlText w:val="•"/>
      <w:numFmt w:val="bullet"/>
      <w:start w:val="1"/>
    </w:lvl>
  </w:abstractNum>
  <w:abstractNum w:abstractNumId="342">
    <w:nsid w:val="3C09D4A1"/>
    <w:multiLevelType w:val="hybridMultilevel"/>
    <w:lvl w:ilvl="0">
      <w:lvlJc w:val="left"/>
      <w:lvlText w:val="•"/>
      <w:numFmt w:val="bullet"/>
      <w:start w:val="1"/>
    </w:lvl>
  </w:abstractNum>
  <w:abstractNum w:abstractNumId="343">
    <w:nsid w:val="20E45CA4"/>
    <w:multiLevelType w:val="hybridMultilevel"/>
    <w:lvl w:ilvl="0">
      <w:lvlJc w:val="left"/>
      <w:lvlText w:val="•"/>
      <w:numFmt w:val="bullet"/>
      <w:start w:val="1"/>
    </w:lvl>
  </w:abstractNum>
  <w:abstractNum w:abstractNumId="344">
    <w:nsid w:val="4B232EE3"/>
    <w:multiLevelType w:val="hybridMultilevel"/>
    <w:lvl w:ilvl="0">
      <w:lvlJc w:val="left"/>
      <w:lvlText w:val="•"/>
      <w:numFmt w:val="bullet"/>
      <w:start w:val="1"/>
    </w:lvl>
  </w:abstractNum>
  <w:abstractNum w:abstractNumId="345">
    <w:nsid w:val="159C74CF"/>
    <w:multiLevelType w:val="hybridMultilevel"/>
    <w:lvl w:ilvl="0">
      <w:lvlJc w:val="left"/>
      <w:lvlText w:val="•"/>
      <w:numFmt w:val="bullet"/>
      <w:start w:val="1"/>
    </w:lvl>
  </w:abstractNum>
  <w:abstractNum w:abstractNumId="346">
    <w:nsid w:val="4AD3AFD2"/>
    <w:multiLevelType w:val="hybridMultilevel"/>
    <w:lvl w:ilvl="0">
      <w:lvlJc w:val="left"/>
      <w:lvlText w:val="•"/>
      <w:numFmt w:val="bullet"/>
      <w:start w:val="1"/>
    </w:lvl>
  </w:abstractNum>
  <w:abstractNum w:abstractNumId="347">
    <w:nsid w:val="3CF93092"/>
    <w:multiLevelType w:val="hybridMultilevel"/>
    <w:lvl w:ilvl="0">
      <w:lvlJc w:val="left"/>
      <w:lvlText w:val="•"/>
      <w:numFmt w:val="bullet"/>
      <w:start w:val="1"/>
    </w:lvl>
  </w:abstractNum>
  <w:abstractNum w:abstractNumId="348">
    <w:nsid w:val="6863E8D2"/>
    <w:multiLevelType w:val="hybridMultilevel"/>
    <w:lvl w:ilvl="0">
      <w:lvlJc w:val="left"/>
      <w:lvlText w:val="•"/>
      <w:numFmt w:val="bullet"/>
      <w:start w:val="1"/>
    </w:lvl>
  </w:abstractNum>
  <w:abstractNum w:abstractNumId="349">
    <w:nsid w:val="76896198"/>
    <w:multiLevelType w:val="hybridMultilevel"/>
    <w:lvl w:ilvl="0">
      <w:lvlJc w:val="left"/>
      <w:lvlText w:val="•"/>
      <w:numFmt w:val="bullet"/>
      <w:start w:val="1"/>
    </w:lvl>
  </w:abstractNum>
  <w:abstractNum w:abstractNumId="350">
    <w:nsid w:val="4365174B"/>
    <w:multiLevelType w:val="hybridMultilevel"/>
    <w:lvl w:ilvl="0">
      <w:lvlJc w:val="left"/>
      <w:lvlText w:val="%1"/>
      <w:numFmt w:val="upperLetter"/>
      <w:start w:val="34"/>
    </w:lvl>
  </w:abstractNum>
  <w:abstractNum w:abstractNumId="351">
    <w:nsid w:val="4A872C35"/>
    <w:multiLevelType w:val="hybridMultilevel"/>
    <w:lvl w:ilvl="0">
      <w:lvlJc w:val="left"/>
      <w:lvlText w:val="•"/>
      <w:numFmt w:val="bullet"/>
      <w:start w:val="1"/>
    </w:lvl>
  </w:abstractNum>
  <w:abstractNum w:abstractNumId="352">
    <w:nsid w:val="5D5CE761"/>
    <w:multiLevelType w:val="hybridMultilevel"/>
    <w:lvl w:ilvl="0">
      <w:lvlJc w:val="left"/>
      <w:lvlText w:val="(%1)"/>
      <w:numFmt w:val="lowerRoman"/>
      <w:start w:val="2"/>
    </w:lvl>
  </w:abstractNum>
  <w:abstractNum w:abstractNumId="353">
    <w:nsid w:val="1CD484D5"/>
    <w:multiLevelType w:val="hybridMultilevel"/>
    <w:lvl w:ilvl="0">
      <w:lvlJc w:val="left"/>
      <w:lvlText w:val="1"/>
      <w:numFmt w:val="bullet"/>
      <w:start w:val="1"/>
    </w:lvl>
  </w:abstractNum>
  <w:abstractNum w:abstractNumId="354">
    <w:nsid w:val="21D06255"/>
    <w:multiLevelType w:val="hybridMultilevel"/>
    <w:lvl w:ilvl="0">
      <w:lvlJc w:val="left"/>
      <w:lvlText w:val="1"/>
      <w:numFmt w:val="bullet"/>
      <w:start w:val="1"/>
    </w:lvl>
  </w:abstractNum>
  <w:abstractNum w:abstractNumId="355">
    <w:nsid w:val="51194ED1"/>
    <w:multiLevelType w:val="hybridMultilevel"/>
    <w:lvl w:ilvl="0">
      <w:lvlJc w:val="left"/>
      <w:lvlText w:val="1"/>
      <w:numFmt w:val="bullet"/>
      <w:start w:val="1"/>
    </w:lvl>
  </w:abstractNum>
  <w:abstractNum w:abstractNumId="356">
    <w:nsid w:val="44E2ED6C"/>
    <w:multiLevelType w:val="hybridMultilevel"/>
    <w:lvl w:ilvl="0">
      <w:lvlJc w:val="left"/>
      <w:lvlText w:val="•"/>
      <w:numFmt w:val="bullet"/>
      <w:start w:val="1"/>
    </w:lvl>
  </w:abstractNum>
  <w:abstractNum w:abstractNumId="357">
    <w:nsid w:val="2219B33"/>
    <w:multiLevelType w:val="hybridMultilevel"/>
    <w:lvl w:ilvl="0">
      <w:lvlJc w:val="left"/>
      <w:lvlText w:val="•"/>
      <w:numFmt w:val="bullet"/>
      <w:start w:val="1"/>
    </w:lvl>
  </w:abstractNum>
  <w:abstractNum w:abstractNumId="358">
    <w:nsid w:val="773BFBDD"/>
    <w:multiLevelType w:val="hybridMultilevel"/>
    <w:lvl w:ilvl="0">
      <w:lvlJc w:val="left"/>
      <w:lvlText w:val="•"/>
      <w:numFmt w:val="bullet"/>
      <w:start w:val="1"/>
    </w:lvl>
  </w:abstractNum>
  <w:abstractNum w:abstractNumId="359">
    <w:nsid w:val="2C7C62C2"/>
    <w:multiLevelType w:val="hybridMultilevel"/>
    <w:lvl w:ilvl="0">
      <w:lvlJc w:val="left"/>
      <w:lvlText w:val="•"/>
      <w:numFmt w:val="bullet"/>
      <w:start w:val="1"/>
    </w:lvl>
  </w:abstractNum>
  <w:abstractNum w:abstractNumId="360">
    <w:nsid w:val="1A54D7BC"/>
    <w:multiLevelType w:val="hybridMultilevel"/>
    <w:lvl w:ilvl="0">
      <w:lvlJc w:val="left"/>
      <w:lvlText w:val="•"/>
      <w:numFmt w:val="bullet"/>
      <w:start w:val="1"/>
    </w:lvl>
  </w:abstractNum>
  <w:abstractNum w:abstractNumId="361">
    <w:nsid w:val="42E57EF7"/>
    <w:multiLevelType w:val="hybridMultilevel"/>
    <w:lvl w:ilvl="0">
      <w:lvlJc w:val="left"/>
      <w:lvlText w:val="•"/>
      <w:numFmt w:val="bullet"/>
      <w:start w:val="1"/>
    </w:lvl>
  </w:abstractNum>
  <w:abstractNum w:abstractNumId="362">
    <w:nsid w:val="33537CED"/>
    <w:multiLevelType w:val="hybridMultilevel"/>
    <w:lvl w:ilvl="0">
      <w:lvlJc w:val="left"/>
      <w:lvlText w:val="•"/>
      <w:numFmt w:val="bullet"/>
      <w:start w:val="1"/>
    </w:lvl>
  </w:abstractNum>
  <w:abstractNum w:abstractNumId="363">
    <w:nsid w:val="27514ADE"/>
    <w:multiLevelType w:val="hybridMultilevel"/>
    <w:lvl w:ilvl="0">
      <w:lvlJc w:val="left"/>
      <w:lvlText w:val="•"/>
      <w:numFmt w:val="bullet"/>
      <w:start w:val="1"/>
    </w:lvl>
  </w:abstractNum>
  <w:abstractNum w:abstractNumId="364">
    <w:nsid w:val="57071613"/>
    <w:multiLevelType w:val="hybridMultilevel"/>
    <w:lvl w:ilvl="0">
      <w:lvlJc w:val="left"/>
      <w:lvlText w:val="(%1)"/>
      <w:numFmt w:val="decimal"/>
      <w:start w:val="1"/>
    </w:lvl>
  </w:abstractNum>
  <w:abstractNum w:abstractNumId="365">
    <w:nsid w:val="5293BFEF"/>
    <w:multiLevelType w:val="hybridMultilevel"/>
    <w:lvl w:ilvl="0">
      <w:lvlJc w:val="left"/>
      <w:lvlText w:val="•"/>
      <w:numFmt w:val="bullet"/>
      <w:start w:val="1"/>
    </w:lvl>
  </w:abstractNum>
  <w:abstractNum w:abstractNumId="366">
    <w:nsid w:val="38BF53E5"/>
    <w:multiLevelType w:val="hybridMultilevel"/>
    <w:lvl w:ilvl="0">
      <w:lvlJc w:val="left"/>
      <w:lvlText w:val="•"/>
      <w:numFmt w:val="bullet"/>
      <w:start w:val="1"/>
    </w:lvl>
  </w:abstractNum>
  <w:abstractNum w:abstractNumId="367">
    <w:nsid w:val="226F5320"/>
    <w:multiLevelType w:val="hybridMultilevel"/>
    <w:lvl w:ilvl="0">
      <w:lvlJc w:val="left"/>
      <w:lvlText w:val="(%1)"/>
      <w:numFmt w:val="decimal"/>
      <w:start w:val="2"/>
    </w:lvl>
  </w:abstractNum>
  <w:abstractNum w:abstractNumId="368">
    <w:nsid w:val="5A0201C7"/>
    <w:multiLevelType w:val="hybridMultilevel"/>
    <w:lvl w:ilvl="0">
      <w:lvlJc w:val="left"/>
      <w:lvlText w:val="•"/>
      <w:numFmt w:val="bullet"/>
      <w:start w:val="1"/>
    </w:lvl>
  </w:abstractNum>
  <w:abstractNum w:abstractNumId="369">
    <w:nsid w:val="2A9C34E2"/>
    <w:multiLevelType w:val="hybridMultilevel"/>
    <w:lvl w:ilvl="0">
      <w:lvlJc w:val="left"/>
      <w:lvlText w:val="%1."/>
      <w:numFmt w:val="lowerRoman"/>
      <w:start w:val="1"/>
    </w:lvl>
  </w:abstractNum>
  <w:abstractNum w:abstractNumId="370">
    <w:nsid w:val="1B7585AB"/>
    <w:multiLevelType w:val="hybridMultilevel"/>
    <w:lvl w:ilvl="0">
      <w:lvlJc w:val="left"/>
      <w:lvlText w:val="%1."/>
      <w:numFmt w:val="upperLetter"/>
      <w:start w:val="1"/>
    </w:lvl>
  </w:abstractNum>
  <w:abstractNum w:abstractNumId="371">
    <w:nsid w:val="612DBDDD"/>
    <w:multiLevelType w:val="hybridMultilevel"/>
    <w:lvl w:ilvl="0">
      <w:lvlJc w:val="left"/>
      <w:lvlText w:val="%1."/>
      <w:numFmt w:val="upperLetter"/>
      <w:start w:val="2"/>
    </w:lvl>
  </w:abstractNum>
  <w:abstractNum w:abstractNumId="372">
    <w:nsid w:val="2109CDA4"/>
    <w:multiLevelType w:val="hybridMultilevel"/>
    <w:lvl w:ilvl="0">
      <w:lvlJc w:val="left"/>
      <w:lvlText w:val="%1."/>
      <w:numFmt w:val="upperLetter"/>
      <w:start w:val="5"/>
    </w:lvl>
  </w:abstractNum>
  <w:abstractNum w:abstractNumId="373">
    <w:nsid w:val="577F5A4D"/>
    <w:multiLevelType w:val="hybridMultilevel"/>
    <w:lvl w:ilvl="0">
      <w:lvlJc w:val="left"/>
      <w:lvlText w:val="%1."/>
      <w:numFmt w:val="upperLetter"/>
      <w:start w:val="6"/>
    </w:lvl>
  </w:abstractNum>
  <w:abstractNum w:abstractNumId="374">
    <w:nsid w:val="2121A81"/>
    <w:multiLevelType w:val="hybridMultilevel"/>
    <w:lvl w:ilvl="0">
      <w:lvlJc w:val="left"/>
      <w:lvlText w:val="%1."/>
      <w:numFmt w:val="upperLetter"/>
      <w:start w:val="10"/>
    </w:lvl>
  </w:abstractNum>
  <w:abstractNum w:abstractNumId="375">
    <w:nsid w:val="6C2CFC88"/>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2022-12-29T16:43:15Z</dcterms:created>
  <dcterms:modified xsi:type="dcterms:W3CDTF">2022-12-29T16:43:15Z</dcterms:modified>
</cp:coreProperties>
</file>