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15,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001-39438</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6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7"/>
              </w:rPr>
              <w:t>FSDC</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left="660" w:hanging="328"/>
        <w:spacing w:after="0" w:line="277" w:lineRule="auto"/>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line="277" w:lineRule="auto"/>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supplements Item 9.01 (solely to add additional exhibits) of the Current Report on Form 8-K of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filed with the Securities and Exchange Commission on October 15, 2020 (the “</w:t>
      </w:r>
      <w:r>
        <w:rPr>
          <w:rFonts w:ascii="Arial" w:cs="Arial" w:eastAsia="Arial" w:hAnsi="Arial"/>
          <w:sz w:val="18"/>
          <w:szCs w:val="18"/>
          <w:b w:val="1"/>
          <w:bCs w:val="1"/>
          <w:i w:val="1"/>
          <w:iCs w:val="1"/>
          <w:color w:val="auto"/>
        </w:rPr>
        <w:t>Original Current Report</w:t>
      </w:r>
      <w:r>
        <w:rPr>
          <w:rFonts w:ascii="Arial" w:cs="Arial" w:eastAsia="Arial" w:hAnsi="Arial"/>
          <w:sz w:val="18"/>
          <w:szCs w:val="18"/>
          <w:color w:val="auto"/>
        </w:rPr>
        <w:t>”), in which the Company reported, among other events, the execution of the Merger Agreement (as defined in the Original Current Report). Item 1.01, Item 3.02, Item 7.01 and Item 8.01 of the Original Current Report remain unchanged. Interested parties should refer to the Original Current Report for Item 1.01, Item 3.02, Item 7.01 and Item 8.01 and the prior exhibits filed pursuant to Item 9.01.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60" w:type="dxa"/>
            <w:vAlign w:val="bottom"/>
            <w:gridSpan w:val="3"/>
          </w:tcPr>
          <w:p>
            <w:pPr>
              <w:ind w:left="8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Merger Agreement, dated as of October 15, 2020, by and between FS Development Corp., FSG Merger Sub Inc., Gemini Therapeutics,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Inc., and Shareholder Representative Services LLC.</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tcPr>
          <w:p>
            <w:pPr>
              <w:spacing w:after="0"/>
              <w:rPr>
                <w:sz w:val="18"/>
                <w:szCs w:val="18"/>
                <w:color w:val="auto"/>
              </w:rPr>
            </w:pPr>
          </w:p>
        </w:tc>
        <w:tc>
          <w:tcPr>
            <w:tcW w:w="374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Form of Subscription Agreement.</w:t>
              </w:r>
            </w:hyperlink>
          </w:p>
        </w:tc>
        <w:tc>
          <w:tcPr>
            <w:tcW w:w="6360" w:type="dxa"/>
            <w:vAlign w:val="bottom"/>
            <w:tcBorders>
              <w:top w:val="single" w:sz="8" w:color="CCEEFF"/>
            </w:tcBorders>
            <w:gridSpan w:val="3"/>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38">
              <w:r>
                <w:rPr>
                  <w:rFonts w:ascii="Arial" w:cs="Arial" w:eastAsia="Arial" w:hAnsi="Arial"/>
                  <w:sz w:val="18"/>
                  <w:szCs w:val="18"/>
                  <w:color w:val="0000EE"/>
                  <w:w w:val="91"/>
                </w:rPr>
                <w:t>Company Support Agreement, dated as of October 15, 2020, by and among FS Development Corp., and certain supporting stockholders of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Gemini Therapeutics, Inc.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w w:val="99"/>
              </w:rPr>
            </w:pPr>
            <w:hyperlink w:anchor="page252">
              <w:r>
                <w:rPr>
                  <w:rFonts w:ascii="Arial" w:cs="Arial" w:eastAsia="Arial" w:hAnsi="Arial"/>
                  <w:sz w:val="18"/>
                  <w:szCs w:val="18"/>
                  <w:color w:val="0000EE"/>
                  <w:w w:val="99"/>
                </w:rPr>
                <w:t>Parent Support Agreement, dated as of October 15, 2020, by and among FS Development Corp., Gemini Therapeutics, Inc. FS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Development Holdings, LLC and certain supporting stockholders of FS Development Corp.</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Item 601(a)(5) of Regulation S-K. The Company agrees to furnish supplementally a copy of any omitted exhibit or schedule to the SEC upon its request.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19,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October 15, 2020</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Gemini Therapeutics,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Shareholder Representative Services LLC, as the Stockholders’ Representative,</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1677670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3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1.2</w:t>
            </w:r>
          </w:p>
        </w:tc>
        <w:tc>
          <w:tcPr>
            <w:tcW w:w="936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MERGER</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2.1</w:t>
            </w:r>
          </w:p>
        </w:tc>
        <w:tc>
          <w:tcPr>
            <w:tcW w:w="9360" w:type="dxa"/>
            <w:vAlign w:val="bottom"/>
          </w:tcPr>
          <w:p>
            <w:pPr>
              <w:ind w:left="260"/>
              <w:spacing w:after="0"/>
              <w:rPr>
                <w:sz w:val="20"/>
                <w:szCs w:val="20"/>
                <w:color w:val="auto"/>
              </w:rPr>
            </w:pPr>
            <w:r>
              <w:rPr>
                <w:rFonts w:ascii="Arial" w:cs="Arial" w:eastAsia="Arial" w:hAnsi="Arial"/>
                <w:sz w:val="18"/>
                <w:szCs w:val="18"/>
                <w:color w:val="auto"/>
              </w:rPr>
              <w:t>Merger</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 Effective Time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2.3</w:t>
            </w:r>
          </w:p>
        </w:tc>
        <w:tc>
          <w:tcPr>
            <w:tcW w:w="9360" w:type="dxa"/>
            <w:vAlign w:val="bottom"/>
          </w:tcPr>
          <w:p>
            <w:pPr>
              <w:ind w:left="260"/>
              <w:spacing w:after="0"/>
              <w:rPr>
                <w:sz w:val="20"/>
                <w:szCs w:val="20"/>
                <w:color w:val="auto"/>
              </w:rPr>
            </w:pPr>
            <w:r>
              <w:rPr>
                <w:rFonts w:ascii="Arial" w:cs="Arial" w:eastAsia="Arial" w:hAnsi="Arial"/>
                <w:sz w:val="18"/>
                <w:szCs w:val="18"/>
                <w:color w:val="auto"/>
              </w:rPr>
              <w:t>Effect of the Merger</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2.4</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Tax Treatment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2.5</w:t>
            </w:r>
          </w:p>
        </w:tc>
        <w:tc>
          <w:tcPr>
            <w:tcW w:w="9360" w:type="dxa"/>
            <w:vAlign w:val="bottom"/>
          </w:tcPr>
          <w:p>
            <w:pPr>
              <w:ind w:left="260"/>
              <w:spacing w:after="0"/>
              <w:rPr>
                <w:sz w:val="20"/>
                <w:szCs w:val="20"/>
                <w:color w:val="auto"/>
              </w:rPr>
            </w:pPr>
            <w:r>
              <w:rPr>
                <w:rFonts w:ascii="Arial" w:cs="Arial" w:eastAsia="Arial" w:hAnsi="Arial"/>
                <w:sz w:val="18"/>
                <w:szCs w:val="18"/>
                <w:color w:val="auto"/>
              </w:rPr>
              <w:t>Certificate of Incorporation</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2.6</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Closing; Effective Time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2.7</w:t>
            </w:r>
          </w:p>
        </w:tc>
        <w:tc>
          <w:tcPr>
            <w:tcW w:w="9360" w:type="dxa"/>
            <w:vAlign w:val="bottom"/>
          </w:tcPr>
          <w:p>
            <w:pPr>
              <w:ind w:left="260"/>
              <w:spacing w:after="0"/>
              <w:rPr>
                <w:sz w:val="20"/>
                <w:szCs w:val="20"/>
                <w:color w:val="auto"/>
              </w:rPr>
            </w:pPr>
            <w:r>
              <w:rPr>
                <w:rFonts w:ascii="Arial" w:cs="Arial" w:eastAsia="Arial" w:hAnsi="Arial"/>
                <w:sz w:val="18"/>
                <w:szCs w:val="18"/>
                <w:color w:val="auto"/>
              </w:rPr>
              <w:t>Board of Directors of Parent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2.8</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Taking of Necessary Action; Further Action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2.9</w:t>
            </w:r>
          </w:p>
        </w:tc>
        <w:tc>
          <w:tcPr>
            <w:tcW w:w="9360" w:type="dxa"/>
            <w:vAlign w:val="bottom"/>
          </w:tcPr>
          <w:p>
            <w:pPr>
              <w:ind w:left="260"/>
              <w:spacing w:after="0"/>
              <w:rPr>
                <w:sz w:val="20"/>
                <w:szCs w:val="20"/>
                <w:color w:val="auto"/>
              </w:rPr>
            </w:pPr>
            <w:r>
              <w:rPr>
                <w:rFonts w:ascii="Arial" w:cs="Arial" w:eastAsia="Arial" w:hAnsi="Arial"/>
                <w:sz w:val="18"/>
                <w:szCs w:val="18"/>
                <w:color w:val="auto"/>
              </w:rPr>
              <w:t>No Further Ownership Rights in Company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2.10</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Appraisal Rights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[INTENTIONALLY OMITTED]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CONSIDERATION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 of Company Securities; Convertible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4.2</w:t>
            </w:r>
          </w:p>
        </w:tc>
        <w:tc>
          <w:tcPr>
            <w:tcW w:w="9360" w:type="dxa"/>
            <w:vAlign w:val="bottom"/>
          </w:tcPr>
          <w:p>
            <w:pPr>
              <w:ind w:left="260"/>
              <w:spacing w:after="0"/>
              <w:rPr>
                <w:sz w:val="20"/>
                <w:szCs w:val="20"/>
                <w:color w:val="auto"/>
              </w:rPr>
            </w:pPr>
            <w:r>
              <w:rPr>
                <w:rFonts w:ascii="Arial" w:cs="Arial" w:eastAsia="Arial" w:hAnsi="Arial"/>
                <w:sz w:val="18"/>
                <w:szCs w:val="18"/>
                <w:color w:val="auto"/>
              </w:rPr>
              <w:t>No Fractional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Withholding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REPRESENTATIONS AND WARRANTIES OF THE COMPANY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Existence and Power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w:t>
            </w:r>
          </w:p>
        </w:tc>
        <w:tc>
          <w:tcPr>
            <w:tcW w:w="9360" w:type="dxa"/>
            <w:vAlign w:val="bottom"/>
          </w:tcPr>
          <w:p>
            <w:pPr>
              <w:ind w:left="260"/>
              <w:spacing w:after="0"/>
              <w:rPr>
                <w:sz w:val="20"/>
                <w:szCs w:val="20"/>
                <w:color w:val="auto"/>
              </w:rPr>
            </w:pPr>
            <w:r>
              <w:rPr>
                <w:rFonts w:ascii="Arial" w:cs="Arial" w:eastAsia="Arial" w:hAnsi="Arial"/>
                <w:sz w:val="18"/>
                <w:szCs w:val="18"/>
                <w:color w:val="auto"/>
              </w:rPr>
              <w:t>Authorization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Governmental Authorization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5.4</w:t>
            </w:r>
          </w:p>
        </w:tc>
        <w:tc>
          <w:tcPr>
            <w:tcW w:w="9360" w:type="dxa"/>
            <w:vAlign w:val="bottom"/>
          </w:tcPr>
          <w:p>
            <w:pPr>
              <w:ind w:left="260"/>
              <w:spacing w:after="0"/>
              <w:rPr>
                <w:sz w:val="20"/>
                <w:szCs w:val="20"/>
                <w:color w:val="auto"/>
              </w:rPr>
            </w:pPr>
            <w:r>
              <w:rPr>
                <w:rFonts w:ascii="Arial" w:cs="Arial" w:eastAsia="Arial" w:hAnsi="Arial"/>
                <w:sz w:val="18"/>
                <w:szCs w:val="18"/>
                <w:color w:val="auto"/>
              </w:rPr>
              <w:t>Non-Contravention</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5.5</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5.6</w:t>
            </w:r>
          </w:p>
        </w:tc>
        <w:tc>
          <w:tcPr>
            <w:tcW w:w="9360" w:type="dxa"/>
            <w:vAlign w:val="bottom"/>
          </w:tcPr>
          <w:p>
            <w:pPr>
              <w:ind w:left="260"/>
              <w:spacing w:after="0"/>
              <w:rPr>
                <w:sz w:val="20"/>
                <w:szCs w:val="20"/>
                <w:color w:val="auto"/>
              </w:rPr>
            </w:pPr>
            <w:r>
              <w:rPr>
                <w:rFonts w:ascii="Arial" w:cs="Arial" w:eastAsia="Arial" w:hAnsi="Arial"/>
                <w:sz w:val="18"/>
                <w:szCs w:val="18"/>
                <w:color w:val="auto"/>
              </w:rPr>
              <w:t>Corporate Records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5.7</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Subsidiaries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5.8</w:t>
            </w:r>
          </w:p>
        </w:tc>
        <w:tc>
          <w:tcPr>
            <w:tcW w:w="9360" w:type="dxa"/>
            <w:vAlign w:val="bottom"/>
          </w:tcPr>
          <w:p>
            <w:pPr>
              <w:ind w:left="260"/>
              <w:spacing w:after="0"/>
              <w:rPr>
                <w:sz w:val="20"/>
                <w:szCs w:val="20"/>
                <w:color w:val="auto"/>
              </w:rPr>
            </w:pPr>
            <w:r>
              <w:rPr>
                <w:rFonts w:ascii="Arial" w:cs="Arial" w:eastAsia="Arial" w:hAnsi="Arial"/>
                <w:sz w:val="18"/>
                <w:szCs w:val="18"/>
                <w:color w:val="auto"/>
              </w:rPr>
              <w:t>Consents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5.9</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5.10</w:t>
            </w:r>
          </w:p>
        </w:tc>
        <w:tc>
          <w:tcPr>
            <w:tcW w:w="9360" w:type="dxa"/>
            <w:vAlign w:val="bottom"/>
          </w:tcPr>
          <w:p>
            <w:pPr>
              <w:ind w:left="260"/>
              <w:spacing w:after="0"/>
              <w:rPr>
                <w:sz w:val="20"/>
                <w:szCs w:val="20"/>
                <w:color w:val="auto"/>
              </w:rPr>
            </w:pPr>
            <w:r>
              <w:rPr>
                <w:rFonts w:ascii="Arial" w:cs="Arial" w:eastAsia="Arial" w:hAnsi="Arial"/>
                <w:sz w:val="18"/>
                <w:szCs w:val="18"/>
                <w:color w:val="auto"/>
              </w:rPr>
              <w:t>Books and Records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Internal Accounting Controls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5.12</w:t>
            </w:r>
          </w:p>
        </w:tc>
        <w:tc>
          <w:tcPr>
            <w:tcW w:w="9360" w:type="dxa"/>
            <w:vAlign w:val="bottom"/>
          </w:tcPr>
          <w:p>
            <w:pPr>
              <w:ind w:left="260"/>
              <w:spacing w:after="0"/>
              <w:rPr>
                <w:sz w:val="20"/>
                <w:szCs w:val="20"/>
                <w:color w:val="auto"/>
              </w:rPr>
            </w:pPr>
            <w:r>
              <w:rPr>
                <w:rFonts w:ascii="Arial" w:cs="Arial" w:eastAsia="Arial" w:hAnsi="Arial"/>
                <w:sz w:val="18"/>
                <w:szCs w:val="18"/>
                <w:color w:val="auto"/>
              </w:rPr>
              <w:t>Absence of Certain Changes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 Title to the Company’s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5.14</w:t>
            </w:r>
          </w:p>
        </w:tc>
        <w:tc>
          <w:tcPr>
            <w:tcW w:w="936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5.15</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5.16</w:t>
            </w:r>
          </w:p>
        </w:tc>
        <w:tc>
          <w:tcPr>
            <w:tcW w:w="9360" w:type="dxa"/>
            <w:vAlign w:val="bottom"/>
          </w:tcPr>
          <w:p>
            <w:pPr>
              <w:ind w:left="260"/>
              <w:spacing w:after="0"/>
              <w:rPr>
                <w:sz w:val="20"/>
                <w:szCs w:val="20"/>
                <w:color w:val="auto"/>
              </w:rPr>
            </w:pPr>
            <w:r>
              <w:rPr>
                <w:rFonts w:ascii="Arial" w:cs="Arial" w:eastAsia="Arial" w:hAnsi="Arial"/>
                <w:sz w:val="18"/>
                <w:szCs w:val="18"/>
                <w:color w:val="auto"/>
              </w:rPr>
              <w:t>Licenses and Permits</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5.17</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Laws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5.18</w:t>
            </w:r>
          </w:p>
        </w:tc>
        <w:tc>
          <w:tcPr>
            <w:tcW w:w="93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5.19</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FDA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5.20</w:t>
            </w:r>
          </w:p>
        </w:tc>
        <w:tc>
          <w:tcPr>
            <w:tcW w:w="9360" w:type="dxa"/>
            <w:vAlign w:val="bottom"/>
          </w:tcPr>
          <w:p>
            <w:pPr>
              <w:ind w:left="260"/>
              <w:spacing w:after="0"/>
              <w:rPr>
                <w:sz w:val="20"/>
                <w:szCs w:val="20"/>
                <w:color w:val="auto"/>
              </w:rPr>
            </w:pPr>
            <w:r>
              <w:rPr>
                <w:rFonts w:ascii="Arial" w:cs="Arial" w:eastAsia="Arial" w:hAnsi="Arial"/>
                <w:sz w:val="18"/>
                <w:szCs w:val="18"/>
                <w:color w:val="auto"/>
              </w:rPr>
              <w:t>Accounts Payable; Affiliate Loans</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Employees; Employment Matters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5.22</w:t>
            </w:r>
          </w:p>
        </w:tc>
        <w:tc>
          <w:tcPr>
            <w:tcW w:w="936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360" w:type="dxa"/>
            <w:vAlign w:val="bottom"/>
          </w:tcPr>
          <w:p>
            <w:pPr>
              <w:ind w:left="2860"/>
              <w:spacing w:after="0"/>
              <w:rPr>
                <w:sz w:val="20"/>
                <w:szCs w:val="20"/>
                <w:color w:val="auto"/>
              </w:rPr>
            </w:pPr>
            <w:r>
              <w:rPr>
                <w:rFonts w:ascii="Arial" w:cs="Arial" w:eastAsia="Arial" w:hAnsi="Arial"/>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Employee Benefits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5.24</w:t>
            </w:r>
          </w:p>
        </w:tc>
        <w:tc>
          <w:tcPr>
            <w:tcW w:w="936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5.25</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Matters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5.26</w:t>
            </w:r>
          </w:p>
        </w:tc>
        <w:tc>
          <w:tcPr>
            <w:tcW w:w="9360" w:type="dxa"/>
            <w:vAlign w:val="bottom"/>
          </w:tcPr>
          <w:p>
            <w:pPr>
              <w:ind w:left="260"/>
              <w:spacing w:after="0"/>
              <w:rPr>
                <w:sz w:val="20"/>
                <w:szCs w:val="20"/>
                <w:color w:val="auto"/>
              </w:rPr>
            </w:pPr>
            <w:r>
              <w:rPr>
                <w:rFonts w:ascii="Arial" w:cs="Arial" w:eastAsia="Arial" w:hAnsi="Arial"/>
                <w:sz w:val="18"/>
                <w:szCs w:val="18"/>
                <w:color w:val="auto"/>
              </w:rPr>
              <w:t>Environmental Laws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5.27</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Finders’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5.28</w:t>
            </w:r>
          </w:p>
        </w:tc>
        <w:tc>
          <w:tcPr>
            <w:tcW w:w="9360" w:type="dxa"/>
            <w:vAlign w:val="bottom"/>
          </w:tcPr>
          <w:p>
            <w:pPr>
              <w:ind w:left="260"/>
              <w:spacing w:after="0"/>
              <w:rPr>
                <w:sz w:val="20"/>
                <w:szCs w:val="20"/>
                <w:color w:val="auto"/>
              </w:rPr>
            </w:pPr>
            <w:r>
              <w:rPr>
                <w:rFonts w:ascii="Arial" w:cs="Arial" w:eastAsia="Arial" w:hAnsi="Arial"/>
                <w:sz w:val="18"/>
                <w:szCs w:val="18"/>
                <w:color w:val="auto"/>
              </w:rPr>
              <w:t>Powers of Attorney and Suretyships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5.29</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Directors and Officers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5.30</w:t>
            </w:r>
          </w:p>
        </w:tc>
        <w:tc>
          <w:tcPr>
            <w:tcW w:w="9360" w:type="dxa"/>
            <w:vAlign w:val="bottom"/>
          </w:tcPr>
          <w:p>
            <w:pPr>
              <w:ind w:left="260"/>
              <w:spacing w:after="0"/>
              <w:rPr>
                <w:sz w:val="20"/>
                <w:szCs w:val="20"/>
                <w:color w:val="auto"/>
              </w:rPr>
            </w:pPr>
            <w:r>
              <w:rPr>
                <w:rFonts w:ascii="Arial" w:cs="Arial" w:eastAsia="Arial" w:hAnsi="Arial"/>
                <w:sz w:val="18"/>
                <w:szCs w:val="18"/>
                <w:color w:val="auto"/>
              </w:rPr>
              <w:t>Anti-Money Laundering Laws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5.31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5.32</w:t>
            </w:r>
          </w:p>
        </w:tc>
        <w:tc>
          <w:tcPr>
            <w:tcW w:w="9360" w:type="dxa"/>
            <w:vAlign w:val="bottom"/>
          </w:tcPr>
          <w:p>
            <w:pPr>
              <w:ind w:left="260"/>
              <w:spacing w:after="0"/>
              <w:rPr>
                <w:sz w:val="20"/>
                <w:szCs w:val="20"/>
                <w:color w:val="auto"/>
              </w:rPr>
            </w:pPr>
            <w:r>
              <w:rPr>
                <w:rFonts w:ascii="Arial" w:cs="Arial" w:eastAsia="Arial" w:hAnsi="Arial"/>
                <w:sz w:val="18"/>
                <w:szCs w:val="18"/>
                <w:color w:val="auto"/>
              </w:rPr>
              <w:t>Related Party Transactions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PARENT AND MERGER SUB</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6.1</w:t>
            </w:r>
          </w:p>
        </w:tc>
        <w:tc>
          <w:tcPr>
            <w:tcW w:w="9360" w:type="dxa"/>
            <w:vAlign w:val="bottom"/>
          </w:tcPr>
          <w:p>
            <w:pPr>
              <w:ind w:left="260"/>
              <w:spacing w:after="0"/>
              <w:rPr>
                <w:sz w:val="20"/>
                <w:szCs w:val="20"/>
                <w:color w:val="auto"/>
              </w:rPr>
            </w:pPr>
            <w:r>
              <w:rPr>
                <w:rFonts w:ascii="Arial" w:cs="Arial" w:eastAsia="Arial" w:hAnsi="Arial"/>
                <w:sz w:val="18"/>
                <w:szCs w:val="18"/>
                <w:color w:val="auto"/>
              </w:rPr>
              <w:t>Corporate Existence and Power</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Authorization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6.3</w:t>
            </w:r>
          </w:p>
        </w:tc>
        <w:tc>
          <w:tcPr>
            <w:tcW w:w="9360" w:type="dxa"/>
            <w:vAlign w:val="bottom"/>
          </w:tcPr>
          <w:p>
            <w:pPr>
              <w:ind w:left="260"/>
              <w:spacing w:after="0"/>
              <w:rPr>
                <w:sz w:val="20"/>
                <w:szCs w:val="20"/>
                <w:color w:val="auto"/>
              </w:rPr>
            </w:pPr>
            <w:r>
              <w:rPr>
                <w:rFonts w:ascii="Arial" w:cs="Arial" w:eastAsia="Arial" w:hAnsi="Arial"/>
                <w:sz w:val="18"/>
                <w:szCs w:val="18"/>
                <w:color w:val="auto"/>
              </w:rPr>
              <w:t>Governmental Authorization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6.4</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Non-Contravention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6.5</w:t>
            </w:r>
          </w:p>
        </w:tc>
        <w:tc>
          <w:tcPr>
            <w:tcW w:w="9360" w:type="dxa"/>
            <w:vAlign w:val="bottom"/>
          </w:tcPr>
          <w:p>
            <w:pPr>
              <w:ind w:left="260"/>
              <w:spacing w:after="0"/>
              <w:rPr>
                <w:sz w:val="20"/>
                <w:szCs w:val="20"/>
                <w:color w:val="auto"/>
              </w:rPr>
            </w:pPr>
            <w:r>
              <w:rPr>
                <w:rFonts w:ascii="Arial" w:cs="Arial" w:eastAsia="Arial" w:hAnsi="Arial"/>
                <w:sz w:val="18"/>
                <w:szCs w:val="18"/>
                <w:color w:val="auto"/>
              </w:rPr>
              <w:t>Finders’ Fees</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6.6</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Issuance of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6.7</w:t>
            </w:r>
          </w:p>
        </w:tc>
        <w:tc>
          <w:tcPr>
            <w:tcW w:w="936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6.8</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Information Supplied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6.9</w:t>
            </w:r>
          </w:p>
        </w:tc>
        <w:tc>
          <w:tcPr>
            <w:tcW w:w="9360" w:type="dxa"/>
            <w:vAlign w:val="bottom"/>
          </w:tcPr>
          <w:p>
            <w:pPr>
              <w:ind w:left="260"/>
              <w:spacing w:after="0"/>
              <w:rPr>
                <w:sz w:val="20"/>
                <w:szCs w:val="20"/>
                <w:color w:val="auto"/>
              </w:rPr>
            </w:pPr>
            <w:r>
              <w:rPr>
                <w:rFonts w:ascii="Arial" w:cs="Arial" w:eastAsia="Arial" w:hAnsi="Arial"/>
                <w:sz w:val="18"/>
                <w:szCs w:val="18"/>
                <w:color w:val="auto"/>
              </w:rPr>
              <w:t>Trust Fund</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6.10</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Listing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6.11</w:t>
            </w:r>
          </w:p>
        </w:tc>
        <w:tc>
          <w:tcPr>
            <w:tcW w:w="9360" w:type="dxa"/>
            <w:vAlign w:val="bottom"/>
          </w:tcPr>
          <w:p>
            <w:pPr>
              <w:ind w:left="260"/>
              <w:spacing w:after="0"/>
              <w:rPr>
                <w:sz w:val="20"/>
                <w:szCs w:val="20"/>
                <w:color w:val="auto"/>
              </w:rPr>
            </w:pPr>
            <w:r>
              <w:rPr>
                <w:rFonts w:ascii="Arial" w:cs="Arial" w:eastAsia="Arial" w:hAnsi="Arial"/>
                <w:sz w:val="18"/>
                <w:szCs w:val="18"/>
                <w:color w:val="auto"/>
              </w:rPr>
              <w:t>Board Approval</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Parent SEC Documents and Financial Statements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6.13</w:t>
            </w:r>
          </w:p>
        </w:tc>
        <w:tc>
          <w:tcPr>
            <w:tcW w:w="9360" w:type="dxa"/>
            <w:vAlign w:val="bottom"/>
          </w:tcPr>
          <w:p>
            <w:pPr>
              <w:ind w:left="260"/>
              <w:spacing w:after="0"/>
              <w:rPr>
                <w:sz w:val="20"/>
                <w:szCs w:val="20"/>
                <w:color w:val="auto"/>
              </w:rPr>
            </w:pPr>
            <w:r>
              <w:rPr>
                <w:rFonts w:ascii="Arial" w:cs="Arial" w:eastAsia="Arial" w:hAnsi="Arial"/>
                <w:sz w:val="18"/>
                <w:szCs w:val="18"/>
                <w:color w:val="auto"/>
              </w:rPr>
              <w:t>Certain Business Practices</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6.14</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Anti-Money Laundering Laws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6.15</w:t>
            </w:r>
          </w:p>
        </w:tc>
        <w:tc>
          <w:tcPr>
            <w:tcW w:w="9360" w:type="dxa"/>
            <w:vAlign w:val="bottom"/>
          </w:tcPr>
          <w:p>
            <w:pPr>
              <w:ind w:left="260"/>
              <w:spacing w:after="0"/>
              <w:rPr>
                <w:sz w:val="20"/>
                <w:szCs w:val="20"/>
                <w:color w:val="auto"/>
              </w:rPr>
            </w:pPr>
            <w:r>
              <w:rPr>
                <w:rFonts w:ascii="Arial" w:cs="Arial" w:eastAsia="Arial" w:hAnsi="Arial"/>
                <w:sz w:val="18"/>
                <w:szCs w:val="18"/>
                <w:color w:val="auto"/>
              </w:rPr>
              <w:t>Affiliate Transactions</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6.16</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Litigation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6.17</w:t>
            </w:r>
          </w:p>
        </w:tc>
        <w:tc>
          <w:tcPr>
            <w:tcW w:w="9360" w:type="dxa"/>
            <w:vAlign w:val="bottom"/>
          </w:tcPr>
          <w:p>
            <w:pPr>
              <w:ind w:left="260"/>
              <w:spacing w:after="0"/>
              <w:rPr>
                <w:sz w:val="20"/>
                <w:szCs w:val="20"/>
                <w:color w:val="auto"/>
              </w:rPr>
            </w:pPr>
            <w:r>
              <w:rPr>
                <w:rFonts w:ascii="Arial" w:cs="Arial" w:eastAsia="Arial" w:hAnsi="Arial"/>
                <w:sz w:val="18"/>
                <w:szCs w:val="18"/>
                <w:color w:val="auto"/>
              </w:rPr>
              <w:t>Expenses, Indebtedness and Other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6.18</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Matters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COVENANTS OF THE PARTIES PENDING CLOSING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Conduct of the Business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7.2</w:t>
            </w:r>
          </w:p>
        </w:tc>
        <w:tc>
          <w:tcPr>
            <w:tcW w:w="9360" w:type="dxa"/>
            <w:vAlign w:val="bottom"/>
          </w:tcPr>
          <w:p>
            <w:pPr>
              <w:ind w:left="260"/>
              <w:spacing w:after="0"/>
              <w:rPr>
                <w:sz w:val="20"/>
                <w:szCs w:val="20"/>
                <w:color w:val="auto"/>
              </w:rPr>
            </w:pPr>
            <w:r>
              <w:rPr>
                <w:rFonts w:ascii="Arial" w:cs="Arial" w:eastAsia="Arial" w:hAnsi="Arial"/>
                <w:sz w:val="18"/>
                <w:szCs w:val="18"/>
                <w:color w:val="auto"/>
              </w:rPr>
              <w:t>Exclusivity</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Access to Information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7.4</w:t>
            </w:r>
          </w:p>
        </w:tc>
        <w:tc>
          <w:tcPr>
            <w:tcW w:w="9360" w:type="dxa"/>
            <w:vAlign w:val="bottom"/>
          </w:tcPr>
          <w:p>
            <w:pPr>
              <w:ind w:left="260"/>
              <w:spacing w:after="0"/>
              <w:rPr>
                <w:sz w:val="20"/>
                <w:szCs w:val="20"/>
                <w:color w:val="auto"/>
              </w:rPr>
            </w:pPr>
            <w:r>
              <w:rPr>
                <w:rFonts w:ascii="Arial" w:cs="Arial" w:eastAsia="Arial" w:hAnsi="Arial"/>
                <w:sz w:val="18"/>
                <w:szCs w:val="18"/>
                <w:color w:val="auto"/>
              </w:rPr>
              <w:t>Notices of Certain Events</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7.5</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Cooperation with Form S-4/Proxy Statement; Other Filings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7.6</w:t>
            </w:r>
          </w:p>
        </w:tc>
        <w:tc>
          <w:tcPr>
            <w:tcW w:w="9360" w:type="dxa"/>
            <w:vAlign w:val="bottom"/>
          </w:tcPr>
          <w:p>
            <w:pPr>
              <w:ind w:left="260"/>
              <w:spacing w:after="0"/>
              <w:rPr>
                <w:sz w:val="20"/>
                <w:szCs w:val="20"/>
                <w:color w:val="auto"/>
              </w:rPr>
            </w:pPr>
            <w:r>
              <w:rPr>
                <w:rFonts w:ascii="Arial" w:cs="Arial" w:eastAsia="Arial" w:hAnsi="Arial"/>
                <w:sz w:val="18"/>
                <w:szCs w:val="18"/>
                <w:color w:val="auto"/>
              </w:rPr>
              <w:t>Trust Account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7.7</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Obligations of Merger Sub</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7.8</w:t>
            </w:r>
          </w:p>
        </w:tc>
        <w:tc>
          <w:tcPr>
            <w:tcW w:w="9360" w:type="dxa"/>
            <w:vAlign w:val="bottom"/>
          </w:tcPr>
          <w:p>
            <w:pPr>
              <w:ind w:left="260"/>
              <w:spacing w:after="0"/>
              <w:rPr>
                <w:sz w:val="20"/>
                <w:szCs w:val="20"/>
                <w:color w:val="auto"/>
              </w:rPr>
            </w:pPr>
            <w:r>
              <w:rPr>
                <w:rFonts w:ascii="Arial" w:cs="Arial" w:eastAsia="Arial" w:hAnsi="Arial"/>
                <w:sz w:val="18"/>
                <w:szCs w:val="18"/>
                <w:color w:val="auto"/>
              </w:rPr>
              <w:t>Private Placement, Parent Support Agreements</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VIII COVENANTS OF THE COMPANY</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8.1</w:t>
            </w:r>
          </w:p>
        </w:tc>
        <w:tc>
          <w:tcPr>
            <w:tcW w:w="9360" w:type="dxa"/>
            <w:vAlign w:val="bottom"/>
          </w:tcPr>
          <w:p>
            <w:pPr>
              <w:ind w:left="260"/>
              <w:spacing w:after="0"/>
              <w:rPr>
                <w:sz w:val="20"/>
                <w:szCs w:val="20"/>
                <w:color w:val="auto"/>
              </w:rPr>
            </w:pPr>
            <w:r>
              <w:rPr>
                <w:rFonts w:ascii="Arial" w:cs="Arial" w:eastAsia="Arial" w:hAnsi="Arial"/>
                <w:sz w:val="18"/>
                <w:szCs w:val="18"/>
                <w:color w:val="auto"/>
              </w:rPr>
              <w:t>Reporting; Compliance with Laws</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8.2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Commercially Reasonable Efforts to Obtain Consents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8.3</w:t>
            </w:r>
          </w:p>
        </w:tc>
        <w:tc>
          <w:tcPr>
            <w:tcW w:w="9360" w:type="dxa"/>
            <w:vAlign w:val="bottom"/>
          </w:tcPr>
          <w:p>
            <w:pPr>
              <w:ind w:left="260"/>
              <w:spacing w:after="0"/>
              <w:rPr>
                <w:sz w:val="20"/>
                <w:szCs w:val="20"/>
                <w:color w:val="auto"/>
              </w:rPr>
            </w:pPr>
            <w:r>
              <w:rPr>
                <w:rFonts w:ascii="Arial" w:cs="Arial" w:eastAsia="Arial" w:hAnsi="Arial"/>
                <w:sz w:val="18"/>
                <w:szCs w:val="18"/>
                <w:color w:val="auto"/>
              </w:rPr>
              <w:t>Company’s Stockholders Approval</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8.4</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Section 280G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360" w:type="dxa"/>
            <w:vAlign w:val="bottom"/>
          </w:tcPr>
          <w:p>
            <w:pPr>
              <w:ind w:left="2860"/>
              <w:spacing w:after="0"/>
              <w:rPr>
                <w:sz w:val="20"/>
                <w:szCs w:val="20"/>
                <w:color w:val="auto"/>
              </w:rPr>
            </w:pPr>
            <w:r>
              <w:rPr>
                <w:rFonts w:ascii="Arial" w:cs="Arial" w:eastAsia="Arial" w:hAnsi="Arial"/>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COVENANTS OF ALL PARTIES HERETO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Commercially Reasonable Efforts; Further Assurances; Governmental Consents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9.2</w:t>
            </w:r>
          </w:p>
        </w:tc>
        <w:tc>
          <w:tcPr>
            <w:tcW w:w="936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Directors’ and Officers’ Indemnification and Liability Insurance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9.4</w:t>
            </w:r>
          </w:p>
        </w:tc>
        <w:tc>
          <w:tcPr>
            <w:tcW w:w="9360" w:type="dxa"/>
            <w:vAlign w:val="bottom"/>
          </w:tcPr>
          <w:p>
            <w:pPr>
              <w:ind w:left="260"/>
              <w:spacing w:after="0"/>
              <w:rPr>
                <w:sz w:val="20"/>
                <w:szCs w:val="20"/>
                <w:color w:val="auto"/>
              </w:rPr>
            </w:pPr>
            <w:r>
              <w:rPr>
                <w:rFonts w:ascii="Arial" w:cs="Arial" w:eastAsia="Arial" w:hAnsi="Arial"/>
                <w:sz w:val="18"/>
                <w:szCs w:val="18"/>
                <w:color w:val="auto"/>
              </w:rPr>
              <w:t>Nasdaq Listing</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9.5</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Tax Matters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9.6</w:t>
            </w:r>
          </w:p>
        </w:tc>
        <w:tc>
          <w:tcPr>
            <w:tcW w:w="9360" w:type="dxa"/>
            <w:vAlign w:val="bottom"/>
          </w:tcPr>
          <w:p>
            <w:pPr>
              <w:ind w:left="260"/>
              <w:spacing w:after="0"/>
              <w:rPr>
                <w:sz w:val="20"/>
                <w:szCs w:val="20"/>
                <w:color w:val="auto"/>
              </w:rPr>
            </w:pPr>
            <w:r>
              <w:rPr>
                <w:rFonts w:ascii="Arial" w:cs="Arial" w:eastAsia="Arial" w:hAnsi="Arial"/>
                <w:sz w:val="18"/>
                <w:szCs w:val="18"/>
                <w:color w:val="auto"/>
              </w:rPr>
              <w:t>Equity Incentive Plan</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X CONDITIONS TO CLOSING</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10.1</w:t>
            </w:r>
          </w:p>
        </w:tc>
        <w:tc>
          <w:tcPr>
            <w:tcW w:w="9360" w:type="dxa"/>
            <w:vAlign w:val="bottom"/>
          </w:tcPr>
          <w:p>
            <w:pPr>
              <w:ind w:left="260"/>
              <w:spacing w:after="0"/>
              <w:rPr>
                <w:sz w:val="20"/>
                <w:szCs w:val="20"/>
                <w:color w:val="auto"/>
              </w:rPr>
            </w:pPr>
            <w:r>
              <w:rPr>
                <w:rFonts w:ascii="Arial" w:cs="Arial" w:eastAsia="Arial" w:hAnsi="Arial"/>
                <w:sz w:val="18"/>
                <w:szCs w:val="18"/>
                <w:color w:val="auto"/>
              </w:rPr>
              <w:t>Condition to the Obligations of the Parties</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Conditions to Obligations of Parent and Merger Sub</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10.3</w:t>
            </w:r>
          </w:p>
        </w:tc>
        <w:tc>
          <w:tcPr>
            <w:tcW w:w="9360" w:type="dxa"/>
            <w:vAlign w:val="bottom"/>
          </w:tcPr>
          <w:p>
            <w:pPr>
              <w:ind w:left="260"/>
              <w:spacing w:after="0"/>
              <w:rPr>
                <w:sz w:val="20"/>
                <w:szCs w:val="20"/>
                <w:color w:val="auto"/>
              </w:rPr>
            </w:pPr>
            <w:r>
              <w:rPr>
                <w:rFonts w:ascii="Arial" w:cs="Arial" w:eastAsia="Arial" w:hAnsi="Arial"/>
                <w:sz w:val="18"/>
                <w:szCs w:val="18"/>
                <w:color w:val="auto"/>
              </w:rPr>
              <w:t>Conditions to Obligations of the Company</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XI INDEMNIFICATION</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11.1</w:t>
            </w:r>
          </w:p>
        </w:tc>
        <w:tc>
          <w:tcPr>
            <w:tcW w:w="9360" w:type="dxa"/>
            <w:vAlign w:val="bottom"/>
          </w:tcPr>
          <w:p>
            <w:pPr>
              <w:ind w:left="260"/>
              <w:spacing w:after="0"/>
              <w:rPr>
                <w:sz w:val="20"/>
                <w:szCs w:val="20"/>
                <w:color w:val="auto"/>
              </w:rPr>
            </w:pPr>
            <w:r>
              <w:rPr>
                <w:rFonts w:ascii="Arial" w:cs="Arial" w:eastAsia="Arial" w:hAnsi="Arial"/>
                <w:sz w:val="18"/>
                <w:szCs w:val="18"/>
                <w:color w:val="auto"/>
              </w:rPr>
              <w:t>Indemnification of Parent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11.2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Procedure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11.3</w:t>
            </w:r>
          </w:p>
        </w:tc>
        <w:tc>
          <w:tcPr>
            <w:tcW w:w="9360" w:type="dxa"/>
            <w:vAlign w:val="bottom"/>
          </w:tcPr>
          <w:p>
            <w:pPr>
              <w:ind w:left="260"/>
              <w:spacing w:after="0"/>
              <w:rPr>
                <w:sz w:val="20"/>
                <w:szCs w:val="20"/>
                <w:color w:val="auto"/>
              </w:rPr>
            </w:pPr>
            <w:r>
              <w:rPr>
                <w:rFonts w:ascii="Arial" w:cs="Arial" w:eastAsia="Arial" w:hAnsi="Arial"/>
                <w:sz w:val="18"/>
                <w:szCs w:val="18"/>
                <w:color w:val="auto"/>
              </w:rPr>
              <w:t>Escrow of Escrow Shares by Escrow Participants</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11.4</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Indemnification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11.5</w:t>
            </w:r>
          </w:p>
        </w:tc>
        <w:tc>
          <w:tcPr>
            <w:tcW w:w="93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11.6</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Survival of Indemnification Rights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11.7</w:t>
            </w:r>
          </w:p>
        </w:tc>
        <w:tc>
          <w:tcPr>
            <w:tcW w:w="9360" w:type="dxa"/>
            <w:vAlign w:val="bottom"/>
          </w:tcPr>
          <w:p>
            <w:pPr>
              <w:ind w:left="260"/>
              <w:spacing w:after="0"/>
              <w:rPr>
                <w:sz w:val="20"/>
                <w:szCs w:val="20"/>
                <w:color w:val="auto"/>
              </w:rPr>
            </w:pPr>
            <w:r>
              <w:rPr>
                <w:rFonts w:ascii="Arial" w:cs="Arial" w:eastAsia="Arial" w:hAnsi="Arial"/>
                <w:sz w:val="18"/>
                <w:szCs w:val="18"/>
                <w:color w:val="auto"/>
              </w:rPr>
              <w:t>Sole and Exclusive Remedy</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ARTICLE XII DISPUTE RESOLUTION</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12.1</w:t>
            </w:r>
          </w:p>
        </w:tc>
        <w:tc>
          <w:tcPr>
            <w:tcW w:w="9360" w:type="dxa"/>
            <w:vAlign w:val="bottom"/>
          </w:tcPr>
          <w:p>
            <w:pPr>
              <w:ind w:left="260"/>
              <w:spacing w:after="0"/>
              <w:rPr>
                <w:sz w:val="20"/>
                <w:szCs w:val="20"/>
                <w:color w:val="auto"/>
              </w:rPr>
            </w:pPr>
            <w:r>
              <w:rPr>
                <w:rFonts w:ascii="Arial" w:cs="Arial" w:eastAsia="Arial" w:hAnsi="Arial"/>
                <w:sz w:val="18"/>
                <w:szCs w:val="18"/>
                <w:color w:val="auto"/>
              </w:rPr>
              <w:t>Arbitration</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12.2</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Waiver of Jury Trial; Exemplary Damages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TERMINATION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13.1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Termination Without Default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color w:val="auto"/>
              </w:rPr>
              <w:t>13.2</w:t>
            </w:r>
          </w:p>
        </w:tc>
        <w:tc>
          <w:tcPr>
            <w:tcW w:w="9360" w:type="dxa"/>
            <w:vAlign w:val="bottom"/>
          </w:tcPr>
          <w:p>
            <w:pPr>
              <w:ind w:left="260"/>
              <w:spacing w:after="0"/>
              <w:rPr>
                <w:sz w:val="20"/>
                <w:szCs w:val="20"/>
                <w:color w:val="auto"/>
              </w:rPr>
            </w:pPr>
            <w:r>
              <w:rPr>
                <w:rFonts w:ascii="Arial" w:cs="Arial" w:eastAsia="Arial" w:hAnsi="Arial"/>
                <w:sz w:val="18"/>
                <w:szCs w:val="18"/>
                <w:color w:val="auto"/>
              </w:rPr>
              <w:t>Termination Upon Default</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13.3</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 of Termination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XIV MISCELLANEOUS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14.1</w:t>
            </w:r>
          </w:p>
        </w:tc>
        <w:tc>
          <w:tcPr>
            <w:tcW w:w="9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color w:val="auto"/>
              </w:rPr>
              <w:t>14.2</w:t>
            </w:r>
          </w:p>
        </w:tc>
        <w:tc>
          <w:tcPr>
            <w:tcW w:w="9360" w:type="dxa"/>
            <w:vAlign w:val="bottom"/>
          </w:tcPr>
          <w:p>
            <w:pPr>
              <w:ind w:left="260"/>
              <w:spacing w:after="0"/>
              <w:rPr>
                <w:sz w:val="20"/>
                <w:szCs w:val="20"/>
                <w:color w:val="auto"/>
              </w:rPr>
            </w:pPr>
            <w:r>
              <w:rPr>
                <w:rFonts w:ascii="Arial" w:cs="Arial" w:eastAsia="Arial" w:hAnsi="Arial"/>
                <w:sz w:val="18"/>
                <w:szCs w:val="18"/>
                <w:color w:val="auto"/>
              </w:rPr>
              <w:t>Amendments; No Waivers; Remedies</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300" w:type="dxa"/>
            <w:vAlign w:val="bottom"/>
          </w:tcPr>
          <w:p>
            <w:pPr>
              <w:ind w:left="2800"/>
              <w:spacing w:after="0"/>
              <w:rPr>
                <w:sz w:val="20"/>
                <w:szCs w:val="20"/>
                <w:color w:val="auto"/>
              </w:rPr>
            </w:pPr>
            <w:r>
              <w:rPr>
                <w:rFonts w:ascii="Arial" w:cs="Arial" w:eastAsia="Arial" w:hAnsi="Arial"/>
                <w:sz w:val="18"/>
                <w:szCs w:val="18"/>
                <w:b w:val="1"/>
                <w:bCs w:val="1"/>
                <w:color w:val="auto"/>
              </w:rPr>
              <w:t>TABLE OF CONTENTS CONTINUED</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14.3</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Arm’s Length Bargaining; No Presumption Against Drafter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14.4</w:t>
            </w:r>
          </w:p>
        </w:tc>
        <w:tc>
          <w:tcPr>
            <w:tcW w:w="9300" w:type="dxa"/>
            <w:vAlign w:val="bottom"/>
          </w:tcPr>
          <w:p>
            <w:pPr>
              <w:ind w:left="200"/>
              <w:spacing w:after="0"/>
              <w:rPr>
                <w:sz w:val="20"/>
                <w:szCs w:val="20"/>
                <w:color w:val="auto"/>
              </w:rPr>
            </w:pPr>
            <w:r>
              <w:rPr>
                <w:rFonts w:ascii="Arial" w:cs="Arial" w:eastAsia="Arial" w:hAnsi="Arial"/>
                <w:sz w:val="18"/>
                <w:szCs w:val="18"/>
                <w:color w:val="auto"/>
              </w:rPr>
              <w:t>Publicity</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14.5</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14.6</w:t>
            </w:r>
          </w:p>
        </w:tc>
        <w:tc>
          <w:tcPr>
            <w:tcW w:w="9300" w:type="dxa"/>
            <w:vAlign w:val="bottom"/>
          </w:tcPr>
          <w:p>
            <w:pPr>
              <w:ind w:left="200"/>
              <w:spacing w:after="0"/>
              <w:rPr>
                <w:sz w:val="20"/>
                <w:szCs w:val="20"/>
                <w:color w:val="auto"/>
              </w:rPr>
            </w:pPr>
            <w:r>
              <w:rPr>
                <w:rFonts w:ascii="Arial" w:cs="Arial" w:eastAsia="Arial" w:hAnsi="Arial"/>
                <w:sz w:val="18"/>
                <w:szCs w:val="18"/>
                <w:color w:val="auto"/>
              </w:rPr>
              <w:t>No Assignment or Delegation</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14.7</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Governing Law</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14.8</w:t>
            </w:r>
          </w:p>
        </w:tc>
        <w:tc>
          <w:tcPr>
            <w:tcW w:w="9300" w:type="dxa"/>
            <w:vAlign w:val="bottom"/>
          </w:tcPr>
          <w:p>
            <w:pPr>
              <w:ind w:left="200"/>
              <w:spacing w:after="0"/>
              <w:rPr>
                <w:sz w:val="20"/>
                <w:szCs w:val="20"/>
                <w:color w:val="auto"/>
              </w:rPr>
            </w:pPr>
            <w:r>
              <w:rPr>
                <w:rFonts w:ascii="Arial" w:cs="Arial" w:eastAsia="Arial" w:hAnsi="Arial"/>
                <w:sz w:val="18"/>
                <w:szCs w:val="18"/>
                <w:color w:val="auto"/>
              </w:rPr>
              <w:t>Counterparts; Facsimile 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14.9</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Entire Agreement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14.10</w:t>
            </w:r>
          </w:p>
        </w:tc>
        <w:tc>
          <w:tcPr>
            <w:tcW w:w="93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14.11</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Further Assurances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14.12</w:t>
            </w:r>
          </w:p>
        </w:tc>
        <w:tc>
          <w:tcPr>
            <w:tcW w:w="9300" w:type="dxa"/>
            <w:vAlign w:val="bottom"/>
          </w:tcPr>
          <w:p>
            <w:pPr>
              <w:ind w:left="200"/>
              <w:spacing w:after="0"/>
              <w:rPr>
                <w:sz w:val="20"/>
                <w:szCs w:val="20"/>
                <w:color w:val="auto"/>
              </w:rPr>
            </w:pPr>
            <w:r>
              <w:rPr>
                <w:rFonts w:ascii="Arial" w:cs="Arial" w:eastAsia="Arial" w:hAnsi="Arial"/>
                <w:sz w:val="18"/>
                <w:szCs w:val="18"/>
                <w:color w:val="auto"/>
              </w:rPr>
              <w:t>Third Party Beneficiaries</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14.13</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Waiver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660"/>
              <w:spacing w:after="0"/>
              <w:rPr>
                <w:sz w:val="20"/>
                <w:szCs w:val="20"/>
                <w:color w:val="auto"/>
              </w:rPr>
            </w:pPr>
            <w:r>
              <w:rPr>
                <w:rFonts w:ascii="Arial" w:cs="Arial" w:eastAsia="Arial" w:hAnsi="Arial"/>
                <w:sz w:val="18"/>
                <w:szCs w:val="18"/>
                <w:color w:val="auto"/>
              </w:rPr>
              <w:t>14.14</w:t>
            </w:r>
          </w:p>
        </w:tc>
        <w:tc>
          <w:tcPr>
            <w:tcW w:w="9300" w:type="dxa"/>
            <w:vAlign w:val="bottom"/>
          </w:tcPr>
          <w:p>
            <w:pPr>
              <w:ind w:left="200"/>
              <w:spacing w:after="0"/>
              <w:rPr>
                <w:sz w:val="20"/>
                <w:szCs w:val="20"/>
                <w:color w:val="auto"/>
              </w:rPr>
            </w:pPr>
            <w:r>
              <w:rPr>
                <w:rFonts w:ascii="Arial" w:cs="Arial" w:eastAsia="Arial" w:hAnsi="Arial"/>
                <w:sz w:val="18"/>
                <w:szCs w:val="18"/>
                <w:color w:val="auto"/>
              </w:rPr>
              <w:t>Stockholders’ Representative</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14.15</w:t>
            </w:r>
          </w:p>
        </w:tc>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Non-Recourse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660"/>
              <w:spacing w:after="0"/>
              <w:rPr>
                <w:sz w:val="20"/>
                <w:szCs w:val="20"/>
                <w:color w:val="auto"/>
              </w:rPr>
            </w:pPr>
            <w:r>
              <w:rPr>
                <w:rFonts w:ascii="Arial" w:cs="Arial" w:eastAsia="Arial" w:hAnsi="Arial"/>
                <w:sz w:val="18"/>
                <w:szCs w:val="18"/>
                <w:color w:val="auto"/>
              </w:rPr>
              <w:t>14.16</w:t>
            </w:r>
          </w:p>
        </w:tc>
        <w:tc>
          <w:tcPr>
            <w:tcW w:w="9300" w:type="dxa"/>
            <w:vAlign w:val="bottom"/>
          </w:tcPr>
          <w:p>
            <w:pPr>
              <w:ind w:left="200"/>
              <w:spacing w:after="0"/>
              <w:rPr>
                <w:sz w:val="20"/>
                <w:szCs w:val="20"/>
                <w:color w:val="auto"/>
              </w:rPr>
            </w:pPr>
            <w:r>
              <w:rPr>
                <w:rFonts w:ascii="Arial" w:cs="Arial" w:eastAsia="Arial" w:hAnsi="Arial"/>
                <w:sz w:val="18"/>
                <w:szCs w:val="18"/>
                <w:color w:val="auto"/>
              </w:rPr>
              <w:t>No Other Representations; No Reliance</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280" w:type="dxa"/>
            <w:vAlign w:val="bottom"/>
          </w:tcPr>
          <w:p>
            <w:pPr>
              <w:spacing w:after="0"/>
              <w:rPr>
                <w:sz w:val="20"/>
                <w:szCs w:val="20"/>
                <w:color w:val="auto"/>
              </w:rPr>
            </w:pPr>
            <w:r>
              <w:rPr>
                <w:rFonts w:ascii="Arial" w:cs="Arial" w:eastAsia="Arial" w:hAnsi="Arial"/>
                <w:sz w:val="18"/>
                <w:szCs w:val="18"/>
                <w:color w:val="auto"/>
              </w:rPr>
              <w:t>Exhibit A</w:t>
            </w:r>
          </w:p>
        </w:tc>
        <w:tc>
          <w:tcPr>
            <w:tcW w:w="9300" w:type="dxa"/>
            <w:vAlign w:val="bottom"/>
          </w:tcPr>
          <w:p>
            <w:pPr>
              <w:ind w:left="420"/>
              <w:spacing w:after="0"/>
              <w:rPr>
                <w:sz w:val="20"/>
                <w:szCs w:val="20"/>
                <w:color w:val="auto"/>
              </w:rPr>
            </w:pPr>
            <w:r>
              <w:rPr>
                <w:rFonts w:ascii="Arial" w:cs="Arial" w:eastAsia="Arial" w:hAnsi="Arial"/>
                <w:sz w:val="18"/>
                <w:szCs w:val="18"/>
                <w:color w:val="auto"/>
              </w:rPr>
              <w:t>Company Support Agreement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B</w:t>
            </w:r>
          </w:p>
        </w:tc>
        <w:tc>
          <w:tcPr>
            <w:tcW w:w="9300" w:type="dxa"/>
            <w:vAlign w:val="bottom"/>
          </w:tcPr>
          <w:p>
            <w:pPr>
              <w:ind w:left="420"/>
              <w:spacing w:after="0"/>
              <w:rPr>
                <w:sz w:val="20"/>
                <w:szCs w:val="20"/>
                <w:color w:val="auto"/>
              </w:rPr>
            </w:pPr>
            <w:r>
              <w:rPr>
                <w:rFonts w:ascii="Arial" w:cs="Arial" w:eastAsia="Arial" w:hAnsi="Arial"/>
                <w:sz w:val="18"/>
                <w:szCs w:val="18"/>
                <w:color w:val="auto"/>
              </w:rPr>
              <w:t>Subscription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C</w:t>
            </w:r>
          </w:p>
        </w:tc>
        <w:tc>
          <w:tcPr>
            <w:tcW w:w="9300" w:type="dxa"/>
            <w:vAlign w:val="bottom"/>
          </w:tcPr>
          <w:p>
            <w:pPr>
              <w:ind w:left="420"/>
              <w:spacing w:after="0"/>
              <w:rPr>
                <w:sz w:val="20"/>
                <w:szCs w:val="20"/>
                <w:color w:val="auto"/>
              </w:rPr>
            </w:pPr>
            <w:r>
              <w:rPr>
                <w:rFonts w:ascii="Arial" w:cs="Arial" w:eastAsia="Arial" w:hAnsi="Arial"/>
                <w:sz w:val="18"/>
                <w:szCs w:val="18"/>
                <w:color w:val="auto"/>
              </w:rPr>
              <w:t>Parent Support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D</w:t>
            </w:r>
          </w:p>
        </w:tc>
        <w:tc>
          <w:tcPr>
            <w:tcW w:w="9300" w:type="dxa"/>
            <w:vAlign w:val="bottom"/>
          </w:tcPr>
          <w:p>
            <w:pPr>
              <w:ind w:left="420"/>
              <w:spacing w:after="0"/>
              <w:rPr>
                <w:sz w:val="20"/>
                <w:szCs w:val="20"/>
                <w:color w:val="auto"/>
              </w:rPr>
            </w:pPr>
            <w:r>
              <w:rPr>
                <w:rFonts w:ascii="Arial" w:cs="Arial" w:eastAsia="Arial" w:hAnsi="Arial"/>
                <w:sz w:val="18"/>
                <w:szCs w:val="18"/>
                <w:color w:val="auto"/>
              </w:rPr>
              <w:t>Voting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E</w:t>
            </w:r>
          </w:p>
        </w:tc>
        <w:tc>
          <w:tcPr>
            <w:tcW w:w="9300" w:type="dxa"/>
            <w:vAlign w:val="bottom"/>
          </w:tcPr>
          <w:p>
            <w:pPr>
              <w:ind w:left="420"/>
              <w:spacing w:after="0"/>
              <w:rPr>
                <w:sz w:val="20"/>
                <w:szCs w:val="20"/>
                <w:color w:val="auto"/>
              </w:rPr>
            </w:pPr>
            <w:r>
              <w:rPr>
                <w:rFonts w:ascii="Arial" w:cs="Arial" w:eastAsia="Arial" w:hAnsi="Arial"/>
                <w:sz w:val="18"/>
                <w:szCs w:val="18"/>
                <w:color w:val="auto"/>
              </w:rPr>
              <w:t>Escrow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F</w:t>
            </w:r>
          </w:p>
        </w:tc>
        <w:tc>
          <w:tcPr>
            <w:tcW w:w="9300" w:type="dxa"/>
            <w:vAlign w:val="bottom"/>
          </w:tcPr>
          <w:p>
            <w:pPr>
              <w:ind w:left="420"/>
              <w:spacing w:after="0"/>
              <w:rPr>
                <w:sz w:val="20"/>
                <w:szCs w:val="20"/>
                <w:color w:val="auto"/>
              </w:rPr>
            </w:pPr>
            <w:r>
              <w:rPr>
                <w:rFonts w:ascii="Arial" w:cs="Arial" w:eastAsia="Arial" w:hAnsi="Arial"/>
                <w:sz w:val="18"/>
                <w:szCs w:val="18"/>
                <w:color w:val="auto"/>
              </w:rPr>
              <w:t>Registration Rights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G</w:t>
            </w:r>
          </w:p>
        </w:tc>
        <w:tc>
          <w:tcPr>
            <w:tcW w:w="9300" w:type="dxa"/>
            <w:vAlign w:val="bottom"/>
          </w:tcPr>
          <w:p>
            <w:pPr>
              <w:ind w:left="420"/>
              <w:spacing w:after="0"/>
              <w:rPr>
                <w:sz w:val="20"/>
                <w:szCs w:val="20"/>
                <w:color w:val="auto"/>
              </w:rPr>
            </w:pPr>
            <w:r>
              <w:rPr>
                <w:rFonts w:ascii="Arial" w:cs="Arial" w:eastAsia="Arial" w:hAnsi="Arial"/>
                <w:sz w:val="18"/>
                <w:szCs w:val="18"/>
                <w:color w:val="auto"/>
              </w:rPr>
              <w:t>Amended and Restated Certificate of Incorporation of Parent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H</w:t>
            </w:r>
          </w:p>
        </w:tc>
        <w:tc>
          <w:tcPr>
            <w:tcW w:w="9300" w:type="dxa"/>
            <w:vAlign w:val="bottom"/>
          </w:tcPr>
          <w:p>
            <w:pPr>
              <w:ind w:left="420"/>
              <w:spacing w:after="0"/>
              <w:rPr>
                <w:sz w:val="20"/>
                <w:szCs w:val="20"/>
                <w:color w:val="auto"/>
              </w:rPr>
            </w:pPr>
            <w:r>
              <w:rPr>
                <w:rFonts w:ascii="Arial" w:cs="Arial" w:eastAsia="Arial" w:hAnsi="Arial"/>
                <w:sz w:val="18"/>
                <w:szCs w:val="18"/>
                <w:color w:val="auto"/>
              </w:rPr>
              <w:t>Amended and Restated Bylaws of Parent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I</w:t>
            </w:r>
          </w:p>
        </w:tc>
        <w:tc>
          <w:tcPr>
            <w:tcW w:w="9300" w:type="dxa"/>
            <w:vAlign w:val="bottom"/>
          </w:tcPr>
          <w:p>
            <w:pPr>
              <w:ind w:left="420"/>
              <w:spacing w:after="0"/>
              <w:rPr>
                <w:sz w:val="20"/>
                <w:szCs w:val="20"/>
                <w:color w:val="auto"/>
              </w:rPr>
            </w:pPr>
            <w:r>
              <w:rPr>
                <w:rFonts w:ascii="Arial" w:cs="Arial" w:eastAsia="Arial" w:hAnsi="Arial"/>
                <w:sz w:val="18"/>
                <w:szCs w:val="18"/>
                <w:color w:val="auto"/>
              </w:rPr>
              <w:t>Parent Equity Incentive Plan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J</w:t>
            </w:r>
          </w:p>
        </w:tc>
        <w:tc>
          <w:tcPr>
            <w:tcW w:w="9300" w:type="dxa"/>
            <w:vAlign w:val="bottom"/>
          </w:tcPr>
          <w:p>
            <w:pPr>
              <w:ind w:left="420"/>
              <w:spacing w:after="0"/>
              <w:rPr>
                <w:sz w:val="20"/>
                <w:szCs w:val="20"/>
                <w:color w:val="auto"/>
              </w:rPr>
            </w:pPr>
            <w:r>
              <w:rPr>
                <w:rFonts w:ascii="Arial" w:cs="Arial" w:eastAsia="Arial" w:hAnsi="Arial"/>
                <w:sz w:val="18"/>
                <w:szCs w:val="18"/>
                <w:color w:val="auto"/>
              </w:rPr>
              <w:t>FIRPTA Certificate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K</w:t>
            </w:r>
          </w:p>
        </w:tc>
        <w:tc>
          <w:tcPr>
            <w:tcW w:w="9300" w:type="dxa"/>
            <w:vAlign w:val="bottom"/>
          </w:tcPr>
          <w:p>
            <w:pPr>
              <w:ind w:left="420"/>
              <w:spacing w:after="0"/>
              <w:rPr>
                <w:sz w:val="20"/>
                <w:szCs w:val="20"/>
                <w:color w:val="auto"/>
              </w:rPr>
            </w:pPr>
            <w:r>
              <w:rPr>
                <w:rFonts w:ascii="Arial" w:cs="Arial" w:eastAsia="Arial" w:hAnsi="Arial"/>
                <w:sz w:val="18"/>
                <w:szCs w:val="18"/>
                <w:color w:val="auto"/>
              </w:rPr>
              <w:t>Lockup Agreement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L</w:t>
            </w:r>
          </w:p>
        </w:tc>
        <w:tc>
          <w:tcPr>
            <w:tcW w:w="9300" w:type="dxa"/>
            <w:vAlign w:val="bottom"/>
          </w:tcPr>
          <w:p>
            <w:pPr>
              <w:ind w:left="420"/>
              <w:spacing w:after="0"/>
              <w:rPr>
                <w:sz w:val="20"/>
                <w:szCs w:val="20"/>
                <w:color w:val="auto"/>
              </w:rPr>
            </w:pPr>
            <w:r>
              <w:rPr>
                <w:rFonts w:ascii="Arial" w:cs="Arial" w:eastAsia="Arial" w:hAnsi="Arial"/>
                <w:sz w:val="18"/>
                <w:szCs w:val="18"/>
                <w:color w:val="auto"/>
              </w:rPr>
              <w:t>Certificate of Merger</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M</w:t>
            </w:r>
          </w:p>
        </w:tc>
        <w:tc>
          <w:tcPr>
            <w:tcW w:w="9300" w:type="dxa"/>
            <w:vAlign w:val="bottom"/>
          </w:tcPr>
          <w:p>
            <w:pPr>
              <w:ind w:left="420"/>
              <w:spacing w:after="0"/>
              <w:rPr>
                <w:sz w:val="20"/>
                <w:szCs w:val="20"/>
                <w:color w:val="auto"/>
              </w:rPr>
            </w:pPr>
            <w:r>
              <w:rPr>
                <w:rFonts w:ascii="Arial" w:cs="Arial" w:eastAsia="Arial" w:hAnsi="Arial"/>
                <w:sz w:val="18"/>
                <w:szCs w:val="18"/>
                <w:color w:val="auto"/>
              </w:rPr>
              <w:t>Tax representation Letters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Exhibit N</w:t>
            </w:r>
          </w:p>
        </w:tc>
        <w:tc>
          <w:tcPr>
            <w:tcW w:w="9300" w:type="dxa"/>
            <w:vAlign w:val="bottom"/>
          </w:tcPr>
          <w:p>
            <w:pPr>
              <w:ind w:left="420"/>
              <w:spacing w:after="0"/>
              <w:rPr>
                <w:sz w:val="20"/>
                <w:szCs w:val="20"/>
                <w:color w:val="auto"/>
              </w:rPr>
            </w:pPr>
            <w:r>
              <w:rPr>
                <w:rFonts w:ascii="Arial" w:cs="Arial" w:eastAsia="Arial" w:hAnsi="Arial"/>
                <w:sz w:val="18"/>
                <w:szCs w:val="18"/>
                <w:color w:val="auto"/>
              </w:rPr>
              <w:t>Tax representation Letters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AGREEMENT AND PLAN OF MERGER, dated as of October 15,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Gemini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FS Development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WITNESETH: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Company is in the business of therapeutic drug development and commercialization and related activities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 The Company Securityholders are listed on </w:t>
      </w:r>
      <w:r>
        <w:rPr>
          <w:rFonts w:ascii="Arial" w:cs="Arial" w:eastAsia="Arial" w:hAnsi="Arial"/>
          <w:sz w:val="18"/>
          <w:szCs w:val="18"/>
          <w:u w:val="single" w:color="auto"/>
          <w:color w:val="auto"/>
        </w:rPr>
        <w:t>the Capitalization Schedule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5.5(a)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Schedule 5.5</w:t>
      </w:r>
      <w:r>
        <w:rPr>
          <w:rFonts w:ascii="Arial" w:cs="Arial" w:eastAsia="Arial" w:hAnsi="Arial"/>
          <w:sz w:val="18"/>
          <w:szCs w:val="18"/>
          <w:color w:val="auto"/>
        </w:rPr>
        <w:t xml:space="preserve"> and own 100% of the issued and outstanding Company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after which the Company will be the surviving company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 and a wholly-owned subsidiary of Parent and Parent shall change its name to “Gemini Therapeutics, Inc.”;</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 Contemporaneously with the execution of, and as a condition and an inducement to Parent and the Company entering into this Agreement, Company Securityholders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Specified Company Securityholders</w:t>
      </w:r>
      <w:r>
        <w:rPr>
          <w:rFonts w:ascii="Arial" w:cs="Arial" w:eastAsia="Arial" w:hAnsi="Arial"/>
          <w:sz w:val="18"/>
          <w:szCs w:val="18"/>
          <w:color w:val="auto"/>
        </w:rPr>
        <w:t xml:space="preserve">”) are entering into and delivering Support Agreements,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Company Support Agreement</w:t>
      </w:r>
      <w:r>
        <w:rPr>
          <w:rFonts w:ascii="Arial" w:cs="Arial" w:eastAsia="Arial" w:hAnsi="Arial"/>
          <w:sz w:val="18"/>
          <w:szCs w:val="18"/>
          <w:color w:val="auto"/>
        </w:rPr>
        <w:t>”), pursuant to which each of the Specified Company Securityholders has agreed to vote in favor of this Agreement and the Merger;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Arial" w:cs="Arial" w:eastAsia="Arial" w:hAnsi="Arial"/>
          <w:sz w:val="17"/>
          <w:szCs w:val="17"/>
          <w:u w:val="single" w:color="auto"/>
          <w:color w:val="auto"/>
        </w:rPr>
        <w:t>Private Placement</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 The Subscription Agreements entered into by the Specified Company Securityholders represent an aggregate portion of the Private Placement equal to $15,600,000;</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96" w:lineRule="auto"/>
        <w:rPr>
          <w:sz w:val="20"/>
          <w:szCs w:val="20"/>
          <w:color w:val="auto"/>
        </w:rPr>
      </w:pPr>
      <w:r>
        <w:rPr>
          <w:rFonts w:ascii="Arial" w:cs="Arial" w:eastAsia="Arial" w:hAnsi="Arial"/>
          <w:sz w:val="16"/>
          <w:szCs w:val="16"/>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 (ii) 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action, litigation, suit, claim, hearing or proceeding, including any audit, claim or assessment for Taxes or otherwise, by or before any Authority.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 xml:space="preserve">” means the Voting Agreement,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the Registration Rights Agreement, the Escrow Agreement, the Company Support Agreements, the Subscription Agreements, the Parent Support Agreements, and the Lockup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Transaction Proceeds</w:t>
      </w:r>
      <w:r>
        <w:rPr>
          <w:rFonts w:ascii="Arial" w:cs="Arial" w:eastAsia="Arial" w:hAnsi="Arial"/>
          <w:sz w:val="16"/>
          <w:szCs w:val="16"/>
          <w:color w:val="auto"/>
        </w:rPr>
        <w:t xml:space="preserve">” means an amount equal to (a) the </w:t>
      </w:r>
      <w:r>
        <w:rPr>
          <w:rFonts w:ascii="Arial" w:cs="Arial" w:eastAsia="Arial" w:hAnsi="Arial"/>
          <w:sz w:val="16"/>
          <w:szCs w:val="16"/>
          <w:i w:val="1"/>
          <w:iCs w:val="1"/>
          <w:u w:val="single" w:color="auto"/>
          <w:color w:val="auto"/>
        </w:rPr>
        <w:t>sum</w:t>
      </w:r>
      <w:r>
        <w:rPr>
          <w:rFonts w:ascii="Arial" w:cs="Arial" w:eastAsia="Arial" w:hAnsi="Arial"/>
          <w:sz w:val="16"/>
          <w:szCs w:val="16"/>
          <w:color w:val="auto"/>
        </w:rPr>
        <w:t xml:space="preserve"> of (i) the aggregate cash proceeds available for release to Parent from the Trust Fund in connection with the transactions contemplated hereby (net of the Parent Redemption Amount);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the aggregate cash proceeds actually received by Parent on the Closing Date in respect of the Private Placement,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Unpaid Parent Liabilities.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12.1(a)</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legal holiday on which commercial banking institutions in New York, New York are authorized to close for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Schedule</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Schedule 4.1(j)</w:t>
      </w:r>
      <w:r>
        <w:rPr>
          <w:rFonts w:ascii="Arial" w:cs="Arial" w:eastAsia="Arial" w:hAnsi="Arial"/>
          <w:sz w:val="18"/>
          <w:szCs w:val="18"/>
          <w:color w:val="auto"/>
        </w:rPr>
        <w:t>, as updated as contemplated 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Consideration Conversion Ratio</w:t>
      </w:r>
      <w:r>
        <w:rPr>
          <w:rFonts w:ascii="Arial" w:cs="Arial" w:eastAsia="Arial" w:hAnsi="Arial"/>
          <w:sz w:val="16"/>
          <w:szCs w:val="16"/>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Payment Shares</w:t>
      </w:r>
      <w:r>
        <w:rPr>
          <w:rFonts w:ascii="Arial" w:cs="Arial" w:eastAsia="Arial" w:hAnsi="Arial"/>
          <w:sz w:val="16"/>
          <w:szCs w:val="16"/>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collectively, the requirements of Sections 601 through 606 of ERISA and Section 4980B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Company Common Stock, Company Series A Preferred Stock and Company Series B Preferred Stock.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common stock of the Company, par value $0.001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Existence and Power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Authorization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5.27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Finders’ Fees</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each option to purchase Company Common Stock granted, and that remains outstanding, under the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Incentive Plans.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outstanding shares of Company Capital Stock that are unvested or subject to a risk of forfeiture or repurchase option in favor of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Securities</w:t>
      </w:r>
      <w:r>
        <w:rPr>
          <w:rFonts w:ascii="Arial" w:cs="Arial" w:eastAsia="Arial" w:hAnsi="Arial"/>
          <w:sz w:val="17"/>
          <w:szCs w:val="17"/>
          <w:color w:val="auto"/>
        </w:rPr>
        <w:t>” means the Company Common Stock, the Company Preferred Stock, the Company Options and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w:t>
      </w:r>
      <w:r>
        <w:rPr>
          <w:rFonts w:ascii="Arial" w:cs="Arial" w:eastAsia="Arial" w:hAnsi="Arial"/>
          <w:sz w:val="18"/>
          <w:szCs w:val="18"/>
          <w:color w:val="auto"/>
        </w:rPr>
        <w:t>” means each Person who holds Company Securities immediately prior to the Effective Time, each of which is listed on the Capitalization Schedule delivered prior to Closing.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Stock</w:t>
      </w:r>
      <w:r>
        <w:rPr>
          <w:rFonts w:ascii="Arial" w:cs="Arial" w:eastAsia="Arial" w:hAnsi="Arial"/>
          <w:sz w:val="18"/>
          <w:szCs w:val="18"/>
          <w:color w:val="auto"/>
        </w:rPr>
        <w:t>” means the series A preferred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Stock</w:t>
      </w:r>
      <w:r>
        <w:rPr>
          <w:rFonts w:ascii="Arial" w:cs="Arial" w:eastAsia="Arial" w:hAnsi="Arial"/>
          <w:sz w:val="18"/>
          <w:szCs w:val="18"/>
          <w:color w:val="auto"/>
        </w:rPr>
        <w:t>” means the series B preferred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means, at any given time, the holders of Company Common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Written Consent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Support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Arial" w:cs="Arial" w:eastAsia="Arial" w:hAnsi="Arial"/>
          <w:sz w:val="18"/>
          <w:szCs w:val="18"/>
          <w:u w:val="single" w:color="auto"/>
          <w:color w:val="auto"/>
        </w:rPr>
        <w:t>Controlled Person</w:t>
      </w:r>
      <w:r>
        <w:rPr>
          <w:rFonts w:ascii="Arial" w:cs="Arial" w:eastAsia="Arial" w:hAnsi="Arial"/>
          <w:sz w:val="18"/>
          <w:szCs w:val="18"/>
          <w:color w:val="auto"/>
        </w:rPr>
        <w:t>”) shall be deemed Controlled by any other Person (the “</w:t>
      </w:r>
      <w:r>
        <w:rPr>
          <w:rFonts w:ascii="Arial" w:cs="Arial" w:eastAsia="Arial" w:hAnsi="Arial"/>
          <w:sz w:val="18"/>
          <w:szCs w:val="18"/>
          <w:u w:val="single" w:color="auto"/>
          <w:color w:val="auto"/>
        </w:rPr>
        <w:t>50% Owner</w:t>
      </w:r>
      <w:r>
        <w:rPr>
          <w:rFonts w:ascii="Arial" w:cs="Arial" w:eastAsia="Arial" w:hAnsi="Arial"/>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Company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Plans</w:t>
      </w:r>
      <w:r>
        <w:rPr>
          <w:rFonts w:ascii="Arial" w:cs="Arial" w:eastAsia="Arial" w:hAnsi="Arial"/>
          <w:sz w:val="18"/>
          <w:szCs w:val="18"/>
          <w:color w:val="auto"/>
        </w:rPr>
        <w:t>” means the Company’s 2015 Employee, Director and Consultant Stock Option Plan and the Company’s 2017 Stock Option and Grant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w:t>
      </w:r>
      <w:r>
        <w:rPr>
          <w:rFonts w:ascii="Arial" w:cs="Arial" w:eastAsia="Arial" w:hAnsi="Arial"/>
          <w:sz w:val="17"/>
          <w:szCs w:val="17"/>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 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an agreement in 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between the Stockholders’ Representative, the Escrow Agent and Parent with respect to the Escrow Shares to reflect the terms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Participant</w:t>
      </w:r>
      <w:r>
        <w:rPr>
          <w:rFonts w:ascii="Arial" w:cs="Arial" w:eastAsia="Arial" w:hAnsi="Arial"/>
          <w:sz w:val="18"/>
          <w:szCs w:val="18"/>
          <w:color w:val="auto"/>
        </w:rPr>
        <w:t>” means each Person who holds Company Common Stock or Company Preferred Stock, in each case, as of immediately prior to the Effective Time.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Participant Company Securities</w:t>
      </w:r>
      <w:r>
        <w:rPr>
          <w:rFonts w:ascii="Arial" w:cs="Arial" w:eastAsia="Arial" w:hAnsi="Arial"/>
          <w:sz w:val="18"/>
          <w:szCs w:val="18"/>
          <w:color w:val="auto"/>
        </w:rPr>
        <w:t xml:space="preserve">” means the </w:t>
      </w:r>
      <w:r>
        <w:rPr>
          <w:rFonts w:ascii="Arial" w:cs="Arial" w:eastAsia="Arial" w:hAnsi="Arial"/>
          <w:sz w:val="18"/>
          <w:szCs w:val="18"/>
          <w:i w:val="1"/>
          <w:iCs w:val="1"/>
          <w:u w:val="single" w:color="auto"/>
          <w:color w:val="auto"/>
        </w:rPr>
        <w:t>sum</w:t>
      </w:r>
      <w:r>
        <w:rPr>
          <w:rFonts w:ascii="Arial" w:cs="Arial" w:eastAsia="Arial" w:hAnsi="Arial"/>
          <w:sz w:val="18"/>
          <w:szCs w:val="18"/>
          <w:color w:val="auto"/>
        </w:rPr>
        <w:t xml:space="preserve">, without duplication, of (a) shares of Company Common Stock that are issued and outstanding immediately prior to the Effective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shares of Company Preferred Stock (on an as converted to Company Common Stock basis) that are issued and outstanding immediately prior to the Effective Time.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Share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Shares</w:t>
      </w:r>
      <w:r>
        <w:rPr>
          <w:rFonts w:ascii="Arial" w:cs="Arial" w:eastAsia="Arial" w:hAnsi="Arial"/>
          <w:sz w:val="18"/>
          <w:szCs w:val="18"/>
          <w:color w:val="auto"/>
        </w:rPr>
        <w:t>” means 2,150,000 Parent Class A Shares to be held in escrow for indemnification purposes.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Fully Diluted Company Shares</w:t>
      </w:r>
      <w:r>
        <w:rPr>
          <w:rFonts w:ascii="Arial" w:cs="Arial" w:eastAsia="Arial" w:hAnsi="Arial"/>
          <w:sz w:val="17"/>
          <w:szCs w:val="17"/>
          <w:color w:val="auto"/>
        </w:rPr>
        <w:t xml:space="preserve">” means the </w:t>
      </w:r>
      <w:r>
        <w:rPr>
          <w:rFonts w:ascii="Arial" w:cs="Arial" w:eastAsia="Arial" w:hAnsi="Arial"/>
          <w:sz w:val="17"/>
          <w:szCs w:val="17"/>
          <w:i w:val="1"/>
          <w:iCs w:val="1"/>
          <w:u w:val="single" w:color="auto"/>
          <w:color w:val="auto"/>
        </w:rPr>
        <w:t>sum</w:t>
      </w:r>
      <w:r>
        <w:rPr>
          <w:rFonts w:ascii="Arial" w:cs="Arial" w:eastAsia="Arial" w:hAnsi="Arial"/>
          <w:sz w:val="17"/>
          <w:szCs w:val="17"/>
          <w:color w:val="auto"/>
        </w:rPr>
        <w:t xml:space="preserve">, without duplication, of (a) shares of Company Common Stock (including Company Restricted Stock)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shares of Company Preferred Stock (on an as converted to Company Common Stock basis)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(c) the aggregate number of shares of Company Common Stock issuable upon exercise of the Company Warrant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the aggregate number of shares of Company Common Stock issuable upon exercise of Vested Company Options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(e) the aggregate number of shares of Company Common Stock issuable upon exercise of Unvested Company Options as of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17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material, emission, chemical, substance or waste that has been designated by any Authority to be radioactive, toxic, hazardous, a pollutant or a contaminant.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 Activity</w:t>
      </w:r>
      <w:r>
        <w:rPr>
          <w:rFonts w:ascii="Arial" w:cs="Arial" w:eastAsia="Arial" w:hAnsi="Arial"/>
          <w:sz w:val="17"/>
          <w:szCs w:val="17"/>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 by the Health Information Technology for Economic and Clinical Health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Parent pursuant to a prospectus dated August 13, 2020.</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Loss 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or “</w:t>
      </w:r>
      <w:r>
        <w:rPr>
          <w:rFonts w:ascii="Arial" w:cs="Arial" w:eastAsia="Arial" w:hAnsi="Arial"/>
          <w:sz w:val="18"/>
          <w:szCs w:val="18"/>
          <w:u w:val="single" w:color="auto"/>
          <w:color w:val="auto"/>
        </w:rPr>
        <w:t>to the Company’s Knowledge</w:t>
      </w:r>
      <w:r>
        <w:rPr>
          <w:rFonts w:ascii="Arial" w:cs="Arial" w:eastAsia="Arial" w:hAnsi="Arial"/>
          <w:sz w:val="18"/>
          <w:szCs w:val="18"/>
          <w:color w:val="auto"/>
        </w:rPr>
        <w:t>” or similar terms (whether or not capitalized) means the actual knowledge of Jason Meyenburg and Gregg Beloff.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or “</w:t>
      </w:r>
      <w:r>
        <w:rPr>
          <w:rFonts w:ascii="Arial" w:cs="Arial" w:eastAsia="Arial" w:hAnsi="Arial"/>
          <w:sz w:val="18"/>
          <w:szCs w:val="18"/>
          <w:u w:val="single" w:color="auto"/>
          <w:color w:val="auto"/>
        </w:rPr>
        <w:t>to Parent’s Knowledge</w:t>
      </w:r>
      <w:r>
        <w:rPr>
          <w:rFonts w:ascii="Arial" w:cs="Arial" w:eastAsia="Arial" w:hAnsi="Arial"/>
          <w:sz w:val="18"/>
          <w:szCs w:val="18"/>
          <w:color w:val="auto"/>
        </w:rPr>
        <w:t>” or “</w:t>
      </w:r>
      <w:r>
        <w:rPr>
          <w:rFonts w:ascii="Arial" w:cs="Arial" w:eastAsia="Arial" w:hAnsi="Arial"/>
          <w:sz w:val="18"/>
          <w:szCs w:val="18"/>
          <w:u w:val="single" w:color="auto"/>
          <w:color w:val="auto"/>
        </w:rPr>
        <w:t>Known by Parent</w:t>
      </w:r>
      <w:r>
        <w:rPr>
          <w:rFonts w:ascii="Arial" w:cs="Arial" w:eastAsia="Arial" w:hAnsi="Arial"/>
          <w:sz w:val="18"/>
          <w:szCs w:val="18"/>
          <w:color w:val="auto"/>
        </w:rPr>
        <w:t>” or similar terms (whether or not capitalized) means the actual knowledge of Jim Tananbaum and Dennis Ryan.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domestic or foreign, federal, state, municipality or local law, statute, ordinance, code, rule, or regulation.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w:t>
      </w:r>
      <w:r>
        <w:rPr>
          <w:rFonts w:ascii="Arial" w:cs="Arial" w:eastAsia="Arial" w:hAnsi="Arial"/>
          <w:sz w:val="17"/>
          <w:szCs w:val="17"/>
          <w:color w:val="auto"/>
        </w:rPr>
        <w:t xml:space="preserve">” means the lease described on </w:t>
      </w:r>
      <w:r>
        <w:rPr>
          <w:rFonts w:ascii="Arial" w:cs="Arial" w:eastAsia="Arial" w:hAnsi="Arial"/>
          <w:sz w:val="17"/>
          <w:szCs w:val="17"/>
          <w:u w:val="single" w:color="auto"/>
          <w:color w:val="auto"/>
        </w:rPr>
        <w:t>Schedule 1.1(c)</w:t>
      </w:r>
      <w:r>
        <w:rPr>
          <w:rFonts w:ascii="Arial" w:cs="Arial" w:eastAsia="Arial" w:hAnsi="Arial"/>
          <w:sz w:val="17"/>
          <w:szCs w:val="17"/>
          <w:color w:val="auto"/>
        </w:rPr>
        <w:t>, together with all fixtures and improvements erected on the premises leased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thereby.</w:t>
      </w:r>
    </w:p>
    <w:p>
      <w:pPr>
        <w:spacing w:after="0" w:line="211"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means the lockup agreements, in each case substantially in the form attached hereto as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subclause (g) shall not apply to any representation or warranty contained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or to the determination of whether any inaccuracy in such representations or warranties would reasonably be expected to have a Material Adverse Effect for purposes of </w:t>
      </w:r>
      <w:r>
        <w:rPr>
          <w:rFonts w:ascii="Arial" w:cs="Arial" w:eastAsia="Arial" w:hAnsi="Arial"/>
          <w:sz w:val="16"/>
          <w:szCs w:val="16"/>
          <w:u w:val="single" w:color="auto"/>
          <w:color w:val="auto"/>
        </w:rPr>
        <w:t>Sections 10.2(b)</w:t>
      </w:r>
      <w:r>
        <w:rPr>
          <w:rFonts w:ascii="Arial" w:cs="Arial" w:eastAsia="Arial" w:hAnsi="Arial"/>
          <w:sz w:val="16"/>
          <w:szCs w:val="16"/>
          <w:color w:val="auto"/>
        </w:rPr>
        <w:t>); (h) any natural or man-made disaster or acts of God or the COVID-19 pandemic; or (i) any failure by the Company to meet any internal or published projections, forecasts or revenue or earnings predictions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5.30</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decree, order, judgment, writ, award, injunction, rule or consent of or by an Authority.</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Parachute Payment Waiver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Certificate of Incorporation</w:t>
      </w:r>
      <w:r>
        <w:rPr>
          <w:rFonts w:ascii="Arial" w:cs="Arial" w:eastAsia="Arial" w:hAnsi="Arial"/>
          <w:sz w:val="18"/>
          <w:szCs w:val="18"/>
          <w:color w:val="auto"/>
        </w:rPr>
        <w:t>” means the Amended and Restated Certificate of Incorporation of the Company, as filed on August 11, 2020 with the Secretary of State of the State of Delaware pursuant to the DGCL.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A Shares</w:t>
      </w:r>
      <w:r>
        <w:rPr>
          <w:rFonts w:ascii="Arial" w:cs="Arial" w:eastAsia="Arial" w:hAnsi="Arial"/>
          <w:sz w:val="18"/>
          <w:szCs w:val="18"/>
          <w:color w:val="auto"/>
        </w:rPr>
        <w:t>” means the Class A common stock, $0.0001 par value, of Parent.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B Shares</w:t>
      </w:r>
      <w:r>
        <w:rPr>
          <w:rFonts w:ascii="Arial" w:cs="Arial" w:eastAsia="Arial" w:hAnsi="Arial"/>
          <w:sz w:val="18"/>
          <w:szCs w:val="18"/>
          <w:color w:val="auto"/>
        </w:rPr>
        <w:t>” means the Class B common stock, $0.0001 par value, of Parent.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Parent Class A Shares and Parent Class B Shares.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Fundamental Representations</w:t>
      </w:r>
      <w:r>
        <w:rPr>
          <w:rFonts w:ascii="Arial" w:cs="Arial" w:eastAsia="Arial" w:hAnsi="Arial"/>
          <w:sz w:val="18"/>
          <w:szCs w:val="18"/>
          <w:color w:val="auto"/>
        </w:rPr>
        <w:t xml:space="preserve">” means the representations and warranties of Parent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Existence</w:t>
      </w:r>
      <w:r>
        <w:rPr>
          <w:rFonts w:ascii="Arial" w:cs="Arial" w:eastAsia="Arial" w:hAnsi="Arial"/>
          <w:sz w:val="18"/>
          <w:szCs w:val="18"/>
          <w:color w:val="auto"/>
        </w:rPr>
        <w:t xml:space="preserve"> </w:t>
      </w:r>
      <w:r>
        <w:rPr>
          <w:rFonts w:ascii="Arial" w:cs="Arial" w:eastAsia="Arial" w:hAnsi="Arial"/>
          <w:sz w:val="18"/>
          <w:szCs w:val="18"/>
          <w:i w:val="1"/>
          <w:iCs w:val="1"/>
          <w:color w:val="auto"/>
        </w:rPr>
        <w:t>and Power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Corporate Authorization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Finders’ Fees</w:t>
      </w:r>
      <w:r>
        <w:rPr>
          <w:rFonts w:ascii="Arial" w:cs="Arial" w:eastAsia="Arial" w:hAnsi="Arial"/>
          <w:sz w:val="18"/>
          <w:szCs w:val="18"/>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Liabilities</w:t>
      </w:r>
      <w:r>
        <w:rPr>
          <w:rFonts w:ascii="Arial" w:cs="Arial" w:eastAsia="Arial" w:hAnsi="Arial"/>
          <w:sz w:val="17"/>
          <w:szCs w:val="17"/>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Redemption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Support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Portion</w:t>
      </w:r>
      <w:r>
        <w:rPr>
          <w:rFonts w:ascii="Arial" w:cs="Arial" w:eastAsia="Arial" w:hAnsi="Arial"/>
          <w:sz w:val="18"/>
          <w:szCs w:val="18"/>
          <w:color w:val="auto"/>
        </w:rPr>
        <w:t xml:space="preserve">” shall mean, with respect to each Escrow Participant, an amount equal to the quotient (expressed as a percentage) obtained by </w:t>
      </w:r>
      <w:r>
        <w:rPr>
          <w:rFonts w:ascii="Arial" w:cs="Arial" w:eastAsia="Arial" w:hAnsi="Arial"/>
          <w:sz w:val="18"/>
          <w:szCs w:val="18"/>
          <w:i w:val="1"/>
          <w:iCs w:val="1"/>
          <w:u w:val="single" w:color="auto"/>
          <w:color w:val="auto"/>
        </w:rPr>
        <w:t>dividing</w:t>
      </w:r>
      <w:r>
        <w:rPr>
          <w:rFonts w:ascii="Arial" w:cs="Arial" w:eastAsia="Arial" w:hAnsi="Arial"/>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means the registration rights agreement, in substantially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w:t>
      </w:r>
      <w:r>
        <w:rPr>
          <w:rFonts w:ascii="Arial" w:cs="Arial" w:eastAsia="Arial" w:hAnsi="Arial"/>
          <w:sz w:val="18"/>
          <w:szCs w:val="18"/>
          <w:color w:val="auto"/>
        </w:rPr>
        <w:t>” means the Form S-4, including the Proxy Statement, whether in preliminary or definitive form, and any amendments or supplements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Company Securityholder</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FS Development Holdings,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5.15(a)(vi)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each entity of which at least fifty percent (50%) of the capital stock or other equity or voting securities are Controlled or owned, directly or indirectly, by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Survival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SVB</w:t>
      </w:r>
      <w:r>
        <w:rPr>
          <w:rFonts w:ascii="Arial" w:cs="Arial" w:eastAsia="Arial" w:hAnsi="Arial"/>
          <w:sz w:val="18"/>
          <w:szCs w:val="18"/>
          <w:color w:val="auto"/>
        </w:rPr>
        <w:t>” means Silicon Valley Bank.</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SVB Loan</w:t>
      </w:r>
      <w:r>
        <w:rPr>
          <w:rFonts w:ascii="Arial" w:cs="Arial" w:eastAsia="Arial" w:hAnsi="Arial"/>
          <w:sz w:val="16"/>
          <w:szCs w:val="16"/>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the Internal Revenue Service and any other Authority responsible for the collection, assessment or imposition of any Tax or the administration of any Law relating to any Tax.</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transactions contemplated by this Agreement to occur at or immediately prior to the Closing,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9.5(c)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Parent Liabilities</w:t>
      </w:r>
      <w:r>
        <w:rPr>
          <w:rFonts w:ascii="Arial" w:cs="Arial" w:eastAsia="Arial" w:hAnsi="Arial"/>
          <w:sz w:val="18"/>
          <w:szCs w:val="18"/>
          <w:color w:val="auto"/>
        </w:rPr>
        <w:t>” means the Parent Liabilities that remain unpaid as of immediately prior to the Closing.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Unvested Company Option</w:t>
      </w:r>
      <w:r>
        <w:rPr>
          <w:rFonts w:ascii="Arial" w:cs="Arial" w:eastAsia="Arial" w:hAnsi="Arial"/>
          <w:sz w:val="16"/>
          <w:szCs w:val="16"/>
          <w:color w:val="auto"/>
        </w:rPr>
        <w:t>” means each Company Option outstanding as of immediately prior to the Effective Time that is not a 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Option.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means U.S. generally accepted accounting principles, consistently applied.</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Option</w:t>
      </w:r>
      <w:r>
        <w:rPr>
          <w:rFonts w:ascii="Arial" w:cs="Arial" w:eastAsia="Arial" w:hAnsi="Arial"/>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Agreement</w:t>
      </w:r>
      <w:r>
        <w:rPr>
          <w:rFonts w:ascii="Arial" w:cs="Arial" w:eastAsia="Arial" w:hAnsi="Arial"/>
          <w:sz w:val="18"/>
          <w:szCs w:val="18"/>
          <w:color w:val="auto"/>
        </w:rPr>
        <w:t>” has the meaning set forth in the definition of Additional Agreements.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price of the Parent Class A Shares for the ten (10) Trading Days ending on the Trading Day immediately preceding the Closing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342" w:lineRule="auto"/>
        <w:tabs>
          <w:tab w:leader="none" w:pos="15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23" w:lineRule="exact"/>
        <w:rPr>
          <w:rFonts w:ascii="Arial" w:cs="Arial" w:eastAsia="Arial" w:hAnsi="Arial"/>
          <w:sz w:val="16"/>
          <w:szCs w:val="16"/>
          <w:color w:val="auto"/>
        </w:rPr>
      </w:pPr>
    </w:p>
    <w:p>
      <w:pPr>
        <w:ind w:firstLine="1304"/>
        <w:spacing w:after="0" w:line="277" w:lineRule="auto"/>
        <w:tabs>
          <w:tab w:leader="none" w:pos="15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86" w:lineRule="exact"/>
        <w:rPr>
          <w:rFonts w:ascii="Arial" w:cs="Arial" w:eastAsia="Arial" w:hAnsi="Arial"/>
          <w:sz w:val="18"/>
          <w:szCs w:val="18"/>
          <w:color w:val="auto"/>
        </w:rPr>
      </w:pPr>
    </w:p>
    <w:p>
      <w:pPr>
        <w:jc w:val="both"/>
        <w:ind w:firstLine="1304"/>
        <w:spacing w:after="0" w:line="254" w:lineRule="auto"/>
        <w:tabs>
          <w:tab w:leader="none" w:pos="1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91" w:lineRule="exact"/>
        <w:rPr>
          <w:rFonts w:ascii="Arial" w:cs="Arial" w:eastAsia="Arial" w:hAnsi="Arial"/>
          <w:sz w:val="18"/>
          <w:szCs w:val="18"/>
          <w:color w:val="auto"/>
        </w:rPr>
      </w:pPr>
    </w:p>
    <w:p>
      <w:pPr>
        <w:jc w:val="both"/>
        <w:ind w:firstLine="1304"/>
        <w:spacing w:after="0" w:line="259" w:lineRule="auto"/>
        <w:tabs>
          <w:tab w:leader="none" w:pos="153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Merger</w:t>
      </w:r>
      <w:r>
        <w:rPr>
          <w:rFonts w:ascii="Arial" w:cs="Arial" w:eastAsia="Arial" w:hAnsi="Arial"/>
          <w:sz w:val="16"/>
          <w:szCs w:val="16"/>
          <w:color w:val="auto"/>
        </w:rPr>
        <w:t>. Upon the terms and subject to the conditions set forth in this Agreement, and in accordance with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7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U.S. Tax Treatment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8" w:lineRule="auto"/>
        <w:tabs>
          <w:tab w:leader="none" w:pos="1544"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6"/>
          <w:szCs w:val="16"/>
          <w:u w:val="single" w:color="auto"/>
          <w:color w:val="auto"/>
        </w:rPr>
        <w:t>Sections 5.25(d)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6.18(e)</w:t>
      </w:r>
      <w:r>
        <w:rPr>
          <w:rFonts w:ascii="Arial" w:cs="Arial" w:eastAsia="Arial" w:hAnsi="Arial"/>
          <w:sz w:val="16"/>
          <w:szCs w:val="16"/>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1576"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Parent SEC Documents, the Additional Parent SEC Documents, the SEC Statement or any Other Filing (each individually, a “</w:t>
      </w:r>
      <w:r>
        <w:rPr>
          <w:rFonts w:ascii="Arial" w:cs="Arial" w:eastAsia="Arial" w:hAnsi="Arial"/>
          <w:sz w:val="16"/>
          <w:szCs w:val="16"/>
          <w:u w:val="single" w:color="auto"/>
          <w:color w:val="auto"/>
        </w:rPr>
        <w:t>Securities Filing</w:t>
      </w:r>
      <w:r>
        <w:rPr>
          <w:rFonts w:ascii="Arial" w:cs="Arial" w:eastAsia="Arial" w:hAnsi="Arial"/>
          <w:sz w:val="16"/>
          <w:szCs w:val="16"/>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6"/>
          <w:szCs w:val="16"/>
          <w:u w:val="single" w:color="auto"/>
          <w:color w:val="auto"/>
        </w:rPr>
        <w:t>Tax Opinion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jc w:val="both"/>
        <w:ind w:firstLine="8"/>
        <w:spacing w:after="0" w:line="252"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deliver to Goodwin Procter LLP (“</w:t>
      </w:r>
      <w:r>
        <w:rPr>
          <w:rFonts w:ascii="Arial" w:cs="Arial" w:eastAsia="Arial" w:hAnsi="Arial"/>
          <w:sz w:val="18"/>
          <w:szCs w:val="18"/>
          <w:u w:val="single" w:color="auto"/>
          <w:color w:val="auto"/>
        </w:rPr>
        <w:t>Goodwin</w:t>
      </w:r>
      <w:r>
        <w:rPr>
          <w:rFonts w:ascii="Arial" w:cs="Arial" w:eastAsia="Arial" w:hAnsi="Arial"/>
          <w:sz w:val="18"/>
          <w:szCs w:val="18"/>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2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Closing; Effective Time</w:t>
      </w:r>
      <w:r>
        <w:rPr>
          <w:rFonts w:ascii="Arial" w:cs="Arial" w:eastAsia="Arial" w:hAnsi="Arial"/>
          <w:sz w:val="16"/>
          <w:szCs w:val="16"/>
          <w:color w:val="auto"/>
        </w:rPr>
        <w:t xml:space="preserve">. Unless this Agreement is earlier terminated in accordance with </w:t>
      </w:r>
      <w:r>
        <w:rPr>
          <w:rFonts w:ascii="Arial" w:cs="Arial" w:eastAsia="Arial" w:hAnsi="Arial"/>
          <w:sz w:val="16"/>
          <w:szCs w:val="16"/>
          <w:u w:val="single" w:color="auto"/>
          <w:color w:val="auto"/>
        </w:rPr>
        <w:t>ARTICLE XIII</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virtually at 10:00 a.m. local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Business Day after the satisfaction or waiver (to the extent permitted by applicable law) of the conditions set forth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Board of Directors of Parent</w:t>
      </w:r>
      <w:r>
        <w:rPr>
          <w:rFonts w:ascii="Arial" w:cs="Arial" w:eastAsia="Arial" w:hAnsi="Arial"/>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Taking of Necessary Action; Further Action</w:t>
      </w:r>
      <w:r>
        <w:rPr>
          <w:rFonts w:ascii="Arial" w:cs="Arial" w:eastAsia="Arial" w:hAnsi="Arial"/>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 Further Ownership Rights in Company Securities</w:t>
      </w:r>
      <w:r>
        <w:rPr>
          <w:rFonts w:ascii="Arial" w:cs="Arial" w:eastAsia="Arial" w:hAnsi="Arial"/>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Appraisal Rights</w:t>
      </w:r>
      <w:r>
        <w:rPr>
          <w:rFonts w:ascii="Arial" w:cs="Arial" w:eastAsia="Arial" w:hAnsi="Arial"/>
          <w:sz w:val="17"/>
          <w:szCs w:val="17"/>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Conversion of Company Securities; Convertible Notes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0"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Conversion of Company Capital Stock</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at the Effective Time, by virtue of the Merger and without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65" w:lineRule="exact"/>
        <w:rPr>
          <w:rFonts w:ascii="Arial" w:cs="Arial" w:eastAsia="Arial" w:hAnsi="Arial"/>
          <w:sz w:val="16"/>
          <w:szCs w:val="16"/>
          <w:color w:val="auto"/>
        </w:rPr>
      </w:pPr>
    </w:p>
    <w:p>
      <w:pPr>
        <w:jc w:val="both"/>
        <w:ind w:firstLine="1304"/>
        <w:spacing w:after="0" w:line="285" w:lineRule="auto"/>
        <w:tabs>
          <w:tab w:leader="none" w:pos="1551"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Company Options. </w:t>
      </w:r>
      <w:r>
        <w:rPr>
          <w:rFonts w:ascii="Arial" w:cs="Arial" w:eastAsia="Arial" w:hAnsi="Arial"/>
          <w:sz w:val="16"/>
          <w:szCs w:val="16"/>
          <w:color w:val="auto"/>
        </w:rPr>
        <w:t>The Company shall terminate the Equity Incentive Plans at or prior to the Effective Time,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Arial" w:cs="Arial" w:eastAsia="Arial" w:hAnsi="Arial"/>
          <w:sz w:val="16"/>
          <w:szCs w:val="16"/>
          <w:u w:val="single" w:color="auto"/>
          <w:color w:val="auto"/>
        </w:rPr>
        <w:t>Converted Company 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(B) 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1540" w:hanging="236"/>
        <w:spacing w:after="0"/>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Treatment of the Company Warrant</w:t>
      </w:r>
      <w:r>
        <w:rPr>
          <w:rFonts w:ascii="Arial" w:cs="Arial" w:eastAsia="Arial" w:hAnsi="Arial"/>
          <w:sz w:val="17"/>
          <w:szCs w:val="17"/>
          <w:color w:val="auto"/>
        </w:rPr>
        <w:t>. At the Effective Time, the Company Warrant will be treated in accordance with its terms.</w:t>
      </w:r>
    </w:p>
    <w:p>
      <w:pPr>
        <w:spacing w:after="0" w:line="236" w:lineRule="exact"/>
        <w:rPr>
          <w:rFonts w:ascii="Arial" w:cs="Arial" w:eastAsia="Arial" w:hAnsi="Arial"/>
          <w:sz w:val="17"/>
          <w:szCs w:val="17"/>
          <w:color w:val="auto"/>
        </w:rPr>
      </w:pPr>
    </w:p>
    <w:p>
      <w:pPr>
        <w:ind w:firstLine="1304"/>
        <w:spacing w:after="0" w:line="277"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Treatment of Convertible Notes. </w:t>
      </w:r>
      <w:r>
        <w:rPr>
          <w:rFonts w:ascii="Arial" w:cs="Arial" w:eastAsia="Arial" w:hAnsi="Arial"/>
          <w:sz w:val="18"/>
          <w:szCs w:val="18"/>
          <w:color w:val="auto"/>
        </w:rPr>
        <w:t>Prior to the Closing, each Convertible Note will be converted into Company Series B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terms thereof, in each case, as set forth on Capitalization Schedule delivered prior to Closing.</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Conversion of Shares of Merger Sub</w:t>
      </w:r>
      <w:r>
        <w:rPr>
          <w:rFonts w:ascii="Arial" w:cs="Arial" w:eastAsia="Arial" w:hAnsi="Arial"/>
          <w:sz w:val="17"/>
          <w:szCs w:val="17"/>
          <w:color w:val="auto"/>
        </w:rPr>
        <w:t>. Each share of Merger Sub that is issued and outstanding immediately prior to the Effective Time</w:t>
      </w:r>
      <w:r>
        <w:rPr>
          <w:rFonts w:ascii="Arial" w:cs="Arial" w:eastAsia="Arial" w:hAnsi="Arial"/>
          <w:sz w:val="17"/>
          <w:szCs w:val="17"/>
          <w:i w:val="1"/>
          <w:iCs w:val="1"/>
          <w:color w:val="auto"/>
        </w:rPr>
        <w:t xml:space="preserve"> </w:t>
      </w:r>
      <w:r>
        <w:rPr>
          <w:rFonts w:ascii="Arial" w:cs="Arial" w:eastAsia="Arial" w:hAnsi="Arial"/>
          <w:sz w:val="17"/>
          <w:szCs w:val="17"/>
          <w:color w:val="auto"/>
        </w:rPr>
        <w:t>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53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Treatment of Shares of Company Common Stock Owned by the Company</w:t>
      </w:r>
      <w:r>
        <w:rPr>
          <w:rFonts w:ascii="Arial" w:cs="Arial" w:eastAsia="Arial" w:hAnsi="Arial"/>
          <w:sz w:val="18"/>
          <w:szCs w:val="18"/>
          <w:color w:val="auto"/>
        </w:rPr>
        <w:t>. At the Effective Time, all shares of Company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that are owned by the Company as treasury shares immediately prior to the Effective Time shall be canceled and extinguished without any conversion thereof.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Surrender of Certificates</w:t>
      </w:r>
      <w:r>
        <w:rPr>
          <w:rFonts w:ascii="Arial" w:cs="Arial" w:eastAsia="Arial" w:hAnsi="Arial"/>
          <w:sz w:val="18"/>
          <w:szCs w:val="18"/>
          <w:color w:val="auto"/>
        </w:rPr>
        <w:t>. All Closing Payment Shares issued upon the surrender and cancellation of the Company Common Stock,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terms hereof, shall be deemed to have been issued in full satisfaction of all rights pertaining to such securities, other than the additional obligations of Parent and the rights of the Stockholders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Lost or Destroyed Certificates</w:t>
      </w:r>
      <w:r>
        <w:rPr>
          <w:rFonts w:ascii="Arial" w:cs="Arial" w:eastAsia="Arial" w:hAnsi="Arial"/>
          <w:sz w:val="18"/>
          <w:szCs w:val="18"/>
          <w:color w:val="auto"/>
        </w:rPr>
        <w:t>. In the event any certificates representing shares of Company Common Stock shall have been lost,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524"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Escrow Shares</w:t>
      </w:r>
      <w:r>
        <w:rPr>
          <w:rFonts w:ascii="Arial" w:cs="Arial" w:eastAsia="Arial" w:hAnsi="Arial"/>
          <w:sz w:val="16"/>
          <w:szCs w:val="16"/>
          <w:color w:val="auto"/>
        </w:rPr>
        <w:t>. Notwithstanding anything to the contrary in the other provisions of this Agreement, Parent shall withhold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1304"/>
        <w:spacing w:after="0" w:line="285" w:lineRule="auto"/>
        <w:tabs>
          <w:tab w:leader="none" w:pos="1569" w:val="left"/>
        </w:tabs>
        <w:numPr>
          <w:ilvl w:val="0"/>
          <w:numId w:val="11"/>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Capitalization Schedule</w:t>
      </w:r>
      <w:r>
        <w:rPr>
          <w:rFonts w:ascii="Arial" w:cs="Arial" w:eastAsia="Arial" w:hAnsi="Arial"/>
          <w:sz w:val="16"/>
          <w:szCs w:val="16"/>
          <w:color w:val="auto"/>
        </w:rPr>
        <w:t>. No later than three (3) Business Days prior to the Closing Date, the Company shall deliver to Parent a final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4.1(a)</w:t>
      </w:r>
      <w:r>
        <w:rPr>
          <w:rFonts w:ascii="Arial" w:cs="Arial" w:eastAsia="Arial" w:hAnsi="Arial"/>
          <w:sz w:val="16"/>
          <w:szCs w:val="16"/>
          <w:color w:val="auto"/>
        </w:rPr>
        <w:t xml:space="preserve"> in respect of each share of Company Capital Stock held by such Company Securityholder; (v) the total number of Parent Class A Shares issuable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Arial" w:cs="Arial" w:eastAsia="Arial" w:hAnsi="Arial"/>
          <w:sz w:val="16"/>
          <w:szCs w:val="16"/>
          <w:u w:val="single" w:color="auto"/>
          <w:color w:val="auto"/>
        </w:rPr>
        <w:t>Section 4.1(i)</w:t>
      </w:r>
      <w:r>
        <w:rPr>
          <w:rFonts w:ascii="Arial" w:cs="Arial" w:eastAsia="Arial" w:hAnsi="Arial"/>
          <w:sz w:val="16"/>
          <w:szCs w:val="16"/>
          <w:color w:val="auto"/>
        </w:rPr>
        <w:t xml:space="preserve">; and (vii) such Company Securityholder’s Pro Rata Portion, if any. Nothing contained in this </w:t>
      </w:r>
      <w:r>
        <w:rPr>
          <w:rFonts w:ascii="Arial" w:cs="Arial" w:eastAsia="Arial" w:hAnsi="Arial"/>
          <w:sz w:val="16"/>
          <w:szCs w:val="16"/>
          <w:u w:val="single" w:color="auto"/>
          <w:color w:val="auto"/>
        </w:rPr>
        <w:t>Section 4.1(j)</w:t>
      </w:r>
      <w:r>
        <w:rPr>
          <w:rFonts w:ascii="Arial" w:cs="Arial" w:eastAsia="Arial" w:hAnsi="Arial"/>
          <w:sz w:val="16"/>
          <w:szCs w:val="16"/>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Arial" w:cs="Arial" w:eastAsia="Arial" w:hAnsi="Arial"/>
          <w:sz w:val="16"/>
          <w:szCs w:val="16"/>
          <w:u w:val="single" w:color="auto"/>
          <w:color w:val="auto"/>
        </w:rPr>
        <w:t>Section 7.1(a)(xvi)</w:t>
      </w:r>
      <w:r>
        <w:rPr>
          <w:rFonts w:ascii="Arial" w:cs="Arial" w:eastAsia="Arial" w:hAnsi="Arial"/>
          <w:sz w:val="16"/>
          <w:szCs w:val="16"/>
          <w:color w:val="auto"/>
        </w:rPr>
        <w:t>; or (y) alter or amend the total aggregate number of Closing Payment Shares issuable or reserved for issuance to the Company Securityholders; or (z) alter or amend the definition of Closing Consideration Conversion Ratio.</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4.1(i)</w:t>
      </w:r>
      <w:r>
        <w:rPr>
          <w:rFonts w:ascii="Arial" w:cs="Arial" w:eastAsia="Arial" w:hAnsi="Arial"/>
          <w:sz w:val="17"/>
          <w:szCs w:val="17"/>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Withholding</w:t>
      </w:r>
      <w:r>
        <w:rPr>
          <w:rFonts w:ascii="Arial" w:cs="Arial" w:eastAsia="Arial" w:hAnsi="Arial"/>
          <w:sz w:val="16"/>
          <w:szCs w:val="16"/>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3" w:lineRule="auto"/>
        <w:tabs>
          <w:tab w:leader="none" w:pos="15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304"/>
        <w:spacing w:after="0" w:line="268" w:lineRule="auto"/>
        <w:tabs>
          <w:tab w:leader="none" w:pos="16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Arial" w:cs="Arial" w:eastAsia="Arial" w:hAnsi="Arial"/>
          <w:sz w:val="17"/>
          <w:szCs w:val="17"/>
          <w:u w:val="single" w:color="auto"/>
          <w:color w:val="auto"/>
        </w:rPr>
        <w:t>Company Stockholder Approval</w:t>
      </w:r>
      <w:r>
        <w:rPr>
          <w:rFonts w:ascii="Arial" w:cs="Arial" w:eastAsia="Arial" w:hAnsi="Arial"/>
          <w:sz w:val="17"/>
          <w:szCs w:val="17"/>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Arial" w:cs="Arial" w:eastAsia="Arial" w:hAnsi="Arial"/>
          <w:sz w:val="16"/>
          <w:szCs w:val="16"/>
          <w:u w:val="single" w:color="auto"/>
          <w:color w:val="auto"/>
        </w:rPr>
        <w:t>Schedule 5.8</w:t>
      </w:r>
      <w:r>
        <w:rPr>
          <w:rFonts w:ascii="Arial" w:cs="Arial" w:eastAsia="Arial" w:hAnsi="Arial"/>
          <w:sz w:val="16"/>
          <w:szCs w:val="16"/>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612"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95,000,000 shares of the Company Common Stock, par value $0.001 per share, and 76,723,489 shares of preferred stock, par value $0.001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Arial" w:cs="Arial" w:eastAsia="Arial" w:hAnsi="Arial"/>
          <w:sz w:val="16"/>
          <w:szCs w:val="16"/>
          <w:u w:val="single" w:color="auto"/>
          <w:color w:val="auto"/>
        </w:rPr>
        <w:t>Schedule 5.5(a)</w:t>
      </w:r>
      <w:r>
        <w:rPr>
          <w:rFonts w:ascii="Arial" w:cs="Arial" w:eastAsia="Arial" w:hAnsi="Arial"/>
          <w:sz w:val="16"/>
          <w:szCs w:val="16"/>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73" w:lineRule="exact"/>
        <w:rPr>
          <w:rFonts w:ascii="Arial" w:cs="Arial" w:eastAsia="Arial" w:hAnsi="Arial"/>
          <w:sz w:val="16"/>
          <w:szCs w:val="16"/>
          <w:color w:val="auto"/>
        </w:rPr>
      </w:pPr>
    </w:p>
    <w:p>
      <w:pPr>
        <w:ind w:left="1680" w:hanging="376"/>
        <w:spacing w:after="0"/>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for the Company Restricted Stock, Company Options, the Company Warrant and the Convertible Notes, there are no</w:t>
      </w:r>
    </w:p>
    <w:p>
      <w:pPr>
        <w:spacing w:after="0" w:line="34" w:lineRule="exact"/>
        <w:rPr>
          <w:rFonts w:ascii="Arial" w:cs="Arial" w:eastAsia="Arial" w:hAnsi="Arial"/>
          <w:sz w:val="17"/>
          <w:szCs w:val="17"/>
          <w:color w:val="auto"/>
        </w:rPr>
      </w:pPr>
    </w:p>
    <w:p>
      <w:pPr>
        <w:jc w:val="both"/>
        <w:ind w:firstLine="8"/>
        <w:spacing w:after="0" w:line="268" w:lineRule="auto"/>
        <w:tabs>
          <w:tab w:leader="none" w:pos="2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304"/>
        <w:spacing w:after="0" w:line="259" w:lineRule="auto"/>
        <w:tabs>
          <w:tab w:leader="none" w:pos="15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609"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Corporate Records</w:t>
      </w:r>
      <w:r>
        <w:rPr>
          <w:rFonts w:ascii="Arial" w:cs="Arial" w:eastAsia="Arial" w:hAnsi="Arial"/>
          <w:sz w:val="17"/>
          <w:szCs w:val="17"/>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directly or indirectly own, or hold any rights to acquire, any capital stock or any other securities or interests in any Person.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Contracts listed on </w:t>
      </w:r>
      <w:r>
        <w:rPr>
          <w:rFonts w:ascii="Arial" w:cs="Arial" w:eastAsia="Arial" w:hAnsi="Arial"/>
          <w:sz w:val="18"/>
          <w:szCs w:val="18"/>
          <w:u w:val="single" w:color="auto"/>
          <w:color w:val="auto"/>
        </w:rPr>
        <w:t>Schedule 5.8</w:t>
      </w:r>
      <w:r>
        <w:rPr>
          <w:rFonts w:ascii="Arial" w:cs="Arial" w:eastAsia="Arial" w:hAnsi="Arial"/>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8"/>
          <w:szCs w:val="18"/>
          <w:u w:val="single" w:color="auto"/>
          <w:color w:val="auto"/>
        </w:rPr>
        <w:t>Company Consent</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6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and (b) the unaudited balance sheet of the Company as of June 30, 2020 (the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and the related statements of operations and comprehensive loss, convertible preferred stock and stockholders’ equity (deficit) and cash flows for the six (6) months ended June 30, 2019 and June 30, 2020 (collectively, the “</w:t>
      </w:r>
      <w:r>
        <w:rPr>
          <w:rFonts w:ascii="Arial" w:cs="Arial" w:eastAsia="Arial" w:hAnsi="Arial"/>
          <w:sz w:val="17"/>
          <w:szCs w:val="17"/>
          <w:u w:val="single" w:color="auto"/>
          <w:color w:val="auto"/>
        </w:rPr>
        <w:t>Unaudited Financial Statements</w:t>
      </w:r>
      <w:r>
        <w:rPr>
          <w:rFonts w:ascii="Arial" w:cs="Arial" w:eastAsia="Arial" w:hAnsi="Arial"/>
          <w:sz w:val="17"/>
          <w:szCs w:val="17"/>
          <w:color w:val="auto"/>
        </w:rPr>
        <w:t>” and, together with the Annual Financial Statements, the “</w:t>
      </w:r>
      <w:r>
        <w:rPr>
          <w:rFonts w:ascii="Arial" w:cs="Arial" w:eastAsia="Arial" w:hAnsi="Arial"/>
          <w:sz w:val="17"/>
          <w:szCs w:val="17"/>
          <w:u w:val="single" w:color="auto"/>
          <w:color w:val="auto"/>
        </w:rPr>
        <w:t>Company Financial Statements</w:t>
      </w:r>
      <w:r>
        <w:rPr>
          <w:rFonts w:ascii="Arial" w:cs="Arial" w:eastAsia="Arial" w:hAnsi="Arial"/>
          <w:sz w:val="17"/>
          <w:szCs w:val="17"/>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1304"/>
        <w:spacing w:after="0" w:line="270" w:lineRule="auto"/>
        <w:tabs>
          <w:tab w:leader="none" w:pos="1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Except as: (i) specifically disclosed, reflected or fully reserved against on the Balance Sheet; (ii) liabilities and obligations incurred in the ordinary course of business since the date of the Balance Sheet; (iii) 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7"/>
          <w:szCs w:val="17"/>
          <w:u w:val="single" w:color="auto"/>
          <w:color w:val="auto"/>
        </w:rPr>
        <w:t>Schedule 5.9(b)</w:t>
      </w:r>
      <w:r>
        <w:rPr>
          <w:rFonts w:ascii="Arial" w:cs="Arial" w:eastAsia="Arial" w:hAnsi="Arial"/>
          <w:sz w:val="17"/>
          <w:szCs w:val="17"/>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Properties; Title to the Company’s Assets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6" w:lineRule="auto"/>
        <w:tabs>
          <w:tab w:leader="none" w:pos="159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16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Arial" w:cs="Arial" w:eastAsia="Arial" w:hAnsi="Arial"/>
          <w:sz w:val="17"/>
          <w:szCs w:val="17"/>
          <w:u w:val="single" w:color="auto"/>
          <w:color w:val="auto"/>
        </w:rPr>
        <w:t>Schedule 5.13(b),</w:t>
      </w:r>
      <w:r>
        <w:rPr>
          <w:rFonts w:ascii="Arial" w:cs="Arial" w:eastAsia="Arial" w:hAnsi="Arial"/>
          <w:sz w:val="17"/>
          <w:szCs w:val="17"/>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301"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62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Schedule 5.15(a)</w:t>
      </w:r>
      <w:r>
        <w:rPr>
          <w:rFonts w:ascii="Arial" w:cs="Arial" w:eastAsia="Arial" w:hAnsi="Arial"/>
          <w:sz w:val="18"/>
          <w:szCs w:val="18"/>
          <w:color w:val="auto"/>
        </w:rPr>
        <w:t xml:space="preserve"> lists all of the following Contracts (collectively, such Contracts that are listed or should be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5.15(a)</w:t>
      </w:r>
      <w:r>
        <w:rPr>
          <w:rFonts w:ascii="Arial" w:cs="Arial" w:eastAsia="Arial" w:hAnsi="Arial"/>
          <w:sz w:val="18"/>
          <w:szCs w:val="18"/>
          <w:color w:val="auto"/>
        </w:rPr>
        <w:t>,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to which, as of the date of this Agreement, the Company is a party or by which any of its assets is bound and which are currently in effect:</w:t>
      </w:r>
    </w:p>
    <w:p>
      <w:pPr>
        <w:spacing w:after="0" w:line="183" w:lineRule="exact"/>
        <w:rPr>
          <w:rFonts w:ascii="Arial" w:cs="Arial" w:eastAsia="Arial" w:hAnsi="Arial"/>
          <w:sz w:val="18"/>
          <w:szCs w:val="18"/>
          <w:color w:val="auto"/>
        </w:rPr>
      </w:pPr>
    </w:p>
    <w:p>
      <w:pPr>
        <w:ind w:left="660" w:firstLine="1292"/>
        <w:spacing w:after="0" w:line="342" w:lineRule="auto"/>
        <w:tabs>
          <w:tab w:leader="none" w:pos="225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23" w:lineRule="exact"/>
        <w:rPr>
          <w:rFonts w:ascii="Arial" w:cs="Arial" w:eastAsia="Arial" w:hAnsi="Arial"/>
          <w:sz w:val="16"/>
          <w:szCs w:val="16"/>
          <w:color w:val="auto"/>
        </w:rPr>
      </w:pPr>
    </w:p>
    <w:p>
      <w:pPr>
        <w:ind w:left="660" w:right="20" w:firstLine="1292"/>
        <w:spacing w:after="0" w:line="277" w:lineRule="auto"/>
        <w:tabs>
          <w:tab w:leader="none" w:pos="23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170" w:lineRule="exact"/>
        <w:rPr>
          <w:rFonts w:ascii="Arial" w:cs="Arial" w:eastAsia="Arial" w:hAnsi="Arial"/>
          <w:sz w:val="18"/>
          <w:szCs w:val="18"/>
          <w:color w:val="auto"/>
        </w:rPr>
      </w:pPr>
    </w:p>
    <w:p>
      <w:pPr>
        <w:jc w:val="both"/>
        <w:ind w:left="660" w:firstLine="1292"/>
        <w:spacing w:after="0" w:line="255" w:lineRule="auto"/>
        <w:tabs>
          <w:tab w:leader="none" w:pos="232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92" w:lineRule="exact"/>
        <w:rPr>
          <w:rFonts w:ascii="Arial" w:cs="Arial" w:eastAsia="Arial" w:hAnsi="Arial"/>
          <w:sz w:val="18"/>
          <w:szCs w:val="18"/>
          <w:color w:val="auto"/>
        </w:rPr>
      </w:pPr>
    </w:p>
    <w:p>
      <w:pPr>
        <w:ind w:left="2320" w:hanging="368"/>
        <w:spacing w:after="0"/>
        <w:tabs>
          <w:tab w:leader="none" w:pos="2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Contracts creating a joint venture, strategic alliance, limited liability company or partnership arrangement to which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is a party;</w:t>
      </w:r>
    </w:p>
    <w:p>
      <w:pPr>
        <w:spacing w:after="0" w:line="210" w:lineRule="exact"/>
        <w:rPr>
          <w:rFonts w:ascii="Arial" w:cs="Arial" w:eastAsia="Arial" w:hAnsi="Arial"/>
          <w:sz w:val="16"/>
          <w:szCs w:val="16"/>
          <w:color w:val="auto"/>
        </w:rPr>
      </w:pPr>
    </w:p>
    <w:p>
      <w:pPr>
        <w:ind w:left="660" w:firstLine="1292"/>
        <w:spacing w:after="0" w:line="277" w:lineRule="auto"/>
        <w:tabs>
          <w:tab w:leader="none" w:pos="2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170" w:lineRule="exact"/>
        <w:rPr>
          <w:rFonts w:ascii="Arial" w:cs="Arial" w:eastAsia="Arial" w:hAnsi="Arial"/>
          <w:sz w:val="18"/>
          <w:szCs w:val="18"/>
          <w:color w:val="auto"/>
        </w:rPr>
      </w:pPr>
    </w:p>
    <w:p>
      <w:pPr>
        <w:jc w:val="both"/>
        <w:ind w:left="660" w:firstLine="1292"/>
        <w:spacing w:after="0" w:line="273" w:lineRule="auto"/>
        <w:tabs>
          <w:tab w:leader="none" w:pos="233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 for generally commercially available software (including open source software) or hosted services, (B) customer or channel partner Contracts substantially on Company’s standard forms, (C) Contracts with the Company’s employees or contractors substantially on Company’s standard forms, and (D) non-disclosure agreements (the “</w:t>
      </w:r>
      <w:r>
        <w:rPr>
          <w:rFonts w:ascii="Arial" w:cs="Arial" w:eastAsia="Arial" w:hAnsi="Arial"/>
          <w:sz w:val="17"/>
          <w:szCs w:val="17"/>
          <w:u w:val="single" w:color="auto"/>
          <w:color w:val="auto"/>
        </w:rPr>
        <w:t>Standard Contracts</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(vii) all Contracts limiting the freedom of the Company to compete in any line of business or industry, with any Person or in 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geographic area;</w:t>
      </w:r>
    </w:p>
    <w:p>
      <w:pPr>
        <w:spacing w:after="0" w:line="211" w:lineRule="exact"/>
        <w:rPr>
          <w:sz w:val="20"/>
          <w:szCs w:val="20"/>
          <w:color w:val="auto"/>
        </w:rPr>
      </w:pPr>
    </w:p>
    <w:p>
      <w:pPr>
        <w:jc w:val="both"/>
        <w:ind w:left="660" w:firstLine="1292"/>
        <w:spacing w:after="0" w:line="263" w:lineRule="auto"/>
        <w:tabs>
          <w:tab w:leader="none" w:pos="2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3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83" w:lineRule="exact"/>
        <w:rPr>
          <w:rFonts w:ascii="Arial" w:cs="Arial" w:eastAsia="Arial" w:hAnsi="Arial"/>
          <w:sz w:val="18"/>
          <w:szCs w:val="18"/>
          <w:color w:val="auto"/>
        </w:rPr>
      </w:pPr>
    </w:p>
    <w:p>
      <w:pPr>
        <w:ind w:left="660" w:firstLine="1292"/>
        <w:spacing w:after="0" w:line="277" w:lineRule="auto"/>
        <w:tabs>
          <w:tab w:leader="none" w:pos="226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with or pertaining to the Company to which any Affiliate of the Company is a party, other than any Contracts relating to such Affiliate’s status as a Company Securityholder;</w:t>
      </w:r>
    </w:p>
    <w:p>
      <w:pPr>
        <w:spacing w:after="0" w:line="170" w:lineRule="exact"/>
        <w:rPr>
          <w:rFonts w:ascii="Arial" w:cs="Arial" w:eastAsia="Arial" w:hAnsi="Arial"/>
          <w:sz w:val="18"/>
          <w:szCs w:val="18"/>
          <w:color w:val="auto"/>
        </w:rPr>
      </w:pPr>
    </w:p>
    <w:p>
      <w:pPr>
        <w:ind w:left="660" w:firstLine="1292"/>
        <w:spacing w:after="0" w:line="308" w:lineRule="auto"/>
        <w:tabs>
          <w:tab w:leader="none" w:pos="2319"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146" w:lineRule="exact"/>
        <w:rPr>
          <w:rFonts w:ascii="Arial" w:cs="Arial" w:eastAsia="Arial" w:hAnsi="Arial"/>
          <w:sz w:val="17"/>
          <w:szCs w:val="17"/>
          <w:color w:val="auto"/>
        </w:rPr>
      </w:pPr>
    </w:p>
    <w:p>
      <w:pPr>
        <w:ind w:left="2360" w:hanging="408"/>
        <w:spacing w:after="0"/>
        <w:tabs>
          <w:tab w:leader="none" w:pos="23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Contracts creating or otherwise relating to outstanding Indebtedness (other than intercompany Indebtedness);</w:t>
      </w:r>
    </w:p>
    <w:p>
      <w:pPr>
        <w:spacing w:after="0" w:line="236" w:lineRule="exact"/>
        <w:rPr>
          <w:rFonts w:ascii="Arial" w:cs="Arial" w:eastAsia="Arial" w:hAnsi="Arial"/>
          <w:sz w:val="17"/>
          <w:szCs w:val="17"/>
          <w:color w:val="auto"/>
        </w:rPr>
      </w:pPr>
    </w:p>
    <w:p>
      <w:pPr>
        <w:ind w:left="660" w:firstLine="1292"/>
        <w:spacing w:after="0" w:line="277" w:lineRule="auto"/>
        <w:tabs>
          <w:tab w:leader="none" w:pos="24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relating to the voting or control of the equity interests of the Company or the election of directors of the Company (other than the organizational documents of the Company);</w:t>
      </w:r>
    </w:p>
    <w:p>
      <w:pPr>
        <w:spacing w:after="0" w:line="170" w:lineRule="exact"/>
        <w:rPr>
          <w:rFonts w:ascii="Arial" w:cs="Arial" w:eastAsia="Arial" w:hAnsi="Arial"/>
          <w:sz w:val="18"/>
          <w:szCs w:val="18"/>
          <w:color w:val="auto"/>
        </w:rPr>
      </w:pPr>
    </w:p>
    <w:p>
      <w:pPr>
        <w:ind w:left="660" w:firstLine="1292"/>
        <w:spacing w:after="0" w:line="277" w:lineRule="auto"/>
        <w:tabs>
          <w:tab w:leader="none" w:pos="240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170" w:lineRule="exact"/>
        <w:rPr>
          <w:rFonts w:ascii="Arial" w:cs="Arial" w:eastAsia="Arial" w:hAnsi="Arial"/>
          <w:sz w:val="18"/>
          <w:szCs w:val="18"/>
          <w:color w:val="auto"/>
        </w:rPr>
      </w:pPr>
    </w:p>
    <w:p>
      <w:pPr>
        <w:ind w:left="660" w:firstLine="1292"/>
        <w:spacing w:after="0" w:line="277" w:lineRule="auto"/>
        <w:tabs>
          <w:tab w:leader="none" w:pos="23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4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83" w:lineRule="exact"/>
        <w:rPr>
          <w:rFonts w:ascii="Arial" w:cs="Arial" w:eastAsia="Arial" w:hAnsi="Arial"/>
          <w:sz w:val="18"/>
          <w:szCs w:val="18"/>
          <w:color w:val="auto"/>
        </w:rPr>
      </w:pPr>
    </w:p>
    <w:p>
      <w:pPr>
        <w:ind w:left="2440" w:hanging="488"/>
        <w:spacing w:after="0"/>
        <w:tabs>
          <w:tab w:leader="none" w:pos="2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collective bargaining or other agreements with a labor union or labor organization; and</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that address the provisions for business associate contracts required by HIPAA.</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Material Contract is (i) a valid and binding agreement, (ii) in full force and effect and (iii) 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firstLine="1304"/>
        <w:spacing w:after="0" w:line="277" w:lineRule="auto"/>
        <w:tabs>
          <w:tab w:leader="none" w:pos="16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in compliance with all covenants, including all financial covenants, in all notes, indentures, bonds and other instruments or Contracts establishing or evidencing any Indebtedness.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Arial" w:cs="Arial" w:eastAsia="Arial" w:hAnsi="Arial"/>
          <w:sz w:val="17"/>
          <w:szCs w:val="17"/>
          <w:u w:val="single" w:color="auto"/>
          <w:color w:val="auto"/>
        </w:rPr>
        <w:t>Permits</w:t>
      </w:r>
      <w:r>
        <w:rPr>
          <w:rFonts w:ascii="Arial" w:cs="Arial" w:eastAsia="Arial" w:hAnsi="Arial"/>
          <w:sz w:val="17"/>
          <w:szCs w:val="17"/>
          <w:color w:val="auto"/>
        </w:rPr>
        <w:t>”). Such Permits are valid and in full force and effect, and none of the Permits will, assuming the related Company Consent has been obtained or waived 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7" w:lineRule="auto"/>
        <w:tabs>
          <w:tab w:leader="none" w:pos="1626"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w:t>
      </w:r>
    </w:p>
    <w:p>
      <w:pPr>
        <w:spacing w:after="0" w:line="2" w:lineRule="exact"/>
        <w:rPr>
          <w:rFonts w:ascii="Arial" w:cs="Arial" w:eastAsia="Arial" w:hAnsi="Arial"/>
          <w:sz w:val="16"/>
          <w:szCs w:val="16"/>
          <w:color w:val="auto"/>
        </w:rPr>
      </w:pPr>
    </w:p>
    <w:p>
      <w:pPr>
        <w:jc w:val="both"/>
        <w:ind w:firstLine="8"/>
        <w:spacing w:after="0" w:line="269" w:lineRule="auto"/>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years has been, in material compliance with: (i) every Law applicable to the Company due to the specific nature of the Business, including Data Protection Laws and Laws applicable to lending activities; (ii) the Foreign Corrupt Practices Act of 1977 (the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16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4" w:lineRule="auto"/>
        <w:tabs>
          <w:tab w:leader="none" w:pos="161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w:t>
      </w:r>
    </w:p>
    <w:p>
      <w:pPr>
        <w:spacing w:after="0" w:line="4" w:lineRule="exact"/>
        <w:rPr>
          <w:rFonts w:ascii="Arial" w:cs="Arial" w:eastAsia="Arial" w:hAnsi="Arial"/>
          <w:sz w:val="16"/>
          <w:szCs w:val="16"/>
          <w:color w:val="auto"/>
        </w:rPr>
      </w:pPr>
    </w:p>
    <w:p>
      <w:pPr>
        <w:jc w:val="both"/>
        <w:ind w:firstLine="8"/>
        <w:spacing w:after="0" w:line="268" w:lineRule="auto"/>
        <w:tabs>
          <w:tab w:leader="none" w:pos="2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years, the Company has not abandoned any patents or non-provisional patent applications. The Company owns, has valid and enforceable licenses for or otherwise has adequate rights to use Intellectual Property Rights as set forth on </w:t>
      </w:r>
      <w:r>
        <w:rPr>
          <w:rFonts w:ascii="Arial" w:cs="Arial" w:eastAsia="Arial" w:hAnsi="Arial"/>
          <w:sz w:val="17"/>
          <w:szCs w:val="17"/>
          <w:u w:val="single" w:color="auto"/>
          <w:color w:val="auto"/>
        </w:rPr>
        <w:t>Schedule 5.18(a)</w:t>
      </w:r>
      <w:r>
        <w:rPr>
          <w:rFonts w:ascii="Arial" w:cs="Arial" w:eastAsia="Arial" w:hAnsi="Arial"/>
          <w:sz w:val="17"/>
          <w:szCs w:val="17"/>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Arial" w:cs="Arial" w:eastAsia="Arial" w:hAnsi="Arial"/>
          <w:sz w:val="17"/>
          <w:szCs w:val="17"/>
          <w:u w:val="single" w:color="auto"/>
          <w:color w:val="auto"/>
        </w:rPr>
        <w:t>Schedule 5.18(a)</w:t>
      </w:r>
      <w:r>
        <w:rPr>
          <w:rFonts w:ascii="Arial" w:cs="Arial" w:eastAsia="Arial" w:hAnsi="Arial"/>
          <w:sz w:val="17"/>
          <w:szCs w:val="17"/>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6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as being owned by the Company (other than any co-owners disclosed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The Company has a valid right to use the Intellectual Property Rights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that are used (but 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92" w:lineRule="exact"/>
        <w:rPr>
          <w:rFonts w:ascii="Arial" w:cs="Arial" w:eastAsia="Arial" w:hAnsi="Arial"/>
          <w:sz w:val="18"/>
          <w:szCs w:val="18"/>
          <w:color w:val="auto"/>
        </w:rPr>
      </w:pPr>
    </w:p>
    <w:p>
      <w:pPr>
        <w:jc w:val="both"/>
        <w:ind w:firstLine="1304"/>
        <w:spacing w:after="0" w:line="289" w:lineRule="auto"/>
        <w:tabs>
          <w:tab w:leader="none" w:pos="1612"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To the Knowledge of the Company, all registered Intellectual Property Rights listed on </w:t>
      </w: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Arial" w:cs="Arial" w:eastAsia="Arial" w:hAnsi="Arial"/>
          <w:sz w:val="16"/>
          <w:szCs w:val="16"/>
          <w:u w:val="single" w:color="auto"/>
          <w:color w:val="auto"/>
        </w:rPr>
        <w:t>Schedule 5.18(a)</w:t>
      </w:r>
      <w:r>
        <w:rPr>
          <w:rFonts w:ascii="Arial" w:cs="Arial" w:eastAsia="Arial" w:hAnsi="Arial"/>
          <w:sz w:val="16"/>
          <w:szCs w:val="16"/>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304"/>
        <w:spacing w:after="0" w:line="286" w:lineRule="auto"/>
        <w:tabs>
          <w:tab w:leader="none" w:pos="1636"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5.18(d)</w:t>
      </w:r>
      <w:r>
        <w:rPr>
          <w:rFonts w:ascii="Arial" w:cs="Arial" w:eastAsia="Arial" w:hAnsi="Arial"/>
          <w:sz w:val="16"/>
          <w:szCs w:val="16"/>
          <w:color w:val="auto"/>
        </w:rPr>
        <w:t>,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w:t>
      </w:r>
    </w:p>
    <w:p>
      <w:pPr>
        <w:spacing w:after="0" w:line="1" w:lineRule="exact"/>
        <w:rPr>
          <w:rFonts w:ascii="Arial" w:cs="Arial" w:eastAsia="Arial" w:hAnsi="Arial"/>
          <w:sz w:val="16"/>
          <w:szCs w:val="16"/>
          <w:color w:val="auto"/>
        </w:rPr>
      </w:pPr>
    </w:p>
    <w:p>
      <w:pPr>
        <w:jc w:val="both"/>
        <w:ind w:firstLine="8"/>
        <w:spacing w:after="0" w:line="251" w:lineRule="auto"/>
        <w:tabs>
          <w:tab w:leader="none" w:pos="3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Arial" w:cs="Arial" w:eastAsia="Arial" w:hAnsi="Arial"/>
          <w:sz w:val="18"/>
          <w:szCs w:val="18"/>
          <w:u w:val="single" w:color="auto"/>
          <w:color w:val="auto"/>
        </w:rPr>
        <w:t>Schedule 5.18(a)</w:t>
      </w:r>
      <w:r>
        <w:rPr>
          <w:rFonts w:ascii="Arial" w:cs="Arial" w:eastAsia="Arial" w:hAnsi="Arial"/>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97" w:lineRule="exact"/>
        <w:rPr>
          <w:rFonts w:ascii="Arial" w:cs="Arial" w:eastAsia="Arial" w:hAnsi="Arial"/>
          <w:sz w:val="18"/>
          <w:szCs w:val="18"/>
          <w:color w:val="auto"/>
        </w:rPr>
      </w:pPr>
    </w:p>
    <w:p>
      <w:pPr>
        <w:jc w:val="both"/>
        <w:ind w:firstLine="1304"/>
        <w:spacing w:after="0" w:line="286" w:lineRule="auto"/>
        <w:tabs>
          <w:tab w:leader="none" w:pos="163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65" w:lineRule="exact"/>
        <w:rPr>
          <w:rFonts w:ascii="Arial" w:cs="Arial" w:eastAsia="Arial" w:hAnsi="Arial"/>
          <w:sz w:val="17"/>
          <w:szCs w:val="17"/>
          <w:color w:val="auto"/>
        </w:rPr>
      </w:pPr>
    </w:p>
    <w:p>
      <w:pPr>
        <w:jc w:val="both"/>
        <w:ind w:firstLine="1304"/>
        <w:spacing w:after="0" w:line="291" w:lineRule="auto"/>
        <w:tabs>
          <w:tab w:leader="none" w:pos="1566"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66" w:lineRule="exact"/>
        <w:rPr>
          <w:rFonts w:ascii="Arial" w:cs="Arial" w:eastAsia="Arial" w:hAnsi="Arial"/>
          <w:sz w:val="16"/>
          <w:szCs w:val="16"/>
          <w:color w:val="auto"/>
        </w:rPr>
      </w:pPr>
    </w:p>
    <w:p>
      <w:pPr>
        <w:jc w:val="both"/>
        <w:ind w:firstLine="1304"/>
        <w:spacing w:after="0" w:line="255" w:lineRule="auto"/>
        <w:tabs>
          <w:tab w:leader="none" w:pos="15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5.18(g</w:t>
      </w:r>
      <w:r>
        <w:rPr>
          <w:rFonts w:ascii="Arial" w:cs="Arial" w:eastAsia="Arial" w:hAnsi="Arial"/>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Arial" w:cs="Arial" w:eastAsia="Arial" w:hAnsi="Arial"/>
          <w:sz w:val="18"/>
          <w:szCs w:val="18"/>
          <w:u w:val="single" w:color="auto"/>
          <w:color w:val="auto"/>
        </w:rPr>
        <w:t>Section 5.18(g)</w:t>
      </w:r>
      <w:r>
        <w:rPr>
          <w:rFonts w:ascii="Arial" w:cs="Arial" w:eastAsia="Arial" w:hAnsi="Arial"/>
          <w:sz w:val="18"/>
          <w:szCs w:val="18"/>
          <w:color w:val="auto"/>
        </w:rPr>
        <w:t>, has licensed to the Company rights to use such Intellectual Property Rights</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6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83"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556"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1304"/>
        <w:spacing w:after="0" w:line="308" w:lineRule="auto"/>
        <w:tabs>
          <w:tab w:leader="none" w:pos="16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Except with respect to the agreements listed on </w:t>
      </w:r>
      <w:r>
        <w:rPr>
          <w:rFonts w:ascii="Arial" w:cs="Arial" w:eastAsia="Arial" w:hAnsi="Arial"/>
          <w:sz w:val="17"/>
          <w:szCs w:val="17"/>
          <w:u w:val="single" w:color="auto"/>
          <w:color w:val="auto"/>
        </w:rPr>
        <w:t>Schedule 5.15(a)(vi)</w:t>
      </w:r>
      <w:r>
        <w:rPr>
          <w:rFonts w:ascii="Arial" w:cs="Arial" w:eastAsia="Arial" w:hAnsi="Arial"/>
          <w:sz w:val="17"/>
          <w:szCs w:val="17"/>
          <w:color w:val="auto"/>
        </w:rPr>
        <w:t>, the Company is not obligated under any Contract to make any payments by way of royalties, fees, or otherwise to any owner or licensor of, or other claimant to, any Intellectual Property Rights.</w:t>
      </w:r>
    </w:p>
    <w:p>
      <w:pPr>
        <w:spacing w:after="0" w:line="146" w:lineRule="exact"/>
        <w:rPr>
          <w:rFonts w:ascii="Arial" w:cs="Arial" w:eastAsia="Arial" w:hAnsi="Arial"/>
          <w:sz w:val="17"/>
          <w:szCs w:val="17"/>
          <w:color w:val="auto"/>
        </w:rPr>
      </w:pPr>
    </w:p>
    <w:p>
      <w:pPr>
        <w:jc w:val="both"/>
        <w:ind w:firstLine="1304"/>
        <w:spacing w:after="0" w:line="287" w:lineRule="auto"/>
        <w:tabs>
          <w:tab w:leader="none" w:pos="15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FDA</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1" w:lineRule="auto"/>
        <w:tabs>
          <w:tab w:leader="none" w:pos="15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is, and has been since January 1, 2018, in compliance in all material respects with all applicable healthcare Laws, including (i) the Federal Food, Drug and Cosmetic Act (“</w:t>
      </w:r>
      <w:r>
        <w:rPr>
          <w:rFonts w:ascii="Arial" w:cs="Arial" w:eastAsia="Arial" w:hAnsi="Arial"/>
          <w:sz w:val="17"/>
          <w:szCs w:val="17"/>
          <w:u w:val="single" w:color="auto"/>
          <w:color w:val="auto"/>
        </w:rPr>
        <w:t>FDCA</w:t>
      </w:r>
      <w:r>
        <w:rPr>
          <w:rFonts w:ascii="Arial" w:cs="Arial" w:eastAsia="Arial" w:hAnsi="Arial"/>
          <w:sz w:val="17"/>
          <w:szCs w:val="17"/>
          <w:color w:val="auto"/>
        </w:rPr>
        <w:t>”); (ii) the Public Health Service Act (“</w:t>
      </w:r>
      <w:r>
        <w:rPr>
          <w:rFonts w:ascii="Arial" w:cs="Arial" w:eastAsia="Arial" w:hAnsi="Arial"/>
          <w:sz w:val="17"/>
          <w:szCs w:val="17"/>
          <w:u w:val="single" w:color="auto"/>
          <w:color w:val="auto"/>
        </w:rPr>
        <w:t>PHSA</w:t>
      </w:r>
      <w:r>
        <w:rPr>
          <w:rFonts w:ascii="Arial" w:cs="Arial" w:eastAsia="Arial" w:hAnsi="Arial"/>
          <w:sz w:val="17"/>
          <w:szCs w:val="17"/>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Arial" w:cs="Arial" w:eastAsia="Arial" w:hAnsi="Arial"/>
          <w:sz w:val="17"/>
          <w:szCs w:val="17"/>
          <w:u w:val="single" w:color="auto"/>
          <w:color w:val="auto"/>
        </w:rPr>
        <w:t>Healthcare Laws</w:t>
      </w:r>
      <w:r>
        <w:rPr>
          <w:rFonts w:ascii="Arial" w:cs="Arial" w:eastAsia="Arial" w:hAnsi="Arial"/>
          <w:sz w:val="17"/>
          <w:szCs w:val="17"/>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78" w:lineRule="exact"/>
        <w:rPr>
          <w:rFonts w:ascii="Arial" w:cs="Arial" w:eastAsia="Arial" w:hAnsi="Arial"/>
          <w:sz w:val="17"/>
          <w:szCs w:val="17"/>
          <w:color w:val="auto"/>
        </w:rPr>
      </w:pPr>
    </w:p>
    <w:p>
      <w:pPr>
        <w:jc w:val="both"/>
        <w:ind w:firstLine="1304"/>
        <w:spacing w:after="0" w:line="273" w:lineRule="auto"/>
        <w:tabs>
          <w:tab w:leader="none" w:pos="157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 HIPAA.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304"/>
        <w:spacing w:after="0" w:line="267" w:lineRule="auto"/>
        <w:tabs>
          <w:tab w:leader="none" w:pos="154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 (i) 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91" w:lineRule="exact"/>
        <w:rPr>
          <w:rFonts w:ascii="Arial" w:cs="Arial" w:eastAsia="Arial" w:hAnsi="Arial"/>
          <w:sz w:val="17"/>
          <w:szCs w:val="17"/>
          <w:color w:val="auto"/>
        </w:rPr>
      </w:pPr>
    </w:p>
    <w:p>
      <w:pPr>
        <w:jc w:val="both"/>
        <w:ind w:firstLine="1304"/>
        <w:spacing w:after="0" w:line="263" w:lineRule="auto"/>
        <w:tabs>
          <w:tab w:leader="none" w:pos="15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183" w:lineRule="exact"/>
        <w:rPr>
          <w:rFonts w:ascii="Arial" w:cs="Arial" w:eastAsia="Arial" w:hAnsi="Arial"/>
          <w:sz w:val="18"/>
          <w:szCs w:val="18"/>
          <w:color w:val="auto"/>
        </w:rPr>
      </w:pPr>
    </w:p>
    <w:p>
      <w:pPr>
        <w:jc w:val="both"/>
        <w:ind w:firstLine="1304"/>
        <w:spacing w:after="0" w:line="272" w:lineRule="auto"/>
        <w:tabs>
          <w:tab w:leader="none" w:pos="15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the Company’s Knowledge, no product manufactured or distributed by the Company is (i) 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Accounts Payable; Affiliate Loans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6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304"/>
        <w:spacing w:after="0" w:line="263" w:lineRule="auto"/>
        <w:tabs>
          <w:tab w:leader="none" w:pos="15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information set forth on </w:t>
      </w:r>
      <w:r>
        <w:rPr>
          <w:rFonts w:ascii="Arial" w:cs="Arial" w:eastAsia="Arial" w:hAnsi="Arial"/>
          <w:sz w:val="18"/>
          <w:szCs w:val="18"/>
          <w:u w:val="single" w:color="auto"/>
          <w:color w:val="auto"/>
        </w:rPr>
        <w:t>Schedule 5.20(b)</w:t>
      </w:r>
      <w:r>
        <w:rPr>
          <w:rFonts w:ascii="Arial" w:cs="Arial" w:eastAsia="Arial" w:hAnsi="Arial"/>
          <w:sz w:val="18"/>
          <w:szCs w:val="18"/>
          <w:color w:val="auto"/>
        </w:rPr>
        <w:t xml:space="preserve"> separately identifies any and all accounts, receivables or notes of the Company which are owed by any Affiliate of the Company. Except as set forth on </w:t>
      </w:r>
      <w:r>
        <w:rPr>
          <w:rFonts w:ascii="Arial" w:cs="Arial" w:eastAsia="Arial" w:hAnsi="Arial"/>
          <w:sz w:val="18"/>
          <w:szCs w:val="18"/>
          <w:u w:val="single" w:color="auto"/>
          <w:color w:val="auto"/>
        </w:rPr>
        <w:t>Schedule 5.20(b)</w:t>
      </w:r>
      <w:r>
        <w:rPr>
          <w:rFonts w:ascii="Arial" w:cs="Arial" w:eastAsia="Arial" w:hAnsi="Arial"/>
          <w:sz w:val="18"/>
          <w:szCs w:val="18"/>
          <w:color w:val="auto"/>
        </w:rPr>
        <w:t>, the Company is not indebted to any of its Affiliates and no Affiliates are indebted to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Employees; Employment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61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Schedule 5.21(a)</w:t>
      </w:r>
      <w:r>
        <w:rPr>
          <w:rFonts w:ascii="Arial" w:cs="Arial" w:eastAsia="Arial" w:hAnsi="Arial"/>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6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5.21(b</w:t>
      </w:r>
      <w:r>
        <w:rPr>
          <w:rFonts w:ascii="Arial" w:cs="Arial" w:eastAsia="Arial" w:hAnsi="Arial"/>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6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5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83" w:lineRule="exact"/>
        <w:rPr>
          <w:rFonts w:ascii="Arial" w:cs="Arial" w:eastAsia="Arial" w:hAnsi="Arial"/>
          <w:sz w:val="18"/>
          <w:szCs w:val="18"/>
          <w:color w:val="auto"/>
        </w:rPr>
      </w:pPr>
    </w:p>
    <w:p>
      <w:pPr>
        <w:ind w:right="20" w:firstLine="1304"/>
        <w:spacing w:after="0" w:line="308" w:lineRule="auto"/>
        <w:tabs>
          <w:tab w:leader="none" w:pos="15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46" w:lineRule="exact"/>
        <w:rPr>
          <w:rFonts w:ascii="Arial" w:cs="Arial" w:eastAsia="Arial" w:hAnsi="Arial"/>
          <w:sz w:val="17"/>
          <w:szCs w:val="17"/>
          <w:color w:val="auto"/>
        </w:rPr>
      </w:pPr>
    </w:p>
    <w:p>
      <w:pPr>
        <w:ind w:right="20" w:firstLine="1304"/>
        <w:spacing w:after="0" w:line="277" w:lineRule="auto"/>
        <w:tabs>
          <w:tab w:leader="none" w:pos="15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5.21(g)</w:t>
      </w:r>
      <w:r>
        <w:rPr>
          <w:rFonts w:ascii="Arial" w:cs="Arial" w:eastAsia="Arial" w:hAnsi="Arial"/>
          <w:sz w:val="18"/>
          <w:szCs w:val="18"/>
          <w:color w:val="auto"/>
        </w:rPr>
        <w:t>, the Company has not paid or promised to pay any bonus to any employee in connection with the consummation of the transactions contemplated hereby.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71"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5.22,</w:t>
      </w:r>
      <w:r>
        <w:rPr>
          <w:rFonts w:ascii="Arial" w:cs="Arial" w:eastAsia="Arial" w:hAnsi="Arial"/>
          <w:sz w:val="17"/>
          <w:szCs w:val="17"/>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Arial" w:cs="Arial" w:eastAsia="Arial" w:hAnsi="Arial"/>
          <w:sz w:val="17"/>
          <w:szCs w:val="17"/>
          <w:u w:val="single" w:color="auto"/>
          <w:color w:val="auto"/>
        </w:rPr>
        <w:t>Schedule 5.22</w:t>
      </w:r>
      <w:r>
        <w:rPr>
          <w:rFonts w:ascii="Arial" w:cs="Arial" w:eastAsia="Arial" w:hAnsi="Arial"/>
          <w:sz w:val="17"/>
          <w:szCs w:val="17"/>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3" w:lineRule="auto"/>
        <w:tabs>
          <w:tab w:leader="none" w:pos="161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5.23(a)</w:t>
      </w:r>
      <w:r>
        <w:rPr>
          <w:rFonts w:ascii="Arial" w:cs="Arial" w:eastAsia="Arial" w:hAnsi="Arial"/>
          <w:sz w:val="16"/>
          <w:szCs w:val="16"/>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64" w:lineRule="exact"/>
        <w:rPr>
          <w:rFonts w:ascii="Arial" w:cs="Arial" w:eastAsia="Arial" w:hAnsi="Arial"/>
          <w:sz w:val="16"/>
          <w:szCs w:val="16"/>
          <w:color w:val="auto"/>
        </w:rPr>
      </w:pPr>
    </w:p>
    <w:p>
      <w:pPr>
        <w:jc w:val="both"/>
        <w:ind w:firstLine="1304"/>
        <w:spacing w:after="0" w:line="257" w:lineRule="auto"/>
        <w:tabs>
          <w:tab w:leader="none" w:pos="1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Plan is (i) subject to Title IV or Section 302 of ERISA or Section 412 or 4971 of the Code, (ii) 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87" w:lineRule="exact"/>
        <w:rPr>
          <w:rFonts w:ascii="Arial" w:cs="Arial" w:eastAsia="Arial" w:hAnsi="Arial"/>
          <w:sz w:val="18"/>
          <w:szCs w:val="18"/>
          <w:color w:val="auto"/>
        </w:rPr>
      </w:pPr>
    </w:p>
    <w:p>
      <w:pPr>
        <w:jc w:val="both"/>
        <w:ind w:firstLine="1304"/>
        <w:spacing w:after="0" w:line="255" w:lineRule="auto"/>
        <w:tabs>
          <w:tab w:leader="none" w:pos="16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1304"/>
        <w:spacing w:after="0" w:line="277" w:lineRule="auto"/>
        <w:tabs>
          <w:tab w:leader="none" w:pos="15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Plans provide retiree health or life insurance benefits, except as may be required by Section 4980B of the Code, Section 601 of ERISA or any other applicable Law.</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 (iii) 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83" w:lineRule="exact"/>
        <w:rPr>
          <w:rFonts w:ascii="Arial" w:cs="Arial" w:eastAsia="Arial" w:hAnsi="Arial"/>
          <w:sz w:val="18"/>
          <w:szCs w:val="18"/>
          <w:color w:val="auto"/>
        </w:rPr>
      </w:pPr>
    </w:p>
    <w:p>
      <w:pPr>
        <w:ind w:firstLine="1304"/>
        <w:spacing w:after="0" w:line="308" w:lineRule="auto"/>
        <w:tabs>
          <w:tab w:leader="none" w:pos="1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8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5.24</w:t>
      </w:r>
      <w:r>
        <w:rPr>
          <w:rFonts w:ascii="Arial" w:cs="Arial" w:eastAsia="Arial" w:hAnsi="Arial"/>
          <w:sz w:val="17"/>
          <w:szCs w:val="17"/>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Arial" w:cs="Arial" w:eastAsia="Arial" w:hAnsi="Arial"/>
          <w:sz w:val="17"/>
          <w:szCs w:val="17"/>
          <w:u w:val="single" w:color="auto"/>
          <w:color w:val="auto"/>
        </w:rPr>
        <w:t>Schedule 5.24</w:t>
      </w:r>
      <w:r>
        <w:rPr>
          <w:rFonts w:ascii="Arial" w:cs="Arial" w:eastAsia="Arial" w:hAnsi="Arial"/>
          <w:sz w:val="17"/>
          <w:szCs w:val="17"/>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76" w:lineRule="exact"/>
        <w:rPr>
          <w:rFonts w:ascii="Arial" w:cs="Arial" w:eastAsia="Arial" w:hAnsi="Arial"/>
          <w:sz w:val="17"/>
          <w:szCs w:val="17"/>
          <w:color w:val="auto"/>
        </w:rPr>
      </w:pPr>
    </w:p>
    <w:p>
      <w:pPr>
        <w:jc w:val="both"/>
        <w:ind w:firstLine="1304"/>
        <w:spacing w:after="0" w:line="287" w:lineRule="auto"/>
        <w:tabs>
          <w:tab w:leader="none" w:pos="1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5.25</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4" w:lineRule="auto"/>
        <w:tabs>
          <w:tab w:leader="none" w:pos="16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71" w:lineRule="exact"/>
        <w:rPr>
          <w:rFonts w:ascii="Arial" w:cs="Arial" w:eastAsia="Arial" w:hAnsi="Arial"/>
          <w:sz w:val="16"/>
          <w:szCs w:val="16"/>
          <w:color w:val="auto"/>
        </w:rPr>
      </w:pPr>
    </w:p>
    <w:p>
      <w:pPr>
        <w:jc w:val="both"/>
        <w:ind w:firstLine="1304"/>
        <w:spacing w:after="0" w:line="269" w:lineRule="auto"/>
        <w:tabs>
          <w:tab w:leader="none" w:pos="1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304"/>
        <w:spacing w:after="0" w:line="259" w:lineRule="auto"/>
        <w:tabs>
          <w:tab w:leader="none" w:pos="15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86" w:lineRule="exact"/>
        <w:rPr>
          <w:rFonts w:ascii="Arial" w:cs="Arial" w:eastAsia="Arial" w:hAnsi="Arial"/>
          <w:sz w:val="18"/>
          <w:szCs w:val="18"/>
          <w:color w:val="auto"/>
        </w:rPr>
      </w:pPr>
    </w:p>
    <w:p>
      <w:pPr>
        <w:ind w:firstLine="1304"/>
        <w:spacing w:after="0" w:line="308" w:lineRule="auto"/>
        <w:tabs>
          <w:tab w:leader="none" w:pos="16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5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83" w:lineRule="exact"/>
        <w:rPr>
          <w:rFonts w:ascii="Arial" w:cs="Arial" w:eastAsia="Arial" w:hAnsi="Arial"/>
          <w:sz w:val="18"/>
          <w:szCs w:val="18"/>
          <w:color w:val="auto"/>
        </w:rPr>
      </w:pPr>
    </w:p>
    <w:p>
      <w:pPr>
        <w:ind w:firstLine="1304"/>
        <w:spacing w:after="0" w:line="277" w:lineRule="auto"/>
        <w:tabs>
          <w:tab w:leader="none" w:pos="15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not a “United States real property holding corporation” within the meaning of Section 897(c)(2) of the Code at any time during the five-year period ending on the Closing Date.</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not engaged in a “reportable transaction” within the meaning of United States Treasury regulations 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1.6011-4(b).</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5.27</w:t>
      </w:r>
      <w:r>
        <w:rPr>
          <w:rFonts w:ascii="Arial" w:cs="Arial" w:eastAsia="Arial" w:hAnsi="Arial"/>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Powers of Attorney and Suretyships</w:t>
      </w:r>
      <w:r>
        <w:rPr>
          <w:rFonts w:ascii="Arial" w:cs="Arial" w:eastAsia="Arial" w:hAnsi="Arial"/>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5.29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5.29</w:t>
      </w:r>
      <w:r>
        <w:rPr>
          <w:rFonts w:ascii="Arial" w:cs="Arial" w:eastAsia="Arial" w:hAnsi="Arial"/>
          <w:sz w:val="18"/>
          <w:szCs w:val="18"/>
          <w:color w:val="auto"/>
        </w:rPr>
        <w:t xml:space="preserve"> sets forth a true, correct and complete list of all directors and officers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involving the Company with respect to the Money Laundering Laws is pending or, to the Knowledge of the Company, threatened.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All forms of insurance owned or held by and insuring the Company are set forth on </w:t>
      </w:r>
      <w:r>
        <w:rPr>
          <w:rFonts w:ascii="Arial" w:cs="Arial" w:eastAsia="Arial" w:hAnsi="Arial"/>
          <w:sz w:val="17"/>
          <w:szCs w:val="17"/>
          <w:u w:val="single" w:color="auto"/>
          <w:color w:val="auto"/>
        </w:rPr>
        <w:t>Schedule 5.31</w:t>
      </w:r>
      <w:r>
        <w:rPr>
          <w:rFonts w:ascii="Arial" w:cs="Arial" w:eastAsia="Arial" w:hAnsi="Arial"/>
          <w:sz w:val="17"/>
          <w:szCs w:val="17"/>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 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5.32</w:t>
      </w:r>
      <w:r>
        <w:rPr>
          <w:rFonts w:ascii="Arial" w:cs="Arial" w:eastAsia="Arial" w:hAnsi="Arial"/>
          <w:sz w:val="17"/>
          <w:szCs w:val="17"/>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xml:space="preserve">”). None of the Contracts listed in </w:t>
      </w:r>
      <w:r>
        <w:rPr>
          <w:rFonts w:ascii="Arial" w:cs="Arial" w:eastAsia="Arial" w:hAnsi="Arial"/>
          <w:sz w:val="17"/>
          <w:szCs w:val="17"/>
          <w:u w:val="single" w:color="auto"/>
          <w:color w:val="auto"/>
        </w:rPr>
        <w:t>Schedule 5.32</w:t>
      </w:r>
      <w:r>
        <w:rPr>
          <w:rFonts w:ascii="Arial" w:cs="Arial" w:eastAsia="Arial" w:hAnsi="Arial"/>
          <w:sz w:val="17"/>
          <w:szCs w:val="17"/>
          <w:color w:val="auto"/>
        </w:rPr>
        <w:t xml:space="preserve"> was entered into on a basis other than on arm’s length.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Arial" w:cs="Arial" w:eastAsia="Arial" w:hAnsi="Arial"/>
          <w:sz w:val="18"/>
          <w:szCs w:val="18"/>
          <w:u w:val="single" w:color="auto"/>
          <w:color w:val="auto"/>
        </w:rPr>
        <w:t>Parent Parties</w:t>
      </w:r>
      <w:r>
        <w:rPr>
          <w:rFonts w:ascii="Arial" w:cs="Arial" w:eastAsia="Arial" w:hAnsi="Arial"/>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is the only vote of the holders of any of Parent’s capital stock necessary to adopt this Agreement and approve the Merger and the consummation of the other transactions contemplated hereby.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Assuming the accuracy of the representations and warranties set forth in </w:t>
      </w:r>
      <w:r>
        <w:rPr>
          <w:rFonts w:ascii="Arial" w:cs="Arial" w:eastAsia="Arial" w:hAnsi="Arial"/>
          <w:sz w:val="17"/>
          <w:szCs w:val="17"/>
          <w:u w:val="single" w:color="auto"/>
          <w:color w:val="auto"/>
        </w:rPr>
        <w:t>Section 5.3</w:t>
      </w:r>
      <w:r>
        <w:rPr>
          <w:rFonts w:ascii="Arial" w:cs="Arial" w:eastAsia="Arial" w:hAnsi="Arial"/>
          <w:sz w:val="17"/>
          <w:szCs w:val="17"/>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for the Persons identified on </w:t>
      </w:r>
      <w:r>
        <w:rPr>
          <w:rFonts w:ascii="Arial" w:cs="Arial" w:eastAsia="Arial" w:hAnsi="Arial"/>
          <w:sz w:val="16"/>
          <w:szCs w:val="16"/>
          <w:u w:val="single" w:color="auto"/>
          <w:color w:val="auto"/>
        </w:rPr>
        <w:t>Schedule 5.27</w:t>
      </w:r>
      <w:r>
        <w:rPr>
          <w:rFonts w:ascii="Arial" w:cs="Arial" w:eastAsia="Arial" w:hAnsi="Arial"/>
          <w:sz w:val="16"/>
          <w:szCs w:val="16"/>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Issuance of Shares</w:t>
      </w:r>
      <w:r>
        <w:rPr>
          <w:rFonts w:ascii="Arial" w:cs="Arial" w:eastAsia="Arial" w:hAnsi="Arial"/>
          <w:sz w:val="18"/>
          <w:szCs w:val="18"/>
          <w:color w:val="auto"/>
        </w:rPr>
        <w:t>. The Closing Payment Shares, when issued in accordance with this Agreement, will be duly authorized and validly issued, and will be fully paid and nonassessable.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6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Arial" w:cs="Arial" w:eastAsia="Arial" w:hAnsi="Arial"/>
          <w:sz w:val="17"/>
          <w:szCs w:val="17"/>
          <w:u w:val="single" w:color="auto"/>
          <w:color w:val="auto"/>
        </w:rPr>
        <w:t>Parent Preferred Stock</w:t>
      </w:r>
      <w:r>
        <w:rPr>
          <w:rFonts w:ascii="Arial" w:cs="Arial" w:eastAsia="Arial" w:hAnsi="Arial"/>
          <w:sz w:val="17"/>
          <w:szCs w:val="17"/>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80" w:lineRule="exact"/>
        <w:rPr>
          <w:rFonts w:ascii="Arial" w:cs="Arial" w:eastAsia="Arial" w:hAnsi="Arial"/>
          <w:sz w:val="17"/>
          <w:szCs w:val="17"/>
          <w:color w:val="auto"/>
        </w:rPr>
      </w:pPr>
    </w:p>
    <w:p>
      <w:pPr>
        <w:jc w:val="both"/>
        <w:ind w:firstLine="1304"/>
        <w:spacing w:after="0" w:line="271" w:lineRule="auto"/>
        <w:tabs>
          <w:tab w:leader="none" w:pos="15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Merger Sub is authorized to issue 100 shares, par value $0.0001 per share (“</w:t>
      </w:r>
      <w:r>
        <w:rPr>
          <w:rFonts w:ascii="Arial" w:cs="Arial" w:eastAsia="Arial" w:hAnsi="Arial"/>
          <w:sz w:val="17"/>
          <w:szCs w:val="17"/>
          <w:u w:val="single" w:color="auto"/>
          <w:color w:val="auto"/>
        </w:rPr>
        <w:t>Merger Sub Common Stock</w:t>
      </w:r>
      <w:r>
        <w:rPr>
          <w:rFonts w:ascii="Arial" w:cs="Arial" w:eastAsia="Arial" w:hAnsi="Arial"/>
          <w:sz w:val="17"/>
          <w:szCs w:val="17"/>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Trust Fund</w:t>
      </w:r>
      <w:r>
        <w:rPr>
          <w:rFonts w:ascii="Arial" w:cs="Arial" w:eastAsia="Arial" w:hAnsi="Arial"/>
          <w:sz w:val="16"/>
          <w:szCs w:val="16"/>
          <w:color w:val="auto"/>
        </w:rPr>
        <w:t>. As of the date of this Agreement, Parent has at least $120,750,000 in the trust fund established by Parent for the benefit of its public stockholders (the “</w:t>
      </w:r>
      <w:r>
        <w:rPr>
          <w:rFonts w:ascii="Arial" w:cs="Arial" w:eastAsia="Arial" w:hAnsi="Arial"/>
          <w:sz w:val="16"/>
          <w:szCs w:val="16"/>
          <w:u w:val="single" w:color="auto"/>
          <w:color w:val="auto"/>
        </w:rPr>
        <w:t>Trust Fund</w:t>
      </w:r>
      <w:r>
        <w:rPr>
          <w:rFonts w:ascii="Arial" w:cs="Arial" w:eastAsia="Arial" w:hAnsi="Arial"/>
          <w:sz w:val="16"/>
          <w:szCs w:val="16"/>
          <w:color w:val="auto"/>
        </w:rPr>
        <w:t>”)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by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Listing</w:t>
      </w:r>
      <w:r>
        <w:rPr>
          <w:rFonts w:ascii="Arial" w:cs="Arial" w:eastAsia="Arial" w:hAnsi="Arial"/>
          <w:sz w:val="18"/>
          <w:szCs w:val="18"/>
          <w:color w:val="auto"/>
        </w:rPr>
        <w:t>. The Parent Class A Shares are listed on Nasdaq, with trading ticker “FSDC.”</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Board Approval</w:t>
      </w:r>
      <w:r>
        <w:rPr>
          <w:rFonts w:ascii="Arial" w:cs="Arial" w:eastAsia="Arial" w:hAnsi="Arial"/>
          <w:sz w:val="17"/>
          <w:szCs w:val="17"/>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Parent SEC Documents and Financial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15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7"/>
          <w:szCs w:val="17"/>
          <w:u w:val="single" w:color="auto"/>
          <w:color w:val="auto"/>
        </w:rPr>
        <w:t>Additional Parent SEC Documents</w:t>
      </w:r>
      <w:r>
        <w:rPr>
          <w:rFonts w:ascii="Arial" w:cs="Arial" w:eastAsia="Arial" w:hAnsi="Arial"/>
          <w:sz w:val="17"/>
          <w:szCs w:val="17"/>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7"/>
          <w:szCs w:val="17"/>
          <w:u w:val="single" w:color="auto"/>
          <w:color w:val="auto"/>
        </w:rPr>
        <w:t>Section 6.12</w:t>
      </w:r>
      <w:r>
        <w:rPr>
          <w:rFonts w:ascii="Arial" w:cs="Arial" w:eastAsia="Arial" w:hAnsi="Arial"/>
          <w:sz w:val="17"/>
          <w:szCs w:val="17"/>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7"/>
          <w:szCs w:val="17"/>
          <w:u w:val="single" w:color="auto"/>
          <w:color w:val="auto"/>
        </w:rPr>
        <w:t>Parent SEC Documents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90" w:lineRule="auto"/>
        <w:tabs>
          <w:tab w:leader="none" w:pos="15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does not apply to statements in or omissions in any information supplied or to be supplied by the Company expressly for inclusion or incorporation by reference in the SEC Statement or Other Filing.</w:t>
      </w:r>
    </w:p>
    <w:p>
      <w:pPr>
        <w:spacing w:after="0" w:line="165" w:lineRule="exact"/>
        <w:rPr>
          <w:rFonts w:ascii="Arial" w:cs="Arial" w:eastAsia="Arial" w:hAnsi="Arial"/>
          <w:sz w:val="16"/>
          <w:szCs w:val="16"/>
          <w:color w:val="auto"/>
        </w:rPr>
      </w:pPr>
    </w:p>
    <w:p>
      <w:pPr>
        <w:ind w:firstLine="1304"/>
        <w:spacing w:after="0" w:line="277" w:lineRule="auto"/>
        <w:tabs>
          <w:tab w:leader="none" w:pos="15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the term “file” shall be broadly construed to include any manner in which a document or information is furnished, supplied or otherwise made available to the SEC.</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or prospects of Parent and (ii) subject Parent to suit or penalty in any private or governmental Action.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308"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Expenses, Indebtedness and Other Liabilities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Parent does not have any Indebtedness or other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6.18</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4" w:lineRule="auto"/>
        <w:tabs>
          <w:tab w:leader="none" w:pos="15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Parent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 (viii) 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304"/>
        <w:spacing w:after="0" w:line="269" w:lineRule="auto"/>
        <w:tabs>
          <w:tab w:leader="none" w:pos="16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85" w:lineRule="exact"/>
        <w:rPr>
          <w:rFonts w:ascii="Arial" w:cs="Arial" w:eastAsia="Arial" w:hAnsi="Arial"/>
          <w:sz w:val="17"/>
          <w:szCs w:val="17"/>
          <w:color w:val="auto"/>
        </w:rPr>
      </w:pPr>
    </w:p>
    <w:p>
      <w:pPr>
        <w:jc w:val="both"/>
        <w:ind w:firstLine="1304"/>
        <w:spacing w:after="0" w:line="259" w:lineRule="auto"/>
        <w:tabs>
          <w:tab w:leader="none" w:pos="15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Parent in filing its Tax Return.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183" w:lineRule="exact"/>
        <w:rPr>
          <w:rFonts w:ascii="Arial" w:cs="Arial" w:eastAsia="Arial" w:hAnsi="Arial"/>
          <w:sz w:val="18"/>
          <w:szCs w:val="18"/>
          <w:color w:val="auto"/>
        </w:rPr>
      </w:pPr>
    </w:p>
    <w:p>
      <w:pPr>
        <w:ind w:firstLine="1304"/>
        <w:spacing w:after="0" w:line="308" w:lineRule="auto"/>
        <w:tabs>
          <w:tab w:leader="none" w:pos="159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46" w:lineRule="exact"/>
        <w:rPr>
          <w:rFonts w:ascii="Arial" w:cs="Arial" w:eastAsia="Arial" w:hAnsi="Arial"/>
          <w:sz w:val="17"/>
          <w:szCs w:val="17"/>
          <w:color w:val="auto"/>
        </w:rPr>
      </w:pPr>
    </w:p>
    <w:p>
      <w:pPr>
        <w:ind w:firstLine="1304"/>
        <w:spacing w:after="0" w:line="277" w:lineRule="auto"/>
        <w:tabs>
          <w:tab w:leader="none" w:pos="15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Parent is not a “United States real property holding corporation” within the meaning of Section 897(c)(2) of the Code at any time during the five-year period ending on the Closing Date.</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Parent has not engaged in a “reportable transaction” within the meaning of United States Treasury regulations Section 1.6011-4(b).</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PARTIES PENDING CLOSING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Conduct of the Business</w:t>
      </w:r>
      <w:r>
        <w:rPr>
          <w:rFonts w:ascii="Arial" w:cs="Arial" w:eastAsia="Arial" w:hAnsi="Arial"/>
          <w:sz w:val="18"/>
          <w:szCs w:val="18"/>
          <w:color w:val="auto"/>
        </w:rPr>
        <w:t>. Each of the Company and Parent covenants and agrees that:</w:t>
      </w:r>
    </w:p>
    <w:p>
      <w:pPr>
        <w:spacing w:after="0" w:line="225" w:lineRule="exact"/>
        <w:rPr>
          <w:sz w:val="20"/>
          <w:szCs w:val="20"/>
          <w:color w:val="auto"/>
        </w:rPr>
      </w:pPr>
    </w:p>
    <w:p>
      <w:pPr>
        <w:jc w:val="both"/>
        <w:ind w:firstLine="1304"/>
        <w:spacing w:after="0" w:line="254" w:lineRule="auto"/>
        <w:tabs>
          <w:tab w:leader="none" w:pos="15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94" w:lineRule="exact"/>
        <w:rPr>
          <w:rFonts w:ascii="Arial" w:cs="Arial" w:eastAsia="Arial" w:hAnsi="Arial"/>
          <w:sz w:val="18"/>
          <w:szCs w:val="18"/>
          <w:color w:val="auto"/>
        </w:rPr>
      </w:pPr>
    </w:p>
    <w:p>
      <w:pPr>
        <w:ind w:left="660" w:firstLine="1292"/>
        <w:spacing w:after="0" w:line="277" w:lineRule="auto"/>
        <w:tabs>
          <w:tab w:leader="none" w:pos="222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170" w:lineRule="exact"/>
        <w:rPr>
          <w:rFonts w:ascii="Arial" w:cs="Arial" w:eastAsia="Arial" w:hAnsi="Arial"/>
          <w:sz w:val="18"/>
          <w:szCs w:val="18"/>
          <w:color w:val="auto"/>
        </w:rPr>
      </w:pPr>
    </w:p>
    <w:p>
      <w:pPr>
        <w:ind w:left="660" w:firstLine="1292"/>
        <w:spacing w:after="0" w:line="277" w:lineRule="auto"/>
        <w:tabs>
          <w:tab w:leader="none" w:pos="22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3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83" w:lineRule="exact"/>
        <w:rPr>
          <w:rFonts w:ascii="Arial" w:cs="Arial" w:eastAsia="Arial" w:hAnsi="Arial"/>
          <w:sz w:val="18"/>
          <w:szCs w:val="18"/>
          <w:color w:val="auto"/>
        </w:rPr>
      </w:pPr>
    </w:p>
    <w:p>
      <w:pPr>
        <w:ind w:left="2300" w:hanging="348"/>
        <w:spacing w:after="0"/>
        <w:tabs>
          <w:tab w:leader="none" w:pos="2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 any capital expenditures in excess of $200,000 (individually or in the aggregate);</w:t>
      </w:r>
    </w:p>
    <w:p>
      <w:pPr>
        <w:spacing w:after="0" w:line="225" w:lineRule="exact"/>
        <w:rPr>
          <w:rFonts w:ascii="Arial" w:cs="Arial" w:eastAsia="Arial" w:hAnsi="Arial"/>
          <w:sz w:val="18"/>
          <w:szCs w:val="18"/>
          <w:color w:val="auto"/>
        </w:rPr>
      </w:pPr>
    </w:p>
    <w:p>
      <w:pPr>
        <w:ind w:left="660" w:right="20" w:firstLine="1292"/>
        <w:spacing w:after="0" w:line="342" w:lineRule="auto"/>
        <w:tabs>
          <w:tab w:leader="none" w:pos="2269"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23" w:lineRule="exact"/>
        <w:rPr>
          <w:rFonts w:ascii="Arial" w:cs="Arial" w:eastAsia="Arial" w:hAnsi="Arial"/>
          <w:sz w:val="16"/>
          <w:szCs w:val="16"/>
          <w:color w:val="auto"/>
        </w:rPr>
      </w:pPr>
    </w:p>
    <w:p>
      <w:pPr>
        <w:jc w:val="both"/>
        <w:ind w:left="660" w:firstLine="1292"/>
        <w:spacing w:after="0" w:line="275" w:lineRule="auto"/>
        <w:tabs>
          <w:tab w:leader="none" w:pos="2346"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76" w:lineRule="exact"/>
        <w:rPr>
          <w:rFonts w:ascii="Arial" w:cs="Arial" w:eastAsia="Arial" w:hAnsi="Arial"/>
          <w:sz w:val="17"/>
          <w:szCs w:val="17"/>
          <w:color w:val="auto"/>
        </w:rPr>
      </w:pPr>
    </w:p>
    <w:p>
      <w:pPr>
        <w:jc w:val="both"/>
        <w:ind w:left="660" w:firstLine="1292"/>
        <w:spacing w:after="0" w:line="301" w:lineRule="auto"/>
        <w:tabs>
          <w:tab w:leader="none" w:pos="2369"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 (2) 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57" w:lineRule="exact"/>
        <w:rPr>
          <w:rFonts w:ascii="Arial" w:cs="Arial" w:eastAsia="Arial" w:hAnsi="Arial"/>
          <w:sz w:val="16"/>
          <w:szCs w:val="16"/>
          <w:color w:val="auto"/>
        </w:rPr>
      </w:pPr>
    </w:p>
    <w:p>
      <w:pPr>
        <w:ind w:left="2400" w:hanging="448"/>
        <w:spacing w:after="0"/>
        <w:tabs>
          <w:tab w:leader="none" w:pos="2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suffer or incur any Lien, except for Permitted Liens, on the Company’s or Parent’s, as applicable, assets;</w:t>
      </w:r>
    </w:p>
    <w:p>
      <w:pPr>
        <w:spacing w:after="0" w:line="225" w:lineRule="exact"/>
        <w:rPr>
          <w:rFonts w:ascii="Arial" w:cs="Arial" w:eastAsia="Arial" w:hAnsi="Arial"/>
          <w:sz w:val="18"/>
          <w:szCs w:val="18"/>
          <w:color w:val="auto"/>
        </w:rPr>
      </w:pPr>
    </w:p>
    <w:p>
      <w:pPr>
        <w:ind w:left="660" w:firstLine="1292"/>
        <w:spacing w:after="0" w:line="277" w:lineRule="auto"/>
        <w:tabs>
          <w:tab w:leader="none" w:pos="2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460" w:right="20" w:firstLine="1292"/>
        <w:spacing w:after="0" w:line="277" w:lineRule="auto"/>
        <w:tabs>
          <w:tab w:leader="none" w:pos="11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70" w:lineRule="exact"/>
        <w:rPr>
          <w:rFonts w:ascii="Arial" w:cs="Arial" w:eastAsia="Arial" w:hAnsi="Arial"/>
          <w:sz w:val="18"/>
          <w:szCs w:val="18"/>
          <w:color w:val="auto"/>
        </w:rPr>
      </w:pPr>
    </w:p>
    <w:p>
      <w:pPr>
        <w:jc w:val="both"/>
        <w:ind w:left="-460" w:firstLine="1292"/>
        <w:spacing w:after="0" w:line="259" w:lineRule="auto"/>
        <w:tabs>
          <w:tab w:leader="none" w:pos="11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86" w:lineRule="exact"/>
        <w:rPr>
          <w:rFonts w:ascii="Arial" w:cs="Arial" w:eastAsia="Arial" w:hAnsi="Arial"/>
          <w:sz w:val="18"/>
          <w:szCs w:val="18"/>
          <w:color w:val="auto"/>
        </w:rPr>
      </w:pPr>
    </w:p>
    <w:p>
      <w:pPr>
        <w:ind w:left="-460" w:firstLine="1292"/>
        <w:spacing w:after="0" w:line="277"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or fail to continue to make timely contributions to each benefit plan in accordance with the terms thereof;</w:t>
      </w:r>
    </w:p>
    <w:p>
      <w:pPr>
        <w:spacing w:after="0" w:line="170" w:lineRule="exact"/>
        <w:rPr>
          <w:rFonts w:ascii="Arial" w:cs="Arial" w:eastAsia="Arial" w:hAnsi="Arial"/>
          <w:sz w:val="18"/>
          <w:szCs w:val="18"/>
          <w:color w:val="auto"/>
        </w:rPr>
      </w:pPr>
    </w:p>
    <w:p>
      <w:pPr>
        <w:ind w:left="-460" w:firstLine="1292"/>
        <w:spacing w:after="0" w:line="277" w:lineRule="auto"/>
        <w:tabs>
          <w:tab w:leader="none" w:pos="13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170" w:lineRule="exact"/>
        <w:rPr>
          <w:rFonts w:ascii="Arial" w:cs="Arial" w:eastAsia="Arial" w:hAnsi="Arial"/>
          <w:sz w:val="18"/>
          <w:szCs w:val="18"/>
          <w:color w:val="auto"/>
        </w:rPr>
      </w:pPr>
    </w:p>
    <w:p>
      <w:pPr>
        <w:ind w:left="-460" w:firstLine="1292"/>
        <w:spacing w:after="0" w:line="277" w:lineRule="auto"/>
        <w:tabs>
          <w:tab w:leader="none" w:pos="13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required by U.S. GAAP, make any material change in its accounting principles, methods or practices or write down the value of its assets;</w:t>
      </w:r>
    </w:p>
    <w:p>
      <w:pPr>
        <w:spacing w:after="0" w:line="170" w:lineRule="exact"/>
        <w:rPr>
          <w:rFonts w:ascii="Arial" w:cs="Arial" w:eastAsia="Arial" w:hAnsi="Arial"/>
          <w:sz w:val="18"/>
          <w:szCs w:val="18"/>
          <w:color w:val="auto"/>
        </w:rPr>
      </w:pPr>
    </w:p>
    <w:p>
      <w:pPr>
        <w:ind w:left="1220" w:hanging="388"/>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225" w:lineRule="exact"/>
        <w:rPr>
          <w:rFonts w:ascii="Arial" w:cs="Arial" w:eastAsia="Arial" w:hAnsi="Arial"/>
          <w:sz w:val="18"/>
          <w:szCs w:val="18"/>
          <w:color w:val="auto"/>
        </w:rPr>
      </w:pPr>
    </w:p>
    <w:p>
      <w:pPr>
        <w:jc w:val="both"/>
        <w:ind w:left="-460" w:firstLine="1292"/>
        <w:spacing w:after="0" w:line="259" w:lineRule="auto"/>
        <w:tabs>
          <w:tab w:leader="none" w:pos="1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Arial" w:cs="Arial" w:eastAsia="Arial" w:hAnsi="Arial"/>
          <w:sz w:val="18"/>
          <w:szCs w:val="18"/>
          <w:u w:val="single" w:color="auto"/>
          <w:color w:val="auto"/>
        </w:rPr>
        <w:t>Section 7.6</w:t>
      </w:r>
      <w:r>
        <w:rPr>
          <w:rFonts w:ascii="Arial" w:cs="Arial" w:eastAsia="Arial" w:hAnsi="Arial"/>
          <w:sz w:val="18"/>
          <w:szCs w:val="18"/>
          <w:color w:val="auto"/>
        </w:rPr>
        <w:t>, or (C) with respect to Parent, as otherwise contemplated by this Agreement or any Additional Agreement);</w:t>
      </w:r>
    </w:p>
    <w:p>
      <w:pPr>
        <w:spacing w:after="0" w:line="186" w:lineRule="exact"/>
        <w:rPr>
          <w:rFonts w:ascii="Arial" w:cs="Arial" w:eastAsia="Arial" w:hAnsi="Arial"/>
          <w:sz w:val="18"/>
          <w:szCs w:val="18"/>
          <w:color w:val="auto"/>
        </w:rPr>
      </w:pPr>
    </w:p>
    <w:p>
      <w:pPr>
        <w:jc w:val="both"/>
        <w:ind w:left="-460" w:firstLine="1292"/>
        <w:spacing w:after="0" w:line="259"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86" w:lineRule="exact"/>
        <w:rPr>
          <w:rFonts w:ascii="Arial" w:cs="Arial" w:eastAsia="Arial" w:hAnsi="Arial"/>
          <w:sz w:val="18"/>
          <w:szCs w:val="18"/>
          <w:color w:val="auto"/>
        </w:rPr>
      </w:pPr>
    </w:p>
    <w:p>
      <w:pPr>
        <w:ind w:left="-460" w:firstLine="1292"/>
        <w:spacing w:after="0" w:line="277" w:lineRule="auto"/>
        <w:tabs>
          <w:tab w:leader="none" w:pos="14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any transaction with or distribute or advance any assets or property to any of its Affiliates, other than the payment of salary and benefits in the ordinary course;</w:t>
      </w:r>
    </w:p>
    <w:p>
      <w:pPr>
        <w:spacing w:after="0" w:line="170" w:lineRule="exact"/>
        <w:rPr>
          <w:rFonts w:ascii="Arial" w:cs="Arial" w:eastAsia="Arial" w:hAnsi="Arial"/>
          <w:sz w:val="18"/>
          <w:szCs w:val="18"/>
          <w:color w:val="auto"/>
        </w:rPr>
      </w:pPr>
    </w:p>
    <w:p>
      <w:pPr>
        <w:jc w:val="both"/>
        <w:ind w:left="-460" w:firstLine="1292"/>
        <w:spacing w:after="0" w:line="270" w:lineRule="auto"/>
        <w:tabs>
          <w:tab w:leader="none" w:pos="12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solely in the case of the Company, other than as required by a Plan, as set forth on </w:t>
      </w:r>
      <w:r>
        <w:rPr>
          <w:rFonts w:ascii="Arial" w:cs="Arial" w:eastAsia="Arial" w:hAnsi="Arial"/>
          <w:sz w:val="17"/>
          <w:szCs w:val="17"/>
          <w:u w:val="single" w:color="auto"/>
          <w:color w:val="auto"/>
        </w:rPr>
        <w:t>Schedule 7.1(a)(xix)</w:t>
      </w:r>
      <w:r>
        <w:rPr>
          <w:rFonts w:ascii="Arial" w:cs="Arial" w:eastAsia="Arial" w:hAnsi="Arial"/>
          <w:sz w:val="17"/>
          <w:szCs w:val="17"/>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1" w:name="page52"/>
    <w:bookmarkEnd w:id="51"/>
    <w:p>
      <w:pPr>
        <w:ind w:left="2340" w:hanging="388"/>
        <w:spacing w:after="0"/>
        <w:tabs>
          <w:tab w:leader="none" w:pos="2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solely in the case of the Company, enter into any Affiliate Transactions;</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 to duly observe and conform in all material respects to all applicable Law, including the Exchange Act, and Orders; or</w:t>
      </w:r>
    </w:p>
    <w:p>
      <w:pPr>
        <w:spacing w:after="0" w:line="248" w:lineRule="exact"/>
        <w:rPr>
          <w:rFonts w:ascii="Arial" w:cs="Arial" w:eastAsia="Arial" w:hAnsi="Arial"/>
          <w:sz w:val="16"/>
          <w:szCs w:val="16"/>
          <w:color w:val="auto"/>
        </w:rPr>
      </w:pPr>
    </w:p>
    <w:p>
      <w:pPr>
        <w:ind w:left="2440" w:hanging="488"/>
        <w:spacing w:after="0"/>
        <w:tabs>
          <w:tab w:leader="none" w:pos="2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 to do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7" w:lineRule="auto"/>
        <w:tabs>
          <w:tab w:leader="none" w:pos="1585" w:val="left"/>
        </w:tabs>
        <w:numPr>
          <w:ilvl w:val="1"/>
          <w:numId w:val="47"/>
        </w:numPr>
        <w:rPr>
          <w:rFonts w:ascii="Arial" w:cs="Arial" w:eastAsia="Arial" w:hAnsi="Arial"/>
          <w:sz w:val="16"/>
          <w:szCs w:val="16"/>
          <w:color w:val="auto"/>
        </w:rPr>
      </w:pPr>
      <w:r>
        <w:rPr>
          <w:rFonts w:ascii="Arial" w:cs="Arial" w:eastAsia="Arial" w:hAnsi="Arial"/>
          <w:sz w:val="16"/>
          <w:szCs w:val="16"/>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encourage, solicit, initiate, engage or participate in negotiations with any Person concerning any Alternative Transaction,</w:t>
      </w:r>
    </w:p>
    <w:p>
      <w:pPr>
        <w:spacing w:after="0" w:line="2" w:lineRule="exact"/>
        <w:rPr>
          <w:rFonts w:ascii="Arial" w:cs="Arial" w:eastAsia="Arial" w:hAnsi="Arial"/>
          <w:sz w:val="16"/>
          <w:szCs w:val="16"/>
          <w:color w:val="auto"/>
        </w:rPr>
      </w:pPr>
    </w:p>
    <w:p>
      <w:pPr>
        <w:jc w:val="both"/>
        <w:ind w:firstLine="8"/>
        <w:spacing w:after="0" w:line="267" w:lineRule="auto"/>
        <w:tabs>
          <w:tab w:leader="none" w:pos="2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7"/>
          <w:szCs w:val="17"/>
          <w:u w:val="single" w:color="auto"/>
          <w:color w:val="auto"/>
        </w:rPr>
        <w:t>Alternative Transaction</w:t>
      </w:r>
      <w:r>
        <w:rPr>
          <w:rFonts w:ascii="Arial" w:cs="Arial" w:eastAsia="Arial" w:hAnsi="Arial"/>
          <w:sz w:val="17"/>
          <w:szCs w:val="17"/>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84" w:lineRule="exact"/>
        <w:rPr>
          <w:rFonts w:ascii="Arial" w:cs="Arial" w:eastAsia="Arial" w:hAnsi="Arial"/>
          <w:sz w:val="17"/>
          <w:szCs w:val="17"/>
          <w:color w:val="auto"/>
        </w:rPr>
      </w:pPr>
    </w:p>
    <w:p>
      <w:pPr>
        <w:jc w:val="both"/>
        <w:ind w:firstLine="1304"/>
        <w:spacing w:after="0" w:line="253" w:lineRule="auto"/>
        <w:tabs>
          <w:tab w:leader="none" w:pos="16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xml:space="preserve">.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 investigation of the Business (in the case of the Company) or the business of Parent (in the case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investigation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any investigation made prior to the date hereof) shall affect any representation or warranty given by the Company or Parent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investigation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 Each of Parent and the Company shall promptly notify the other party of:</w:t>
      </w:r>
    </w:p>
    <w:p>
      <w:pPr>
        <w:spacing w:after="0" w:line="225" w:lineRule="exact"/>
        <w:rPr>
          <w:sz w:val="20"/>
          <w:szCs w:val="20"/>
          <w:color w:val="auto"/>
        </w:rPr>
      </w:pPr>
    </w:p>
    <w:p>
      <w:pPr>
        <w:jc w:val="both"/>
        <w:ind w:firstLine="1304"/>
        <w:spacing w:after="0" w:line="259" w:lineRule="auto"/>
        <w:tabs>
          <w:tab w:leader="none" w:pos="15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86" w:lineRule="exact"/>
        <w:rPr>
          <w:rFonts w:ascii="Arial" w:cs="Arial" w:eastAsia="Arial" w:hAnsi="Arial"/>
          <w:sz w:val="18"/>
          <w:szCs w:val="18"/>
          <w:color w:val="auto"/>
        </w:rPr>
      </w:pPr>
    </w:p>
    <w:p>
      <w:pPr>
        <w:ind w:firstLine="1304"/>
        <w:spacing w:after="0" w:line="277" w:lineRule="auto"/>
        <w:tabs>
          <w:tab w:leader="none" w:pos="16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notice or other communication from any Authority in connection with the transactions contemplated by this Agreement or the Additional Agreements;</w:t>
      </w:r>
    </w:p>
    <w:p>
      <w:pPr>
        <w:spacing w:after="0" w:line="170" w:lineRule="exact"/>
        <w:rPr>
          <w:rFonts w:ascii="Arial" w:cs="Arial" w:eastAsia="Arial" w:hAnsi="Arial"/>
          <w:sz w:val="18"/>
          <w:szCs w:val="18"/>
          <w:color w:val="auto"/>
        </w:rPr>
      </w:pPr>
    </w:p>
    <w:p>
      <w:pPr>
        <w:ind w:firstLine="1304"/>
        <w:spacing w:after="0" w:line="342" w:lineRule="auto"/>
        <w:tabs>
          <w:tab w:leader="none" w:pos="15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23" w:lineRule="exact"/>
        <w:rPr>
          <w:rFonts w:ascii="Arial" w:cs="Arial" w:eastAsia="Arial" w:hAnsi="Arial"/>
          <w:sz w:val="16"/>
          <w:szCs w:val="16"/>
          <w:color w:val="auto"/>
        </w:rPr>
      </w:pPr>
    </w:p>
    <w:p>
      <w:pPr>
        <w:ind w:firstLine="1304"/>
        <w:spacing w:after="0" w:line="277" w:lineRule="auto"/>
        <w:tabs>
          <w:tab w:leader="none" w:pos="16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occurrence of any fact or circumstance which constitutes or results, or would reasonably be expected to constitute or result in a Material Adverse Change;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X not to be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Cooperation with Form S-4/Proxy Statement; Other Filings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6"/>
          <w:szCs w:val="16"/>
          <w:u w:val="single" w:color="auto"/>
          <w:color w:val="auto"/>
        </w:rPr>
        <w:t>Parent Stockholder Meeting</w:t>
      </w:r>
      <w:r>
        <w:rPr>
          <w:rFonts w:ascii="Arial" w:cs="Arial" w:eastAsia="Arial" w:hAnsi="Arial"/>
          <w:sz w:val="16"/>
          <w:szCs w:val="16"/>
          <w:color w:val="auto"/>
        </w:rPr>
        <w:t>”). Such proxy materials shall be in the form of a proxy statement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which shall be included in a Registration Statement on Form S-4 (the “</w:t>
      </w:r>
      <w:r>
        <w:rPr>
          <w:rFonts w:ascii="Arial" w:cs="Arial" w:eastAsia="Arial" w:hAnsi="Arial"/>
          <w:sz w:val="16"/>
          <w:szCs w:val="16"/>
          <w:u w:val="single" w:color="auto"/>
          <w:color w:val="auto"/>
        </w:rPr>
        <w:t>Form S-4</w:t>
      </w:r>
      <w:r>
        <w:rPr>
          <w:rFonts w:ascii="Arial" w:cs="Arial" w:eastAsia="Arial" w:hAnsi="Arial"/>
          <w:sz w:val="16"/>
          <w:szCs w:val="16"/>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Arial" w:cs="Arial" w:eastAsia="Arial" w:hAnsi="Arial"/>
          <w:sz w:val="16"/>
          <w:szCs w:val="16"/>
          <w:u w:val="single" w:color="auto"/>
          <w:color w:val="auto"/>
        </w:rPr>
        <w:t>Offer Documents</w:t>
      </w:r>
      <w:r>
        <w:rPr>
          <w:rFonts w:ascii="Arial" w:cs="Arial" w:eastAsia="Arial" w:hAnsi="Arial"/>
          <w:sz w:val="16"/>
          <w:szCs w:val="16"/>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1304"/>
        <w:spacing w:after="0" w:line="268" w:lineRule="auto"/>
        <w:tabs>
          <w:tab w:leader="none" w:pos="1609"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Parent shall (i) permit the Company and its counsel to review and comment on the Proxy Statement and Form S-4 and any exhibits, amendments or supplements thereto (or other related documents); (ii) 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84" w:lineRule="exact"/>
        <w:rPr>
          <w:rFonts w:ascii="Arial" w:cs="Arial" w:eastAsia="Arial" w:hAnsi="Arial"/>
          <w:sz w:val="17"/>
          <w:szCs w:val="17"/>
          <w:color w:val="auto"/>
        </w:rPr>
      </w:pPr>
    </w:p>
    <w:p>
      <w:pPr>
        <w:jc w:val="both"/>
        <w:ind w:firstLine="1304"/>
        <w:spacing w:after="0" w:line="296" w:lineRule="auto"/>
        <w:tabs>
          <w:tab w:leader="none" w:pos="15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soon as practicable following the date on which the Form S-4 is declared effective by the SEC (such effective date,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Arial" w:cs="Arial" w:eastAsia="Arial" w:hAnsi="Arial"/>
          <w:sz w:val="16"/>
          <w:szCs w:val="16"/>
          <w:u w:val="single" w:color="auto"/>
          <w:color w:val="auto"/>
        </w:rPr>
        <w:t>Section 7.5(e)</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1304"/>
        <w:spacing w:after="0" w:line="267" w:lineRule="auto"/>
        <w:tabs>
          <w:tab w:leader="none" w:pos="1609"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1304"/>
        <w:spacing w:after="0" w:line="270" w:lineRule="auto"/>
        <w:tabs>
          <w:tab w:leader="none" w:pos="16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 (i) the Parent Stockholder Approval; (ii) adoption and approval of the Amended and Restated Certificate of Incorporation of Parent,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including the change of the name of Parent to “Gemini Therapeutics, Inc.”; (iii) adoption and approval of the Amended and Restated Bylaws of Parent in the form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Arial" w:cs="Arial" w:eastAsia="Arial" w:hAnsi="Arial"/>
          <w:sz w:val="17"/>
          <w:szCs w:val="17"/>
          <w:u w:val="single" w:color="auto"/>
          <w:color w:val="auto"/>
        </w:rPr>
        <w:t>Parent Proposals</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firstLine="1304"/>
        <w:spacing w:after="0" w:line="272" w:lineRule="auto"/>
        <w:tabs>
          <w:tab w:leader="none" w:pos="15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Arial" w:cs="Arial" w:eastAsia="Arial" w:hAnsi="Arial"/>
          <w:sz w:val="17"/>
          <w:szCs w:val="17"/>
          <w:u w:val="single" w:color="auto"/>
          <w:color w:val="auto"/>
        </w:rPr>
        <w:t>Offering Shares</w:t>
      </w:r>
      <w:r>
        <w:rPr>
          <w:rFonts w:ascii="Arial" w:cs="Arial" w:eastAsia="Arial" w:hAnsi="Arial"/>
          <w:sz w:val="17"/>
          <w:szCs w:val="17"/>
          <w:color w:val="auto"/>
        </w:rPr>
        <w:t>”), at a price per share determined in accordance with the Parent Certificate of Incorporation, all in accordance with applicable Law and any applicable 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77" w:lineRule="exact"/>
        <w:rPr>
          <w:rFonts w:ascii="Arial" w:cs="Arial" w:eastAsia="Arial" w:hAnsi="Arial"/>
          <w:sz w:val="17"/>
          <w:szCs w:val="17"/>
          <w:color w:val="auto"/>
        </w:rPr>
      </w:pPr>
    </w:p>
    <w:p>
      <w:pPr>
        <w:ind w:firstLine="1304"/>
        <w:spacing w:after="0" w:line="277" w:lineRule="auto"/>
        <w:tabs>
          <w:tab w:leader="none" w:pos="16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170" w:lineRule="exact"/>
        <w:rPr>
          <w:rFonts w:ascii="Arial" w:cs="Arial" w:eastAsia="Arial" w:hAnsi="Arial"/>
          <w:sz w:val="18"/>
          <w:szCs w:val="18"/>
          <w:color w:val="auto"/>
        </w:rPr>
      </w:pPr>
    </w:p>
    <w:p>
      <w:pPr>
        <w:jc w:val="both"/>
        <w:ind w:firstLine="1304"/>
        <w:spacing w:after="0" w:line="288" w:lineRule="auto"/>
        <w:tabs>
          <w:tab w:leader="none" w:pos="16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30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Trust Account</w:t>
      </w:r>
      <w:r>
        <w:rPr>
          <w:rFonts w:ascii="Arial" w:cs="Arial" w:eastAsia="Arial" w:hAnsi="Arial"/>
          <w:sz w:val="16"/>
          <w:szCs w:val="16"/>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Arial" w:cs="Arial" w:eastAsia="Arial" w:hAnsi="Arial"/>
          <w:sz w:val="16"/>
          <w:szCs w:val="16"/>
          <w:u w:val="single" w:color="auto"/>
          <w:color w:val="auto"/>
        </w:rPr>
        <w:t>Parent Redemption Amount</w:t>
      </w:r>
      <w:r>
        <w:rPr>
          <w:rFonts w:ascii="Arial" w:cs="Arial" w:eastAsia="Arial" w:hAnsi="Arial"/>
          <w:sz w:val="16"/>
          <w:szCs w:val="16"/>
          <w:color w:val="auto"/>
        </w:rPr>
        <w:t>”), (b) deferred underwriting commissions and the expenses to third parties to which they are owed, and (c) the remaining monies in the Trust Account to Parent after the Closing.</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Obligations of Merger Sub</w:t>
      </w:r>
      <w:r>
        <w:rPr>
          <w:rFonts w:ascii="Arial" w:cs="Arial" w:eastAsia="Arial" w:hAnsi="Arial"/>
          <w:sz w:val="17"/>
          <w:szCs w:val="17"/>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Private Placement, Parent Support Agreements</w:t>
      </w:r>
      <w:r>
        <w:rPr>
          <w:rFonts w:ascii="Arial" w:cs="Arial" w:eastAsia="Arial" w:hAnsi="Arial"/>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Reporting; Compliance with Laws</w:t>
      </w:r>
      <w:r>
        <w:rPr>
          <w:rFonts w:ascii="Arial" w:cs="Arial" w:eastAsia="Arial" w:hAnsi="Arial"/>
          <w:sz w:val="18"/>
          <w:szCs w:val="18"/>
          <w:color w:val="auto"/>
        </w:rPr>
        <w:t>. From the date hereof through and including the Closing Date:</w:t>
      </w:r>
    </w:p>
    <w:p>
      <w:pPr>
        <w:spacing w:after="0" w:line="225" w:lineRule="exact"/>
        <w:rPr>
          <w:sz w:val="20"/>
          <w:szCs w:val="20"/>
          <w:color w:val="auto"/>
        </w:rPr>
      </w:pPr>
    </w:p>
    <w:p>
      <w:pPr>
        <w:jc w:val="both"/>
        <w:ind w:firstLine="1304"/>
        <w:spacing w:after="0" w:line="257" w:lineRule="auto"/>
        <w:tabs>
          <w:tab w:leader="none" w:pos="15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Commercially Reasonable Efforts to Obtain Consents</w:t>
      </w:r>
      <w:r>
        <w:rPr>
          <w:rFonts w:ascii="Arial" w:cs="Arial" w:eastAsia="Arial" w:hAnsi="Arial"/>
          <w:sz w:val="18"/>
          <w:szCs w:val="18"/>
          <w:color w:val="auto"/>
        </w:rPr>
        <w:t xml:space="preserve">. The Company shall use its commercially reasonable efforts to obtain each Company Consent set forth on </w:t>
      </w:r>
      <w:r>
        <w:rPr>
          <w:rFonts w:ascii="Arial" w:cs="Arial" w:eastAsia="Arial" w:hAnsi="Arial"/>
          <w:sz w:val="18"/>
          <w:szCs w:val="18"/>
          <w:u w:val="single" w:color="auto"/>
          <w:color w:val="auto"/>
        </w:rPr>
        <w:t>Schedule 8.2</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Company’s Stockholders Approval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5" w:lineRule="auto"/>
        <w:tabs>
          <w:tab w:leader="none" w:pos="1599"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two (2) Business Days following the Effective Date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Written Consent Deadline</w:t>
      </w:r>
      <w:r>
        <w:rPr>
          <w:rFonts w:ascii="Arial" w:cs="Arial" w:eastAsia="Arial" w:hAnsi="Arial"/>
          <w:sz w:val="17"/>
          <w:szCs w:val="17"/>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7"/>
          <w:szCs w:val="17"/>
          <w:u w:val="single" w:color="auto"/>
          <w:color w:val="auto"/>
        </w:rPr>
        <w:t>Company Stockholder Written Consent</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firstLine="1304"/>
        <w:spacing w:after="0" w:line="342" w:lineRule="auto"/>
        <w:tabs>
          <w:tab w:leader="none" w:pos="16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Section 280G</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91" w:lineRule="auto"/>
        <w:tabs>
          <w:tab w:leader="none" w:pos="16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Company shall have obtained prior to the initiation of the requisite Company Stockholder approval procedure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8.4(b)</w:t>
      </w:r>
      <w:r>
        <w:rPr>
          <w:rFonts w:ascii="Arial" w:cs="Arial" w:eastAsia="Arial" w:hAnsi="Arial"/>
          <w:sz w:val="16"/>
          <w:szCs w:val="16"/>
          <w:color w:val="auto"/>
        </w:rPr>
        <w:t xml:space="preserve"> below, a waiver of the right to receive payments that could constitute “parachute payments” under Section 280G of the Code and regulations promulgated thereunder (a “</w:t>
      </w:r>
      <w:r>
        <w:rPr>
          <w:rFonts w:ascii="Arial" w:cs="Arial" w:eastAsia="Arial" w:hAnsi="Arial"/>
          <w:sz w:val="16"/>
          <w:szCs w:val="16"/>
          <w:u w:val="single" w:color="auto"/>
          <w:color w:val="auto"/>
        </w:rPr>
        <w:t>Parachute Payment Waiver</w:t>
      </w:r>
      <w:r>
        <w:rPr>
          <w:rFonts w:ascii="Arial" w:cs="Arial" w:eastAsia="Arial" w:hAnsi="Arial"/>
          <w:sz w:val="16"/>
          <w:szCs w:val="16"/>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Arial" w:cs="Arial" w:eastAsia="Arial" w:hAnsi="Arial"/>
          <w:sz w:val="16"/>
          <w:szCs w:val="16"/>
          <w:u w:val="single" w:color="auto"/>
          <w:color w:val="auto"/>
        </w:rPr>
        <w:t>Section 8.4(b)</w:t>
      </w:r>
      <w:r>
        <w:rPr>
          <w:rFonts w:ascii="Arial" w:cs="Arial" w:eastAsia="Arial" w:hAnsi="Arial"/>
          <w:sz w:val="16"/>
          <w:szCs w:val="16"/>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66" w:lineRule="exact"/>
        <w:rPr>
          <w:rFonts w:ascii="Arial" w:cs="Arial" w:eastAsia="Arial" w:hAnsi="Arial"/>
          <w:sz w:val="16"/>
          <w:szCs w:val="16"/>
          <w:color w:val="auto"/>
        </w:rPr>
      </w:pPr>
    </w:p>
    <w:p>
      <w:pPr>
        <w:jc w:val="both"/>
        <w:ind w:firstLine="1304"/>
        <w:spacing w:after="0" w:line="253" w:lineRule="auto"/>
        <w:tabs>
          <w:tab w:leader="none" w:pos="15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Arial" w:cs="Arial" w:eastAsia="Arial" w:hAnsi="Arial"/>
          <w:sz w:val="18"/>
          <w:szCs w:val="18"/>
          <w:u w:val="single" w:color="auto"/>
          <w:color w:val="auto"/>
        </w:rPr>
        <w:t>Section 8.4(a)</w:t>
      </w:r>
      <w:r>
        <w:rPr>
          <w:rFonts w:ascii="Arial" w:cs="Arial" w:eastAsia="Arial" w:hAnsi="Arial"/>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ALL PARTIES 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Commercially Reasonable Efforts; Further Assurances; Governmental Consents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612"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Except with respect to the matters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(which shall be subject to the terms and conditions of </w:t>
      </w:r>
      <w:r>
        <w:rPr>
          <w:rFonts w:ascii="Arial" w:cs="Arial" w:eastAsia="Arial" w:hAnsi="Arial"/>
          <w:sz w:val="17"/>
          <w:szCs w:val="17"/>
          <w:u w:val="single" w:color="auto"/>
          <w:color w:val="auto"/>
        </w:rPr>
        <w:t>Section 7.5</w:t>
      </w:r>
      <w:r>
        <w:rPr>
          <w:rFonts w:ascii="Arial" w:cs="Arial" w:eastAsia="Arial" w:hAnsi="Arial"/>
          <w:sz w:val="17"/>
          <w:szCs w:val="17"/>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68" w:lineRule="auto"/>
        <w:tabs>
          <w:tab w:leader="none" w:pos="16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Except with respect to the matters set forth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(which shall be subject to the terms and conditions of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of clauses (ii), (iii) and (iv) above, that materials may be redacted (A) 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Directors’ and Officers’ Indemnification and Liability Insurance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1304"/>
        <w:spacing w:after="0" w:line="263" w:lineRule="auto"/>
        <w:tabs>
          <w:tab w:leader="none" w:pos="1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609"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Arial" w:cs="Arial" w:eastAsia="Arial" w:hAnsi="Arial"/>
          <w:sz w:val="17"/>
          <w:szCs w:val="17"/>
          <w:u w:val="single" w:color="auto"/>
          <w:color w:val="auto"/>
        </w:rPr>
        <w:t>Tail Policy</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Nasdaq Listing</w:t>
      </w:r>
      <w:r>
        <w:rPr>
          <w:rFonts w:ascii="Arial" w:cs="Arial" w:eastAsia="Arial" w:hAnsi="Arial"/>
          <w:sz w:val="17"/>
          <w:szCs w:val="17"/>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626"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5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transfer, documentary, sales, use, value added, goods and services, stamp, registration, notarial fees and other similar Taxes and fees (collectively, “</w:t>
      </w:r>
      <w:r>
        <w:rPr>
          <w:rFonts w:ascii="Arial" w:cs="Arial" w:eastAsia="Arial" w:hAnsi="Arial"/>
          <w:sz w:val="18"/>
          <w:szCs w:val="18"/>
          <w:u w:val="single" w:color="auto"/>
          <w:color w:val="auto"/>
        </w:rPr>
        <w:t>Transfer Taxes</w:t>
      </w:r>
      <w:r>
        <w:rPr>
          <w:rFonts w:ascii="Arial" w:cs="Arial" w:eastAsia="Arial" w:hAnsi="Arial"/>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Prior to the Effective Date, Parent shall adopt a new equity incentive plan in substantially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with such changes or modifications thereto as the Company and Parent may mutually agree (such agreement not to be unreasonably withheld, conditioned or delayed by either the Company or Parent, as applicable) (the “</w:t>
      </w:r>
      <w:r>
        <w:rPr>
          <w:rFonts w:ascii="Arial" w:cs="Arial" w:eastAsia="Arial" w:hAnsi="Arial"/>
          <w:sz w:val="17"/>
          <w:szCs w:val="17"/>
          <w:u w:val="single" w:color="auto"/>
          <w:color w:val="auto"/>
        </w:rPr>
        <w:t>Parent Equity Incentive Plan</w:t>
      </w:r>
      <w:r>
        <w:rPr>
          <w:rFonts w:ascii="Arial" w:cs="Arial" w:eastAsia="Arial" w:hAnsi="Arial"/>
          <w:sz w:val="17"/>
          <w:szCs w:val="17"/>
          <w:color w:val="auto"/>
        </w:rPr>
        <w:t xml:space="preserve">”), effective as of one day prior to the Closing Date. The Parent Equity Incentive Plan shall have such number of shares available for issuance as mutually determined by the Company and Parent; </w:t>
      </w:r>
      <w:r>
        <w:rPr>
          <w:rFonts w:ascii="Arial" w:cs="Arial" w:eastAsia="Arial" w:hAnsi="Arial"/>
          <w:sz w:val="17"/>
          <w:szCs w:val="17"/>
          <w:u w:val="single" w:color="auto"/>
          <w:color w:val="auto"/>
        </w:rPr>
        <w:t>provided</w:t>
      </w:r>
      <w:r>
        <w:rPr>
          <w:rFonts w:ascii="Arial" w:cs="Arial" w:eastAsia="Arial" w:hAnsi="Arial"/>
          <w:sz w:val="17"/>
          <w:szCs w:val="17"/>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Condition to the Obligations of the Parties</w:t>
      </w:r>
      <w:r>
        <w:rPr>
          <w:rFonts w:ascii="Arial" w:cs="Arial" w:eastAsia="Arial" w:hAnsi="Arial"/>
          <w:sz w:val="18"/>
          <w:szCs w:val="18"/>
          <w:color w:val="auto"/>
        </w:rPr>
        <w:t>. The obligations of all of the parties to consummate the Merger are subject to the satisfaction of all the following conditions: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No provisions of any applicable Law and no Order shall restrain or prohibit or impose any condition on the consummation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1600" w:hanging="296"/>
        <w:spacing w:after="0"/>
        <w:tabs>
          <w:tab w:leader="none" w:pos="1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Each consent or approval required to be obtained from any Authority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shall have been obtained.</w:t>
      </w:r>
    </w:p>
    <w:p>
      <w:pPr>
        <w:spacing w:after="0" w:line="236" w:lineRule="exact"/>
        <w:rPr>
          <w:rFonts w:ascii="Arial" w:cs="Arial" w:eastAsia="Arial" w:hAnsi="Arial"/>
          <w:sz w:val="17"/>
          <w:szCs w:val="17"/>
          <w:color w:val="auto"/>
        </w:rPr>
      </w:pPr>
    </w:p>
    <w:p>
      <w:pPr>
        <w:ind w:left="1640" w:hanging="336"/>
        <w:spacing w:after="0"/>
        <w:tabs>
          <w:tab w:leader="none" w:pos="1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There shall not be any Action brought by any governmental Authority to enjoin or otherwise restrict the consummation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20" w:firstLine="1304"/>
        <w:spacing w:after="0" w:line="277" w:lineRule="auto"/>
        <w:tabs>
          <w:tab w:leader="none" w:pos="16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Parent shall not have redeemed the Parent Class A Shares in an amount that would cause Parent to have net tangible assets of less than $5,000,001 upon consummation of the Merger.</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Parent Proposals shall have been duly approved at the Parent Stockholder Meeting;</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 of Parent and Merger Sub to consummate the Merger is subject to the satisfaction, or the waiver in Parent’s sole and absolute discretion, of all the following further conditions:</w:t>
      </w:r>
    </w:p>
    <w:p>
      <w:pPr>
        <w:spacing w:after="0" w:line="170" w:lineRule="exact"/>
        <w:rPr>
          <w:sz w:val="20"/>
          <w:szCs w:val="20"/>
          <w:color w:val="auto"/>
        </w:rPr>
      </w:pPr>
    </w:p>
    <w:p>
      <w:pPr>
        <w:jc w:val="both"/>
        <w:ind w:firstLine="1304"/>
        <w:spacing w:after="0" w:line="263" w:lineRule="auto"/>
        <w:tabs>
          <w:tab w:leader="none" w:pos="1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304"/>
        <w:spacing w:after="0" w:line="259" w:lineRule="auto"/>
        <w:tabs>
          <w:tab w:leader="none" w:pos="15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186" w:lineRule="exact"/>
        <w:rPr>
          <w:rFonts w:ascii="Arial" w:cs="Arial" w:eastAsia="Arial" w:hAnsi="Arial"/>
          <w:sz w:val="18"/>
          <w:szCs w:val="18"/>
          <w:color w:val="auto"/>
        </w:rPr>
      </w:pPr>
    </w:p>
    <w:p>
      <w:pPr>
        <w:ind w:firstLine="1304"/>
        <w:spacing w:after="0" w:line="277" w:lineRule="auto"/>
        <w:tabs>
          <w:tab w:leader="none" w:pos="15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87" w:lineRule="exact"/>
        <w:rPr>
          <w:rFonts w:ascii="Arial" w:cs="Arial" w:eastAsia="Arial" w:hAnsi="Arial"/>
          <w:sz w:val="18"/>
          <w:szCs w:val="18"/>
          <w:color w:val="auto"/>
        </w:rPr>
      </w:pPr>
    </w:p>
    <w:p>
      <w:pPr>
        <w:ind w:firstLine="1304"/>
        <w:spacing w:after="0" w:line="277" w:lineRule="auto"/>
        <w:tabs>
          <w:tab w:leader="none" w:pos="16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and the Specified Company Securityholders shall have duly executed and delivered to Parent a copy of the Registration Rights Agreement.</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have delivered to Parent and Sponsor a copy of the Escrow Agreement, duly executed by the Company.</w:t>
      </w:r>
    </w:p>
    <w:p>
      <w:pPr>
        <w:spacing w:after="0" w:line="236" w:lineRule="exact"/>
        <w:rPr>
          <w:rFonts w:ascii="Arial" w:cs="Arial" w:eastAsia="Arial" w:hAnsi="Arial"/>
          <w:sz w:val="17"/>
          <w:szCs w:val="17"/>
          <w:color w:val="auto"/>
        </w:rPr>
      </w:pPr>
    </w:p>
    <w:p>
      <w:pPr>
        <w:ind w:left="1640" w:hanging="336"/>
        <w:spacing w:after="0"/>
        <w:tabs>
          <w:tab w:leader="none" w:pos="1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and the Specified Company Securityholders shall have duly executed and delivered to Parent a copy of the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shall not have been a Material Adverse Effect since the date hereof that is continuing.</w:t>
      </w:r>
    </w:p>
    <w:p>
      <w:pPr>
        <w:spacing w:after="0" w:line="225" w:lineRule="exact"/>
        <w:rPr>
          <w:rFonts w:ascii="Arial" w:cs="Arial" w:eastAsia="Arial" w:hAnsi="Arial"/>
          <w:sz w:val="18"/>
          <w:szCs w:val="18"/>
          <w:color w:val="auto"/>
        </w:rPr>
      </w:pPr>
    </w:p>
    <w:p>
      <w:pPr>
        <w:ind w:firstLine="1304"/>
        <w:spacing w:after="0" w:line="277" w:lineRule="auto"/>
        <w:tabs>
          <w:tab w:leader="none" w:pos="15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6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Closing.</w:t>
      </w:r>
    </w:p>
    <w:p>
      <w:pPr>
        <w:spacing w:after="0" w:line="183" w:lineRule="exact"/>
        <w:rPr>
          <w:rFonts w:ascii="Arial" w:cs="Arial" w:eastAsia="Arial" w:hAnsi="Arial"/>
          <w:sz w:val="18"/>
          <w:szCs w:val="18"/>
          <w:color w:val="auto"/>
        </w:rPr>
      </w:pPr>
    </w:p>
    <w:p>
      <w:pPr>
        <w:ind w:left="1660" w:hanging="356"/>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obtained each Company Consent set forth on Schedule 10.2(m).</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Company shall have delivered to Parent evidence of termination of the Equity Incentive Plans in accordance with </w:t>
      </w:r>
      <w:r>
        <w:rPr>
          <w:rFonts w:ascii="Arial" w:cs="Arial" w:eastAsia="Arial" w:hAnsi="Arial"/>
          <w:sz w:val="16"/>
          <w:szCs w:val="16"/>
          <w:u w:val="single" w:color="auto"/>
          <w:color w:val="auto"/>
        </w:rPr>
        <w:t>Section 4.1(b)</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304"/>
        <w:spacing w:after="0" w:line="263" w:lineRule="auto"/>
        <w:tabs>
          <w:tab w:leader="none" w:pos="16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183" w:lineRule="exact"/>
        <w:rPr>
          <w:rFonts w:ascii="Arial" w:cs="Arial" w:eastAsia="Arial" w:hAnsi="Arial"/>
          <w:sz w:val="18"/>
          <w:szCs w:val="18"/>
          <w:color w:val="auto"/>
        </w:rPr>
      </w:pPr>
    </w:p>
    <w:p>
      <w:pPr>
        <w:ind w:left="1600" w:hanging="296"/>
        <w:spacing w:after="0"/>
        <w:tabs>
          <w:tab w:leader="none" w:pos="1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shall have executed and delivered to Parent a copy of each Additional Agreement to which it or any of its stockholders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a party.</w:t>
      </w:r>
    </w:p>
    <w:p>
      <w:pPr>
        <w:spacing w:after="0" w:line="210" w:lineRule="exact"/>
        <w:rPr>
          <w:rFonts w:ascii="Arial" w:cs="Arial" w:eastAsia="Arial" w:hAnsi="Arial"/>
          <w:sz w:val="16"/>
          <w:szCs w:val="16"/>
          <w:color w:val="auto"/>
        </w:rPr>
      </w:pPr>
    </w:p>
    <w:p>
      <w:pPr>
        <w:ind w:firstLine="1304"/>
        <w:spacing w:after="0" w:line="277" w:lineRule="auto"/>
        <w:tabs>
          <w:tab w:leader="none" w:pos="1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copies of the Lockup Agreements, duly executed by each of the Company Securityholders set forth on </w:t>
      </w:r>
      <w:r>
        <w:rPr>
          <w:rFonts w:ascii="Arial" w:cs="Arial" w:eastAsia="Arial" w:hAnsi="Arial"/>
          <w:sz w:val="18"/>
          <w:szCs w:val="18"/>
          <w:u w:val="single" w:color="auto"/>
          <w:color w:val="auto"/>
        </w:rPr>
        <w:t>Schedule 10.2(q)</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is subject to the satisfaction, or the waiver in the Company’s sole and absolute discretion, of all of the following further conditions:</w:t>
      </w:r>
    </w:p>
    <w:p>
      <w:pPr>
        <w:spacing w:after="0" w:line="170" w:lineRule="exact"/>
        <w:rPr>
          <w:sz w:val="20"/>
          <w:szCs w:val="20"/>
          <w:color w:val="auto"/>
        </w:rPr>
      </w:pPr>
    </w:p>
    <w:p>
      <w:pPr>
        <w:jc w:val="both"/>
        <w:ind w:firstLine="1304"/>
        <w:spacing w:after="0" w:line="263" w:lineRule="auto"/>
        <w:tabs>
          <w:tab w:leader="none" w:pos="1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60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186" w:lineRule="exact"/>
        <w:rPr>
          <w:rFonts w:ascii="Arial" w:cs="Arial" w:eastAsia="Arial" w:hAnsi="Arial"/>
          <w:sz w:val="18"/>
          <w:szCs w:val="18"/>
          <w:color w:val="auto"/>
        </w:rPr>
      </w:pPr>
    </w:p>
    <w:p>
      <w:pPr>
        <w:ind w:firstLine="1304"/>
        <w:spacing w:after="0" w:line="277" w:lineRule="auto"/>
        <w:tabs>
          <w:tab w:leader="none" w:pos="16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of Parent,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shall have been filed with, and declared effective by, the Delaware Secretary of State.</w:t>
      </w:r>
    </w:p>
    <w:p>
      <w:pPr>
        <w:spacing w:after="0" w:line="170" w:lineRule="exact"/>
        <w:rPr>
          <w:rFonts w:ascii="Arial" w:cs="Arial" w:eastAsia="Arial" w:hAnsi="Arial"/>
          <w:sz w:val="18"/>
          <w:szCs w:val="18"/>
          <w:color w:val="auto"/>
        </w:rPr>
      </w:pPr>
    </w:p>
    <w:p>
      <w:pPr>
        <w:ind w:right="20" w:firstLine="1304"/>
        <w:spacing w:after="0" w:line="277" w:lineRule="auto"/>
        <w:tabs>
          <w:tab w:leader="none" w:pos="15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Company shall have received a certificate signed by an authorized officer of Parent accuracy of the provisions of the foregoing clauses (a), (b) and (c) of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Sponsor shall have executed and delivered to the Company a copy of the Registration Rights Agreement.</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Sponsor shall have executed and delivered to the Company a copy of the Escrow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600" w:hanging="296"/>
        <w:spacing w:after="0"/>
        <w:tabs>
          <w:tab w:leader="none" w:pos="1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Parent and the Sponsor shall have executed and delivered to Parent a copy of the Voting Agreement.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Parent shall have executed and delivered to the Company a copy of each Additional Agreement to which it or any of its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a party.</w:t>
      </w:r>
    </w:p>
    <w:p>
      <w:pPr>
        <w:spacing w:after="0" w:line="211" w:lineRule="exact"/>
        <w:rPr>
          <w:sz w:val="20"/>
          <w:szCs w:val="20"/>
          <w:color w:val="auto"/>
        </w:rPr>
      </w:pPr>
    </w:p>
    <w:p>
      <w:pPr>
        <w:ind w:left="1560" w:hanging="256"/>
        <w:spacing w:after="0"/>
        <w:tabs>
          <w:tab w:leader="none" w:pos="1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size and composition of the post-Closing Parent Board of Directors shall have been appointed as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600" w:hanging="296"/>
        <w:spacing w:after="0"/>
        <w:tabs>
          <w:tab w:leader="none" w:pos="1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$170,000,000.</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of Parent</w:t>
      </w:r>
      <w:r>
        <w:rPr>
          <w:rFonts w:ascii="Arial" w:cs="Arial" w:eastAsia="Arial" w:hAnsi="Arial"/>
          <w:sz w:val="16"/>
          <w:szCs w:val="16"/>
          <w:color w:val="auto"/>
        </w:rPr>
        <w:t>. From and after the Closing, the Escrow Participants shall, severally and not jointly, indemnify and hold harmless Parent, its officers, directors and Affiliates and their respective successors and permitted assigns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or sustained by Parent as a result of (a) any breach or inaccuracy of any of the representations or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otherwise in connection with the transactions contemplated by this Agreement, shall in no event exceed an amount equal to (i) the Escrow Share Value, </w:t>
      </w:r>
      <w:r>
        <w:rPr>
          <w:rFonts w:ascii="Arial" w:cs="Arial" w:eastAsia="Arial" w:hAnsi="Arial"/>
          <w:sz w:val="16"/>
          <w:szCs w:val="16"/>
          <w:i w:val="1"/>
          <w:iCs w:val="1"/>
          <w:u w:val="single" w:color="auto"/>
          <w:color w:val="auto"/>
        </w:rPr>
        <w:t>multiplied</w:t>
      </w:r>
      <w:r>
        <w:rPr>
          <w:rFonts w:ascii="Arial" w:cs="Arial" w:eastAsia="Arial" w:hAnsi="Arial"/>
          <w:sz w:val="16"/>
          <w:szCs w:val="16"/>
          <w:color w:val="auto"/>
        </w:rPr>
        <w:t xml:space="preserve"> by (ii) the Escrow Shares (the “</w:t>
      </w:r>
      <w:r>
        <w:rPr>
          <w:rFonts w:ascii="Arial" w:cs="Arial" w:eastAsia="Arial" w:hAnsi="Arial"/>
          <w:sz w:val="16"/>
          <w:szCs w:val="16"/>
          <w:u w:val="single" w:color="auto"/>
          <w:color w:val="auto"/>
        </w:rPr>
        <w:t>Indemnifiable Loss Limit</w:t>
      </w:r>
      <w:r>
        <w:rPr>
          <w:rFonts w:ascii="Arial" w:cs="Arial" w:eastAsia="Arial" w:hAnsi="Arial"/>
          <w:sz w:val="16"/>
          <w:szCs w:val="16"/>
          <w:color w:val="auto"/>
        </w:rPr>
        <w:t xml:space="preserve">”). Parent shall not be entitled to indemnification pursuant to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unless and until the aggregate amount of Losses incurred by Parent equals at least $1,612,500 (the “</w:t>
      </w:r>
      <w:r>
        <w:rPr>
          <w:rFonts w:ascii="Arial" w:cs="Arial" w:eastAsia="Arial" w:hAnsi="Arial"/>
          <w:sz w:val="16"/>
          <w:szCs w:val="16"/>
          <w:u w:val="single" w:color="auto"/>
          <w:color w:val="auto"/>
        </w:rPr>
        <w:t>Basket</w:t>
      </w:r>
      <w:r>
        <w:rPr>
          <w:rFonts w:ascii="Arial" w:cs="Arial" w:eastAsia="Arial" w:hAnsi="Arial"/>
          <w:sz w:val="16"/>
          <w:szCs w:val="16"/>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The following shall apply with respect to all claims by an Indemnified Party for indemnification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237" w:lineRule="exact"/>
        <w:rPr>
          <w:sz w:val="20"/>
          <w:szCs w:val="20"/>
          <w:color w:val="auto"/>
        </w:rPr>
      </w:pPr>
    </w:p>
    <w:p>
      <w:pPr>
        <w:jc w:val="both"/>
        <w:ind w:firstLine="1304"/>
        <w:spacing w:after="0" w:line="254" w:lineRule="auto"/>
        <w:tabs>
          <w:tab w:leader="none" w:pos="16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Indemnified Party shall give the Stockholders’ Representative prompt notice (an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Arial" w:cs="Arial" w:eastAsia="Arial" w:hAnsi="Arial"/>
          <w:sz w:val="18"/>
          <w:szCs w:val="18"/>
          <w:u w:val="single" w:color="auto"/>
          <w:color w:val="auto"/>
        </w:rPr>
        <w:t>ARTICLE XI</w:t>
      </w:r>
      <w:r>
        <w:rPr>
          <w:rFonts w:ascii="Arial" w:cs="Arial" w:eastAsia="Arial" w:hAnsi="Arial"/>
          <w:sz w:val="18"/>
          <w:szCs w:val="18"/>
          <w:color w:val="auto"/>
        </w:rPr>
        <w:t>, except to the extent such failure materially prejudices the ability of the Stockholders’ Representative, on behalf of the Escrow Participants (the “</w:t>
      </w:r>
      <w:r>
        <w:rPr>
          <w:rFonts w:ascii="Arial" w:cs="Arial" w:eastAsia="Arial" w:hAnsi="Arial"/>
          <w:sz w:val="18"/>
          <w:szCs w:val="18"/>
          <w:u w:val="single" w:color="auto"/>
          <w:color w:val="auto"/>
        </w:rPr>
        <w:t>Indemnifying Parties</w:t>
      </w:r>
      <w:r>
        <w:rPr>
          <w:rFonts w:ascii="Arial" w:cs="Arial" w:eastAsia="Arial" w:hAnsi="Arial"/>
          <w:sz w:val="18"/>
          <w:szCs w:val="18"/>
          <w:color w:val="auto"/>
        </w:rPr>
        <w:t>”), to defend such claim or increases the amount of such liability.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304"/>
        <w:spacing w:after="0" w:line="296" w:lineRule="auto"/>
        <w:tabs>
          <w:tab w:leader="none" w:pos="16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 (y) retain legal counsel reasonably satisfactory to the Indemnified Party to conduct the defense of such Third-Party Claim.</w:t>
      </w:r>
    </w:p>
    <w:p>
      <w:pPr>
        <w:spacing w:after="0" w:line="161" w:lineRule="exact"/>
        <w:rPr>
          <w:rFonts w:ascii="Arial" w:cs="Arial" w:eastAsia="Arial" w:hAnsi="Arial"/>
          <w:sz w:val="16"/>
          <w:szCs w:val="16"/>
          <w:color w:val="auto"/>
        </w:rPr>
      </w:pPr>
    </w:p>
    <w:p>
      <w:pPr>
        <w:jc w:val="both"/>
        <w:ind w:firstLine="1304"/>
        <w:spacing w:after="0" w:line="269" w:lineRule="auto"/>
        <w:tabs>
          <w:tab w:leader="none" w:pos="1639"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If the Stockholders’ Representative, on behalf of the Indemnifying Parties, assumes the defense of any such Third-Party Claim pursuant to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 (i) 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 fees and expenses of such separate counsel of the Indemnified Party shall be borne by the Indemnifying Parties, subject to the limitations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68" w:lineRule="auto"/>
        <w:tabs>
          <w:tab w:leader="none" w:pos="1677"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If the Stockholders’ Representative elects to assume the defense of any Third-Party Claim pursuant to </w:t>
      </w:r>
      <w:r>
        <w:rPr>
          <w:rFonts w:ascii="Arial" w:cs="Arial" w:eastAsia="Arial" w:hAnsi="Arial"/>
          <w:sz w:val="17"/>
          <w:szCs w:val="17"/>
          <w:u w:val="single" w:color="auto"/>
          <w:color w:val="auto"/>
        </w:rPr>
        <w:t>Section 11.2(b)</w:t>
      </w:r>
      <w:r>
        <w:rPr>
          <w:rFonts w:ascii="Arial" w:cs="Arial" w:eastAsia="Arial" w:hAnsi="Arial"/>
          <w:sz w:val="17"/>
          <w:szCs w:val="17"/>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Arial" w:cs="Arial" w:eastAsia="Arial" w:hAnsi="Arial"/>
          <w:sz w:val="17"/>
          <w:szCs w:val="17"/>
          <w:u w:val="single" w:color="auto"/>
          <w:color w:val="auto"/>
        </w:rPr>
        <w:t>ARTICLE XI</w:t>
      </w:r>
      <w:r>
        <w:rPr>
          <w:rFonts w:ascii="Arial" w:cs="Arial" w:eastAsia="Arial" w:hAnsi="Arial"/>
          <w:sz w:val="17"/>
          <w:szCs w:val="17"/>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69" w:lineRule="auto"/>
        <w:tabs>
          <w:tab w:leader="none" w:pos="161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If the Indemnified Party undertakes the defense of any such Third-Party Claim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81" w:lineRule="exact"/>
        <w:rPr>
          <w:rFonts w:ascii="Arial" w:cs="Arial" w:eastAsia="Arial" w:hAnsi="Arial"/>
          <w:sz w:val="17"/>
          <w:szCs w:val="17"/>
          <w:color w:val="auto"/>
        </w:rPr>
      </w:pPr>
    </w:p>
    <w:p>
      <w:pPr>
        <w:jc w:val="both"/>
        <w:ind w:firstLine="1304"/>
        <w:spacing w:after="0" w:line="342"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Escrow of Escrow Shares by Escrow Participants</w:t>
      </w:r>
      <w:r>
        <w:rPr>
          <w:rFonts w:ascii="Arial" w:cs="Arial" w:eastAsia="Arial" w:hAnsi="Arial"/>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Arial" w:cs="Arial" w:eastAsia="Arial" w:hAnsi="Arial"/>
          <w:sz w:val="18"/>
          <w:szCs w:val="18"/>
          <w:u w:val="single" w:color="auto"/>
          <w:color w:val="auto"/>
        </w:rPr>
        <w:t>Escrow Fund</w:t>
      </w:r>
      <w:r>
        <w:rPr>
          <w:rFonts w:ascii="Arial" w:cs="Arial" w:eastAsia="Arial" w:hAnsi="Arial"/>
          <w:sz w:val="18"/>
          <w:szCs w:val="18"/>
          <w:color w:val="auto"/>
        </w:rPr>
        <w:t xml:space="preserve">”) pursuant to the Escrow Agreement. For purposes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the Escrow Shares are valued at the greater of: (a) $10.00 per share and (b) the VWAP (the “</w:t>
      </w:r>
      <w:r>
        <w:rPr>
          <w:rFonts w:ascii="Arial" w:cs="Arial" w:eastAsia="Arial" w:hAnsi="Arial"/>
          <w:sz w:val="18"/>
          <w:szCs w:val="18"/>
          <w:u w:val="single" w:color="auto"/>
          <w:color w:val="auto"/>
        </w:rPr>
        <w:t>Escrow Share Value</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96" w:lineRule="auto"/>
        <w:tabs>
          <w:tab w:leader="none" w:pos="16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61" w:lineRule="exact"/>
        <w:rPr>
          <w:rFonts w:ascii="Arial" w:cs="Arial" w:eastAsia="Arial" w:hAnsi="Arial"/>
          <w:sz w:val="16"/>
          <w:szCs w:val="16"/>
          <w:color w:val="auto"/>
        </w:rPr>
      </w:pPr>
    </w:p>
    <w:p>
      <w:pPr>
        <w:jc w:val="both"/>
        <w:ind w:firstLine="1304"/>
        <w:spacing w:after="0" w:line="257" w:lineRule="auto"/>
        <w:tabs>
          <w:tab w:leader="none" w:pos="16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At the times provided for in </w:t>
      </w:r>
      <w:r>
        <w:rPr>
          <w:rFonts w:ascii="Arial" w:cs="Arial" w:eastAsia="Arial" w:hAnsi="Arial"/>
          <w:sz w:val="18"/>
          <w:szCs w:val="18"/>
          <w:u w:val="single" w:color="auto"/>
          <w:color w:val="auto"/>
        </w:rPr>
        <w:t>Section 11.3(d)</w:t>
      </w:r>
      <w:r>
        <w:rPr>
          <w:rFonts w:ascii="Arial" w:cs="Arial" w:eastAsia="Arial" w:hAnsi="Arial"/>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 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1599"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69" w:lineRule="auto"/>
        <w:tabs>
          <w:tab w:leader="none" w:pos="1609" w:val="left"/>
        </w:tabs>
        <w:numPr>
          <w:ilvl w:val="0"/>
          <w:numId w:val="73"/>
        </w:numPr>
        <w:rPr>
          <w:rFonts w:ascii="Arial" w:cs="Arial" w:eastAsia="Arial" w:hAnsi="Arial"/>
          <w:sz w:val="17"/>
          <w:szCs w:val="17"/>
          <w:color w:val="auto"/>
        </w:rPr>
      </w:pPr>
      <w:r>
        <w:rPr>
          <w:rFonts w:ascii="Arial" w:cs="Arial" w:eastAsia="Arial" w:hAnsi="Arial"/>
          <w:sz w:val="17"/>
          <w:szCs w:val="17"/>
          <w:color w:val="auto"/>
        </w:rPr>
        <w:t>As soon as practicable, but in no event later than five (5) Business Days, following expiration of the Survival Period (the “</w:t>
      </w: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the Escrow Shares,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Arial" w:cs="Arial" w:eastAsia="Arial" w:hAnsi="Arial"/>
          <w:sz w:val="17"/>
          <w:szCs w:val="17"/>
          <w:u w:val="single" w:color="auto"/>
          <w:color w:val="auto"/>
        </w:rPr>
        <w:t>Section 11.3(d)</w:t>
      </w:r>
      <w:r>
        <w:rPr>
          <w:rFonts w:ascii="Arial" w:cs="Arial" w:eastAsia="Arial" w:hAnsi="Arial"/>
          <w:sz w:val="17"/>
          <w:szCs w:val="17"/>
          <w:color w:val="auto"/>
        </w:rPr>
        <w:t xml:space="preserve">. Promptly, but in no event later than five (5) Business Days, following the resolution, in accordance with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Payment of Indemnification</w:t>
      </w:r>
      <w:r>
        <w:rPr>
          <w:rFonts w:ascii="Arial" w:cs="Arial" w:eastAsia="Arial" w:hAnsi="Arial"/>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(at an assumed value equal to the Escrow Share Value per Escrow Share), in each case, subject to the limitations set forth in this </w:t>
      </w:r>
      <w:r>
        <w:rPr>
          <w:rFonts w:ascii="Arial" w:cs="Arial" w:eastAsia="Arial" w:hAnsi="Arial"/>
          <w:sz w:val="18"/>
          <w:szCs w:val="18"/>
          <w:u w:val="single" w:color="auto"/>
          <w:color w:val="auto"/>
        </w:rPr>
        <w:t>ARTICLE XI</w:t>
      </w:r>
      <w:r>
        <w:rPr>
          <w:rFonts w:ascii="Arial" w:cs="Arial" w:eastAsia="Arial" w:hAnsi="Arial"/>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Insurance</w:t>
      </w:r>
      <w:r>
        <w:rPr>
          <w:rFonts w:ascii="Arial" w:cs="Arial" w:eastAsia="Arial" w:hAnsi="Arial"/>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Survival of Indemnification Rights</w:t>
      </w:r>
      <w:r>
        <w:rPr>
          <w:rFonts w:ascii="Arial" w:cs="Arial" w:eastAsia="Arial" w:hAnsi="Arial"/>
          <w:sz w:val="17"/>
          <w:szCs w:val="17"/>
          <w:color w:val="auto"/>
        </w:rPr>
        <w:t>. The representations and warranties of the Company shall survive until twelve (12) months (the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following the Closing. The covenants of the Company contained in this Agreement to be performed prior to Closing shall expire and be of no further force or effect as of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claim for breach or nonfulfillment may be asserted at any time prior to the expiration of the Survival Period as set forth in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The indemnification to which any Indemnified Party is entitled from the Indemnifying Parties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Sole and Exclusive Remedy</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6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Arial" w:cs="Arial" w:eastAsia="Arial" w:hAnsi="Arial"/>
          <w:sz w:val="18"/>
          <w:szCs w:val="18"/>
          <w:u w:val="single" w:color="auto"/>
          <w:color w:val="auto"/>
        </w:rPr>
        <w:t>Arbitrator</w:t>
      </w:r>
      <w:r>
        <w:rPr>
          <w:rFonts w:ascii="Arial" w:cs="Arial" w:eastAsia="Arial" w:hAnsi="Arial"/>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6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61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71" w:lineRule="exact"/>
        <w:rPr>
          <w:rFonts w:ascii="Arial" w:cs="Arial" w:eastAsia="Arial" w:hAnsi="Arial"/>
          <w:sz w:val="17"/>
          <w:szCs w:val="17"/>
          <w:color w:val="auto"/>
        </w:rPr>
      </w:pPr>
    </w:p>
    <w:p>
      <w:pPr>
        <w:ind w:firstLine="1304"/>
        <w:spacing w:after="0" w:line="277" w:lineRule="auto"/>
        <w:tabs>
          <w:tab w:leader="none" w:pos="16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170" w:lineRule="exact"/>
        <w:rPr>
          <w:rFonts w:ascii="Arial" w:cs="Arial" w:eastAsia="Arial" w:hAnsi="Arial"/>
          <w:sz w:val="18"/>
          <w:szCs w:val="18"/>
          <w:color w:val="auto"/>
        </w:rPr>
      </w:pPr>
    </w:p>
    <w:p>
      <w:pPr>
        <w:jc w:val="both"/>
        <w:ind w:right="20" w:firstLine="1304"/>
        <w:spacing w:after="0" w:line="286" w:lineRule="auto"/>
        <w:tabs>
          <w:tab w:leader="none" w:pos="159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Arbitrator shall limit any discovery or evidence such that his decision shall be rendered within the period referred to in </w:t>
      </w:r>
      <w:r>
        <w:rPr>
          <w:rFonts w:ascii="Arial" w:cs="Arial" w:eastAsia="Arial" w:hAnsi="Arial"/>
          <w:sz w:val="17"/>
          <w:szCs w:val="17"/>
          <w:u w:val="single" w:color="auto"/>
          <w:color w:val="auto"/>
        </w:rPr>
        <w:t>Section 12.1(c)</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4"/>
        <w:spacing w:after="0" w:line="277" w:lineRule="auto"/>
        <w:tabs>
          <w:tab w:leader="none" w:pos="15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Arbitrator may, at his discretion and at the expense of the party who will bear the cost of the arbitration, employ experts to assist him in his determinations.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jc w:val="both"/>
        <w:ind w:firstLine="1304"/>
        <w:spacing w:after="0" w:line="301" w:lineRule="auto"/>
        <w:tabs>
          <w:tab w:leader="none" w:pos="1596"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costs of the arbitration proceeding and any proceeding in court to confirm any arbitration award or to obtain relief as provided in </w:t>
      </w:r>
      <w:r>
        <w:rPr>
          <w:rFonts w:ascii="Arial" w:cs="Arial" w:eastAsia="Arial" w:hAnsi="Arial"/>
          <w:sz w:val="16"/>
          <w:szCs w:val="16"/>
          <w:u w:val="single" w:color="auto"/>
          <w:color w:val="auto"/>
        </w:rPr>
        <w:t>Section 12.1(h)</w:t>
      </w:r>
      <w:r>
        <w:rPr>
          <w:rFonts w:ascii="Arial" w:cs="Arial" w:eastAsia="Arial" w:hAnsi="Arial"/>
          <w:sz w:val="16"/>
          <w:szCs w:val="16"/>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57" w:lineRule="exact"/>
        <w:rPr>
          <w:rFonts w:ascii="Arial" w:cs="Arial" w:eastAsia="Arial" w:hAnsi="Arial"/>
          <w:sz w:val="16"/>
          <w:szCs w:val="16"/>
          <w:color w:val="auto"/>
        </w:rPr>
      </w:pPr>
    </w:p>
    <w:p>
      <w:pPr>
        <w:jc w:val="both"/>
        <w:ind w:firstLine="1304"/>
        <w:spacing w:after="0" w:line="293" w:lineRule="auto"/>
        <w:tabs>
          <w:tab w:leader="none" w:pos="159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64" w:lineRule="exact"/>
        <w:rPr>
          <w:rFonts w:ascii="Arial" w:cs="Arial" w:eastAsia="Arial" w:hAnsi="Arial"/>
          <w:sz w:val="16"/>
          <w:szCs w:val="16"/>
          <w:color w:val="auto"/>
        </w:rPr>
      </w:pPr>
    </w:p>
    <w:p>
      <w:pPr>
        <w:jc w:val="both"/>
        <w:ind w:firstLine="1304"/>
        <w:spacing w:after="0" w:line="311" w:lineRule="auto"/>
        <w:tabs>
          <w:tab w:leader="none" w:pos="15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parties (in the case of the Stockholders’ Representative, solely on behalf of the Company Securityholders) shall indemnify the Arbitrator and any experts employed by the Arbitrator and hold them harmless from and against any claim or demand arising out of any arbitration under this Agreement or any agreement contemplated hereby, unless resulting from the gross negligence or willful misconduct of the person indemnified.</w:t>
      </w:r>
    </w:p>
    <w:p>
      <w:pPr>
        <w:spacing w:after="0" w:line="148" w:lineRule="exact"/>
        <w:rPr>
          <w:rFonts w:ascii="Arial" w:cs="Arial" w:eastAsia="Arial" w:hAnsi="Arial"/>
          <w:sz w:val="16"/>
          <w:szCs w:val="16"/>
          <w:color w:val="auto"/>
        </w:rPr>
      </w:pPr>
    </w:p>
    <w:p>
      <w:pPr>
        <w:jc w:val="both"/>
        <w:ind w:firstLine="1304"/>
        <w:spacing w:after="0" w:line="275" w:lineRule="auto"/>
        <w:tabs>
          <w:tab w:leader="none" w:pos="1556"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Waiver of Jury Trial; Exemplary Damages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15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6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502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Termination Without Default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15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6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Upon Default</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6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Arial" w:cs="Arial" w:eastAsia="Arial" w:hAnsi="Arial"/>
          <w:sz w:val="18"/>
          <w:szCs w:val="18"/>
          <w:u w:val="single" w:color="auto"/>
          <w:color w:val="auto"/>
        </w:rPr>
        <w:t>Section 13.2(a)(ii)</w:t>
      </w:r>
      <w:r>
        <w:rPr>
          <w:rFonts w:ascii="Arial" w:cs="Arial" w:eastAsia="Arial" w:hAnsi="Arial"/>
          <w:sz w:val="18"/>
          <w:szCs w:val="18"/>
          <w:color w:val="auto"/>
        </w:rPr>
        <w:t xml:space="preserve"> at any time (A) prior to the Company Stockholder Written Consent Deadline or (B) after such evidence has been delivered to Parent).</w:t>
      </w:r>
    </w:p>
    <w:p>
      <w:pPr>
        <w:spacing w:after="0" w:line="191" w:lineRule="exact"/>
        <w:rPr>
          <w:rFonts w:ascii="Arial" w:cs="Arial" w:eastAsia="Arial" w:hAnsi="Arial"/>
          <w:sz w:val="18"/>
          <w:szCs w:val="18"/>
          <w:color w:val="auto"/>
        </w:rPr>
      </w:pPr>
    </w:p>
    <w:p>
      <w:pPr>
        <w:jc w:val="both"/>
        <w:ind w:firstLine="1304"/>
        <w:spacing w:after="0" w:line="257" w:lineRule="auto"/>
        <w:tabs>
          <w:tab w:leader="none" w:pos="16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If this Agreement is terminated pursuant to this </w:t>
      </w:r>
      <w:r>
        <w:rPr>
          <w:rFonts w:ascii="Arial" w:cs="Arial" w:eastAsia="Arial" w:hAnsi="Arial"/>
          <w:sz w:val="17"/>
          <w:szCs w:val="17"/>
          <w:u w:val="single" w:color="auto"/>
          <w:color w:val="auto"/>
        </w:rPr>
        <w:t>ARTICLE XIII</w:t>
      </w:r>
      <w:r>
        <w:rPr>
          <w:rFonts w:ascii="Arial" w:cs="Arial" w:eastAsia="Arial" w:hAnsi="Arial"/>
          <w:sz w:val="17"/>
          <w:szCs w:val="17"/>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XII,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shall survive any termination hereof pursuant to this </w:t>
      </w:r>
      <w:r>
        <w:rPr>
          <w:rFonts w:ascii="Arial" w:cs="Arial" w:eastAsia="Arial" w:hAnsi="Arial"/>
          <w:sz w:val="17"/>
          <w:szCs w:val="17"/>
          <w:u w:val="single" w:color="auto"/>
          <w:color w:val="auto"/>
        </w:rPr>
        <w:t>ARTICLE XIII</w:t>
      </w:r>
      <w:r>
        <w:rPr>
          <w:rFonts w:ascii="Arial" w:cs="Arial" w:eastAsia="Arial" w:hAnsi="Arial"/>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 (b) 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(or, following the Closing, the Surviving Corporation or Parent),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 One Kendall Square, 3rd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Attn:</w:t>
        <w:tab/>
        <w:t>Jason Meyenburg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Mitchell S. Bloom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Laurie A. Burlingame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mbloom@goodwinlaw.com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lburlingame@goodwinlaw.com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despinoza@goodwinlaw.com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Stockholders’ Representative, or to the Company Securityholders after Closing,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950 17th Street, Suite 1400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Managing Director</w:t>
      </w:r>
    </w:p>
    <w:p>
      <w:pPr>
        <w:ind w:left="1300"/>
        <w:spacing w:after="0"/>
        <w:rPr>
          <w:sz w:val="20"/>
          <w:szCs w:val="20"/>
          <w:color w:val="auto"/>
        </w:rPr>
      </w:pPr>
      <w:r>
        <w:rPr>
          <w:rFonts w:ascii="Arial" w:cs="Arial" w:eastAsia="Arial" w:hAnsi="Arial"/>
          <w:sz w:val="18"/>
          <w:szCs w:val="18"/>
          <w:color w:val="auto"/>
        </w:rPr>
        <w:t xml:space="preserve">Email: </w:t>
      </w:r>
      <w:r>
        <w:rPr>
          <w:sz w:val="1"/>
          <w:szCs w:val="1"/>
          <w:color w:val="auto"/>
        </w:rPr>
        <w:drawing>
          <wp:inline distT="0" distB="0" distL="0" distR="0">
            <wp:extent cx="1765935" cy="1143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65935" cy="114300"/>
                    </a:xfrm>
                    <a:prstGeom prst="rect">
                      <a:avLst/>
                    </a:prstGeom>
                    <a:noFill/>
                    <a:ln>
                      <a:noFill/>
                    </a:ln>
                  </pic:spPr>
                </pic:pic>
              </a:graphicData>
            </a:graphic>
          </wp:inline>
        </w:drawing>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(303) 623-0294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(303) 648-4085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Dennis Ryan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docs-Investments@foresitecapital.com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Amendments; No Waivers; Remedies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561" w:val="left"/>
        </w:tabs>
        <w:numPr>
          <w:ilvl w:val="0"/>
          <w:numId w:val="79"/>
        </w:numPr>
        <w:rPr>
          <w:rFonts w:ascii="Arial" w:cs="Arial" w:eastAsia="Arial" w:hAnsi="Arial"/>
          <w:sz w:val="17"/>
          <w:szCs w:val="17"/>
          <w:color w:val="auto"/>
        </w:rPr>
      </w:pPr>
      <w:r>
        <w:rPr>
          <w:rFonts w:ascii="Arial" w:cs="Arial" w:eastAsia="Arial" w:hAnsi="Arial"/>
          <w:sz w:val="17"/>
          <w:szCs w:val="17"/>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77" w:lineRule="exact"/>
        <w:rPr>
          <w:rFonts w:ascii="Arial" w:cs="Arial" w:eastAsia="Arial" w:hAnsi="Arial"/>
          <w:sz w:val="17"/>
          <w:szCs w:val="17"/>
          <w:color w:val="auto"/>
        </w:rPr>
      </w:pPr>
    </w:p>
    <w:p>
      <w:pPr>
        <w:ind w:right="20" w:firstLine="1304"/>
        <w:spacing w:after="0" w:line="277" w:lineRule="auto"/>
        <w:tabs>
          <w:tab w:leader="none" w:pos="15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otherwise expressly provided herein, no statement herein of any right or remedy shall impair any other right or remedy stated herein or that otherwise may be available.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Arm’s Length Bargaining; No Presumption Against Drafter</w:t>
      </w:r>
      <w:r>
        <w:rPr>
          <w:rFonts w:ascii="Arial" w:cs="Arial" w:eastAsia="Arial" w:hAnsi="Arial"/>
          <w:sz w:val="16"/>
          <w:szCs w:val="16"/>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Publicity</w:t>
      </w:r>
      <w:r>
        <w:rPr>
          <w:rFonts w:ascii="Arial" w:cs="Arial" w:eastAsia="Arial" w:hAnsi="Arial"/>
          <w:sz w:val="16"/>
          <w:szCs w:val="16"/>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5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Arial" w:cs="Arial" w:eastAsia="Arial" w:hAnsi="Arial"/>
          <w:sz w:val="18"/>
          <w:szCs w:val="18"/>
          <w:u w:val="single" w:color="auto"/>
          <w:color w:val="auto"/>
        </w:rPr>
        <w:t>Schedule 14.5</w:t>
      </w:r>
      <w:r>
        <w:rPr>
          <w:rFonts w:ascii="Arial" w:cs="Arial" w:eastAsia="Arial" w:hAnsi="Arial"/>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No Assignment or Delegation</w:t>
      </w:r>
      <w:r>
        <w:rPr>
          <w:rFonts w:ascii="Arial" w:cs="Arial" w:eastAsia="Arial" w:hAnsi="Arial"/>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Delaware, without giving effect to the conflict of laws principles thereof.</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14.15</w:t>
      </w:r>
      <w:r>
        <w:rPr>
          <w:rFonts w:ascii="Arial" w:cs="Arial" w:eastAsia="Arial" w:hAnsi="Arial"/>
          <w:sz w:val="18"/>
          <w:szCs w:val="18"/>
          <w:color w:val="auto"/>
        </w:rPr>
        <w:t>, neither this Agreement nor any provision hereof confers any benefit or right upon or may be enforced by any Person not a signatory hereto.</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Waiver</w:t>
      </w:r>
      <w:r>
        <w:rPr>
          <w:rFonts w:ascii="Arial" w:cs="Arial" w:eastAsia="Arial" w:hAnsi="Arial"/>
          <w:sz w:val="18"/>
          <w:szCs w:val="18"/>
          <w:color w:val="auto"/>
        </w:rPr>
        <w:t>. Reference is made to the final prospectus of Parent, dated August 13, 2020 (the “</w:t>
      </w:r>
      <w:r>
        <w:rPr>
          <w:rFonts w:ascii="Arial" w:cs="Arial" w:eastAsia="Arial" w:hAnsi="Arial"/>
          <w:sz w:val="18"/>
          <w:szCs w:val="18"/>
          <w:u w:val="single" w:color="auto"/>
          <w:color w:val="auto"/>
        </w:rPr>
        <w:t>Prospectus</w:t>
      </w:r>
      <w:r>
        <w:rPr>
          <w:rFonts w:ascii="Arial" w:cs="Arial" w:eastAsia="Arial" w:hAnsi="Arial"/>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83"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Stockholders’ Representative</w:t>
      </w:r>
      <w:r>
        <w:rPr>
          <w:rFonts w:ascii="Arial" w:cs="Arial" w:eastAsia="Arial" w:hAnsi="Arial"/>
          <w:sz w:val="16"/>
          <w:szCs w:val="16"/>
          <w:color w:val="auto"/>
        </w:rPr>
        <w:t xml:space="preserve">.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 and compromises of and demand arbitration and comply with orders of courts and awards of arbitrators with respect to any indemnification claims (including Third-Party Claims)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6"/>
          <w:szCs w:val="16"/>
          <w:u w:val="single" w:color="auto"/>
          <w:color w:val="auto"/>
        </w:rPr>
        <w:t>Representative Losses</w:t>
      </w:r>
      <w:r>
        <w:rPr>
          <w:rFonts w:ascii="Arial" w:cs="Arial" w:eastAsia="Arial" w:hAnsi="Arial"/>
          <w:sz w:val="16"/>
          <w:szCs w:val="16"/>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Arial" w:cs="Arial" w:eastAsia="Arial" w:hAnsi="Arial"/>
          <w:sz w:val="16"/>
          <w:szCs w:val="16"/>
          <w:u w:val="single" w:color="auto"/>
          <w:color w:val="auto"/>
        </w:rPr>
        <w:t>Section 14.14</w:t>
      </w:r>
      <w:r>
        <w:rPr>
          <w:rFonts w:ascii="Arial" w:cs="Arial" w:eastAsia="Arial" w:hAnsi="Arial"/>
          <w:sz w:val="16"/>
          <w:szCs w:val="16"/>
          <w:color w:val="auto"/>
        </w:rPr>
        <w:t>. The foregoing indemnities will survive the Closing, the resignation or removal of the Stockholders’ Representative or the termination of this Agreement. Upon the Closing, the Company will wire $150,000 (the “</w:t>
      </w:r>
      <w:r>
        <w:rPr>
          <w:rFonts w:ascii="Arial" w:cs="Arial" w:eastAsia="Arial" w:hAnsi="Arial"/>
          <w:sz w:val="16"/>
          <w:szCs w:val="16"/>
          <w:u w:val="single" w:color="auto"/>
          <w:color w:val="auto"/>
        </w:rPr>
        <w:t>Expense</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w:t>
      </w:r>
      <w:r>
        <w:rPr>
          <w:rFonts w:ascii="Arial" w:cs="Arial" w:eastAsia="Arial" w:hAnsi="Arial"/>
          <w:sz w:val="16"/>
          <w:szCs w:val="16"/>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78" w:lineRule="auto"/>
        <w:rPr>
          <w:sz w:val="20"/>
          <w:szCs w:val="20"/>
          <w:color w:val="auto"/>
        </w:rPr>
      </w:pPr>
      <w:r>
        <w:rPr>
          <w:rFonts w:ascii="Arial" w:cs="Arial" w:eastAsia="Arial" w:hAnsi="Arial"/>
          <w:sz w:val="17"/>
          <w:szCs w:val="17"/>
          <w:color w:val="auto"/>
        </w:rPr>
        <w:t xml:space="preserve">14.15 </w:t>
      </w:r>
      <w:r>
        <w:rPr>
          <w:rFonts w:ascii="Arial" w:cs="Arial" w:eastAsia="Arial" w:hAnsi="Arial"/>
          <w:sz w:val="17"/>
          <w:szCs w:val="17"/>
          <w:u w:val="single" w:color="auto"/>
          <w:color w:val="auto"/>
        </w:rPr>
        <w:t>Non-Recourse</w:t>
      </w:r>
      <w:r>
        <w:rPr>
          <w:rFonts w:ascii="Arial" w:cs="Arial" w:eastAsia="Arial" w:hAnsi="Arial"/>
          <w:sz w:val="17"/>
          <w:szCs w:val="17"/>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7"/>
          <w:szCs w:val="17"/>
          <w:u w:val="single" w:color="auto"/>
          <w:color w:val="auto"/>
        </w:rPr>
        <w:t>Section 14.15</w:t>
      </w:r>
      <w:r>
        <w:rPr>
          <w:rFonts w:ascii="Arial" w:cs="Arial" w:eastAsia="Arial" w:hAnsi="Arial"/>
          <w:sz w:val="17"/>
          <w:szCs w:val="17"/>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Arial" w:cs="Arial" w:eastAsia="Arial" w:hAnsi="Arial"/>
          <w:sz w:val="17"/>
          <w:szCs w:val="17"/>
          <w:u w:val="single" w:color="auto"/>
          <w:color w:val="auto"/>
        </w:rPr>
        <w:t>Section 14.15</w:t>
      </w:r>
      <w:r>
        <w:rPr>
          <w:rFonts w:ascii="Arial" w:cs="Arial" w:eastAsia="Arial" w:hAnsi="Arial"/>
          <w:sz w:val="17"/>
          <w:szCs w:val="17"/>
          <w:color w:val="auto"/>
        </w:rPr>
        <w:t xml:space="preserve"> shall not apply to </w:t>
      </w:r>
      <w:r>
        <w:rPr>
          <w:rFonts w:ascii="Arial" w:cs="Arial" w:eastAsia="Arial" w:hAnsi="Arial"/>
          <w:sz w:val="17"/>
          <w:szCs w:val="17"/>
          <w:u w:val="single" w:color="auto"/>
          <w:color w:val="auto"/>
        </w:rPr>
        <w:t>Section 14.14</w:t>
      </w:r>
      <w:r>
        <w:rPr>
          <w:rFonts w:ascii="Arial" w:cs="Arial" w:eastAsia="Arial" w:hAnsi="Arial"/>
          <w:sz w:val="17"/>
          <w:szCs w:val="17"/>
          <w:color w:val="auto"/>
        </w:rPr>
        <w:t>, which shall be enforceable by the Stockholders’ Representative in its entirety against the Company Securityholders.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89" w:lineRule="auto"/>
        <w:rPr>
          <w:sz w:val="20"/>
          <w:szCs w:val="20"/>
          <w:color w:val="auto"/>
        </w:rPr>
      </w:pPr>
      <w:r>
        <w:rPr>
          <w:rFonts w:ascii="Arial" w:cs="Arial" w:eastAsia="Arial" w:hAnsi="Arial"/>
          <w:sz w:val="16"/>
          <w:szCs w:val="16"/>
          <w:color w:val="auto"/>
        </w:rPr>
        <w:t xml:space="preserve">14.16 </w:t>
      </w:r>
      <w:r>
        <w:rPr>
          <w:rFonts w:ascii="Arial" w:cs="Arial" w:eastAsia="Arial" w:hAnsi="Arial"/>
          <w:sz w:val="16"/>
          <w:szCs w:val="16"/>
          <w:u w:val="single" w:color="auto"/>
          <w:color w:val="auto"/>
        </w:rPr>
        <w:t>No Other Representations; No Reliance</w:t>
      </w:r>
      <w:r>
        <w:rPr>
          <w:rFonts w:ascii="Arial" w:cs="Arial" w:eastAsia="Arial" w:hAnsi="Arial"/>
          <w:sz w:val="16"/>
          <w:szCs w:val="16"/>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Except for the specific representations and warranties expressly made by the Company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 signature pages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3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Merger Sub:</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FSG MERGER SUB,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GEMINI THERAPEUTICS, INC.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Stockholders’ Representative: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SHAREHOLDER REPRESENTATIVE SERVICES LLC,</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solely in its capacity as the Stockholders’ Representative</w:t>
      </w:r>
    </w:p>
    <w:p>
      <w:pPr>
        <w:spacing w:after="0" w:line="234"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Sam Riffe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908" w:right="639" w:bottom="1440" w:gutter="0" w:footer="0" w:header="0"/>
        </w:sectPr>
      </w:pPr>
    </w:p>
    <w:bookmarkStart w:id="76" w:name="page77"/>
    <w:bookmarkEnd w:id="76"/>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SUPPORT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COMPANY SUPPORT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October 15, 2020, by and among FS Development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the persons set forth on Schedule I attached hereto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Stockholders</w:t>
      </w:r>
      <w:r>
        <w:rPr>
          <w:rFonts w:ascii="Arial" w:cs="Arial" w:eastAsia="Arial" w:hAnsi="Arial"/>
          <w:sz w:val="17"/>
          <w:szCs w:val="17"/>
          <w:color w:val="auto"/>
        </w:rPr>
        <w:t>”). Each of Parent and each Stockholder are sometimes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ascribed to them in the Merger Agreement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herewith, Parent, FSG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FS Development Holdings, LLC,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Shareholder Representative Services LLC, as the Stockholders’ Representative, and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are entering into that certain Agreement and Plan of Merger (as amended, supplemented or otherwise modified from time to time in accordance with its terms,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Stockholder is the record and beneficial owner of the number and type of Company Securities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any other Company Securities or other eqiuty interest (including anything convertible into such equity interests) of the Company that each Stockholder acquires record or beneficial ownership after the date hereof, collectively, the “</w:t>
      </w:r>
      <w:r>
        <w:rPr>
          <w:rFonts w:ascii="Arial" w:cs="Arial" w:eastAsia="Arial" w:hAnsi="Arial"/>
          <w:sz w:val="17"/>
          <w:szCs w:val="17"/>
          <w:u w:val="single" w:color="auto"/>
          <w:color w:val="auto"/>
        </w:rPr>
        <w:t>Subject Company Shares</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consideration for the benefits to be received by each Stockholder under the terms of the Merger Agreement and as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acknowledge and agree that Parent and the other Parent Parties would not have entered into and agreed to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the Merger Agreement without each Stockholder entering into this Agreement and agreeing to be bound by the agreements, covenants and obligations contained in this Agreement.</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the Parties, each intending to be legally bound, hereby agree as follows: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Company Stockholder Consent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639"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Arial" w:cs="Arial" w:eastAsia="Arial" w:hAnsi="Arial"/>
          <w:sz w:val="17"/>
          <w:szCs w:val="17"/>
          <w:u w:val="single" w:color="auto"/>
          <w:color w:val="auto"/>
        </w:rPr>
        <w:t>Section 1(a)</w:t>
      </w:r>
      <w:r>
        <w:rPr>
          <w:rFonts w:ascii="Arial" w:cs="Arial" w:eastAsia="Arial" w:hAnsi="Arial"/>
          <w:sz w:val="17"/>
          <w:szCs w:val="17"/>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80" w:lineRule="exact"/>
        <w:rPr>
          <w:rFonts w:ascii="Arial" w:cs="Arial" w:eastAsia="Arial" w:hAnsi="Arial"/>
          <w:sz w:val="17"/>
          <w:szCs w:val="17"/>
          <w:color w:val="auto"/>
        </w:rPr>
      </w:pPr>
    </w:p>
    <w:p>
      <w:pPr>
        <w:ind w:left="2860" w:hanging="260"/>
        <w:spacing w:after="0"/>
        <w:tabs>
          <w:tab w:leader="none" w:pos="2860" w:val="left"/>
        </w:tabs>
        <w:numPr>
          <w:ilvl w:val="2"/>
          <w:numId w:val="80"/>
        </w:numPr>
        <w:rPr>
          <w:rFonts w:ascii="Arial" w:cs="Arial" w:eastAsia="Arial" w:hAnsi="Arial"/>
          <w:sz w:val="17"/>
          <w:szCs w:val="17"/>
          <w:color w:val="auto"/>
        </w:rPr>
      </w:pPr>
      <w:r>
        <w:rPr>
          <w:rFonts w:ascii="Arial" w:cs="Arial" w:eastAsia="Arial" w:hAnsi="Arial"/>
          <w:sz w:val="17"/>
          <w:szCs w:val="17"/>
          <w:color w:val="auto"/>
        </w:rPr>
        <w:t>to approve and adopt the Merger Agreement and the transactions contemplated thereby, including the Merger;</w:t>
      </w:r>
    </w:p>
    <w:p>
      <w:pPr>
        <w:spacing w:after="0" w:line="236" w:lineRule="exact"/>
        <w:rPr>
          <w:rFonts w:ascii="Arial" w:cs="Arial" w:eastAsia="Arial" w:hAnsi="Arial"/>
          <w:sz w:val="17"/>
          <w:szCs w:val="17"/>
          <w:color w:val="auto"/>
        </w:rPr>
      </w:pPr>
    </w:p>
    <w:p>
      <w:pPr>
        <w:jc w:val="both"/>
        <w:ind w:left="1300" w:firstLine="1300"/>
        <w:spacing w:after="0" w:line="259" w:lineRule="auto"/>
        <w:tabs>
          <w:tab w:leader="none" w:pos="2906"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86" w:lineRule="exact"/>
        <w:rPr>
          <w:rFonts w:ascii="Arial" w:cs="Arial" w:eastAsia="Arial" w:hAnsi="Arial"/>
          <w:sz w:val="18"/>
          <w:szCs w:val="18"/>
          <w:color w:val="auto"/>
        </w:rPr>
      </w:pPr>
    </w:p>
    <w:p>
      <w:pPr>
        <w:jc w:val="both"/>
        <w:ind w:left="1300" w:firstLine="1300"/>
        <w:spacing w:after="0" w:line="263" w:lineRule="auto"/>
        <w:tabs>
          <w:tab w:leader="none" w:pos="2983" w:val="left"/>
        </w:tabs>
        <w:numPr>
          <w:ilvl w:val="2"/>
          <w:numId w:val="80"/>
        </w:numPr>
        <w:rPr>
          <w:rFonts w:ascii="Arial" w:cs="Arial" w:eastAsia="Arial" w:hAnsi="Arial"/>
          <w:sz w:val="18"/>
          <w:szCs w:val="18"/>
          <w:color w:val="auto"/>
        </w:rPr>
      </w:pPr>
      <w:r>
        <w:rPr>
          <w:rFonts w:ascii="Arial" w:cs="Arial" w:eastAsia="Arial" w:hAnsi="Arial"/>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83" w:lineRule="exact"/>
        <w:rPr>
          <w:rFonts w:ascii="Arial" w:cs="Arial" w:eastAsia="Arial" w:hAnsi="Arial"/>
          <w:sz w:val="18"/>
          <w:szCs w:val="18"/>
          <w:color w:val="auto"/>
        </w:rPr>
      </w:pPr>
    </w:p>
    <w:p>
      <w:pPr>
        <w:jc w:val="both"/>
        <w:ind w:left="1300" w:firstLine="1300"/>
        <w:spacing w:after="0" w:line="259" w:lineRule="auto"/>
        <w:tabs>
          <w:tab w:leader="none" w:pos="2946" w:val="left"/>
        </w:tabs>
        <w:numPr>
          <w:ilvl w:val="2"/>
          <w:numId w:val="80"/>
        </w:numPr>
        <w:rPr>
          <w:rFonts w:ascii="Arial" w:cs="Arial" w:eastAsia="Arial" w:hAnsi="Arial"/>
          <w:sz w:val="18"/>
          <w:szCs w:val="18"/>
          <w:color w:val="auto"/>
        </w:rPr>
      </w:pPr>
      <w:r>
        <w:rPr>
          <w:rFonts w:ascii="Arial" w:cs="Arial" w:eastAsia="Arial" w:hAnsi="Arial"/>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636"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69" w:lineRule="auto"/>
        <w:tabs>
          <w:tab w:leader="none" w:pos="1585"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The proxy granted by each Stockholder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and with respect to the matters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The proxyholder may not exercise the proxy granted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on any matter except those provided in </w:t>
      </w:r>
      <w:r>
        <w:rPr>
          <w:rFonts w:ascii="Arial" w:cs="Arial" w:eastAsia="Arial" w:hAnsi="Arial"/>
          <w:sz w:val="17"/>
          <w:szCs w:val="17"/>
          <w:u w:val="single" w:color="auto"/>
          <w:color w:val="auto"/>
        </w:rPr>
        <w:t>Section 1(a)</w:t>
      </w:r>
      <w:r>
        <w:rPr>
          <w:rFonts w:ascii="Arial" w:cs="Arial" w:eastAsia="Arial" w:hAnsi="Arial"/>
          <w:sz w:val="17"/>
          <w:szCs w:val="17"/>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304"/>
        <w:spacing w:after="0" w:line="271" w:lineRule="auto"/>
        <w:tabs>
          <w:tab w:leader="none" w:pos="1609" w:val="left"/>
        </w:tabs>
        <w:numPr>
          <w:ilvl w:val="2"/>
          <w:numId w:val="81"/>
        </w:numPr>
        <w:rPr>
          <w:rFonts w:ascii="Arial" w:cs="Arial" w:eastAsia="Arial" w:hAnsi="Arial"/>
          <w:sz w:val="17"/>
          <w:szCs w:val="17"/>
          <w:color w:val="auto"/>
        </w:rPr>
      </w:pPr>
      <w:r>
        <w:rPr>
          <w:rFonts w:ascii="Arial" w:cs="Arial" w:eastAsia="Arial" w:hAnsi="Arial"/>
          <w:sz w:val="17"/>
          <w:szCs w:val="17"/>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78" w:lineRule="exact"/>
        <w:rPr>
          <w:rFonts w:ascii="Arial" w:cs="Arial" w:eastAsia="Arial" w:hAnsi="Arial"/>
          <w:sz w:val="17"/>
          <w:szCs w:val="17"/>
          <w:color w:val="auto"/>
        </w:rPr>
      </w:pPr>
    </w:p>
    <w:p>
      <w:pPr>
        <w:ind w:firstLine="1304"/>
        <w:spacing w:after="0" w:line="308" w:lineRule="auto"/>
        <w:tabs>
          <w:tab w:leader="none" w:pos="1585" w:val="left"/>
        </w:tabs>
        <w:numPr>
          <w:ilvl w:val="2"/>
          <w:numId w:val="81"/>
        </w:numPr>
        <w:rPr>
          <w:rFonts w:ascii="Arial" w:cs="Arial" w:eastAsia="Arial" w:hAnsi="Arial"/>
          <w:sz w:val="17"/>
          <w:szCs w:val="17"/>
          <w:color w:val="auto"/>
        </w:rPr>
      </w:pPr>
      <w:r>
        <w:rPr>
          <w:rFonts w:ascii="Arial" w:cs="Arial" w:eastAsia="Arial" w:hAnsi="Arial"/>
          <w:sz w:val="17"/>
          <w:szCs w:val="17"/>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6" w:lineRule="exact"/>
        <w:rPr>
          <w:rFonts w:ascii="Arial" w:cs="Arial" w:eastAsia="Arial" w:hAnsi="Arial"/>
          <w:sz w:val="17"/>
          <w:szCs w:val="17"/>
          <w:color w:val="auto"/>
        </w:rPr>
      </w:pPr>
    </w:p>
    <w:p>
      <w:pPr>
        <w:ind w:left="880" w:hanging="224"/>
        <w:spacing w:after="0"/>
        <w:tabs>
          <w:tab w:leader="none" w:pos="88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85" w:val="left"/>
        </w:tabs>
        <w:numPr>
          <w:ilvl w:val="2"/>
          <w:numId w:val="82"/>
        </w:numPr>
        <w:rPr>
          <w:rFonts w:ascii="Arial" w:cs="Arial" w:eastAsia="Arial" w:hAnsi="Arial"/>
          <w:sz w:val="16"/>
          <w:szCs w:val="16"/>
          <w:color w:val="auto"/>
        </w:rPr>
      </w:pPr>
      <w:r>
        <w:rPr>
          <w:rFonts w:ascii="Arial" w:cs="Arial" w:eastAsia="Arial" w:hAnsi="Arial"/>
          <w:sz w:val="16"/>
          <w:szCs w:val="16"/>
          <w:color w:val="auto"/>
        </w:rPr>
        <w:t xml:space="preserve">Each Stockholder hereby agrees that, notwithstanding anything to the contrary in any such agreement, (i) each of the agreements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indemnification provisions that are contemplated to survive the agreement marked with an asterisk</w:t>
      </w:r>
    </w:p>
    <w:p>
      <w:pPr>
        <w:spacing w:after="0" w:line="1" w:lineRule="exact"/>
        <w:rPr>
          <w:rFonts w:ascii="Arial" w:cs="Arial" w:eastAsia="Arial" w:hAnsi="Arial"/>
          <w:sz w:val="16"/>
          <w:szCs w:val="16"/>
          <w:color w:val="auto"/>
        </w:rPr>
      </w:pPr>
    </w:p>
    <w:p>
      <w:pPr>
        <w:jc w:val="both"/>
        <w:ind w:firstLine="8"/>
        <w:spacing w:after="0" w:line="255"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89" w:lineRule="exact"/>
        <w:rPr>
          <w:rFonts w:ascii="Arial" w:cs="Arial" w:eastAsia="Arial" w:hAnsi="Arial"/>
          <w:sz w:val="18"/>
          <w:szCs w:val="18"/>
          <w:color w:val="auto"/>
        </w:rPr>
      </w:pPr>
    </w:p>
    <w:p>
      <w:pPr>
        <w:jc w:val="both"/>
        <w:ind w:firstLine="1304"/>
        <w:spacing w:after="0" w:line="275" w:lineRule="auto"/>
        <w:tabs>
          <w:tab w:leader="none" w:pos="1650" w:val="left"/>
        </w:tabs>
        <w:numPr>
          <w:ilvl w:val="2"/>
          <w:numId w:val="83"/>
        </w:numPr>
        <w:rPr>
          <w:rFonts w:ascii="Arial" w:cs="Arial" w:eastAsia="Arial" w:hAnsi="Arial"/>
          <w:sz w:val="17"/>
          <w:szCs w:val="17"/>
          <w:color w:val="auto"/>
        </w:rPr>
      </w:pPr>
      <w:r>
        <w:rPr>
          <w:rFonts w:ascii="Arial" w:cs="Arial" w:eastAsia="Arial" w:hAnsi="Arial"/>
          <w:sz w:val="17"/>
          <w:szCs w:val="17"/>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85" w:val="left"/>
        </w:tabs>
        <w:numPr>
          <w:ilvl w:val="2"/>
          <w:numId w:val="83"/>
        </w:numPr>
        <w:rPr>
          <w:rFonts w:ascii="Arial" w:cs="Arial" w:eastAsia="Arial" w:hAnsi="Arial"/>
          <w:sz w:val="18"/>
          <w:szCs w:val="18"/>
          <w:color w:val="auto"/>
        </w:rPr>
      </w:pPr>
      <w:r>
        <w:rPr>
          <w:rFonts w:ascii="Arial" w:cs="Arial" w:eastAsia="Arial" w:hAnsi="Arial"/>
          <w:sz w:val="18"/>
          <w:szCs w:val="18"/>
          <w:color w:val="auto"/>
        </w:rPr>
        <w:t>On the Closing Date, each Stockholder shall deliver to Parent a duly executed copy of that (i) certain Registration Rights Agreement, by and among Parent, the Company and the Specified Company Securityholders party thereto, in substantially the form attached as Exhibit F to the Merger Agreement and (ii) certain Voting Agreement, by and among Parent, the Company and the Specified Company Securityholders party thereto, in substantially the form attached as Exhibit D to the Merger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840" w:hanging="184"/>
        <w:spacing w:after="0"/>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 and Warranties</w:t>
      </w:r>
      <w:r>
        <w:rPr>
          <w:rFonts w:ascii="Arial" w:cs="Arial" w:eastAsia="Arial" w:hAnsi="Arial"/>
          <w:sz w:val="18"/>
          <w:szCs w:val="18"/>
          <w:color w:val="auto"/>
        </w:rPr>
        <w:t>. Each Stockholder represents and warrants to Parent as follows: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85"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609"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585"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92" w:lineRule="exact"/>
        <w:rPr>
          <w:rFonts w:ascii="Arial" w:cs="Arial" w:eastAsia="Arial" w:hAnsi="Arial"/>
          <w:sz w:val="18"/>
          <w:szCs w:val="18"/>
          <w:color w:val="auto"/>
        </w:rPr>
      </w:pPr>
    </w:p>
    <w:p>
      <w:pPr>
        <w:jc w:val="both"/>
        <w:ind w:firstLine="1304"/>
        <w:spacing w:after="0" w:line="289" w:lineRule="auto"/>
        <w:tabs>
          <w:tab w:leader="none" w:pos="16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 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directly above, as would not adversely affect the ability of such Stockholder to perform, or otherwise comply with, any of its covenants, agreements or obligations hereunder in any material respect.</w:t>
      </w:r>
    </w:p>
    <w:p>
      <w:pPr>
        <w:spacing w:after="0" w:line="166" w:lineRule="exact"/>
        <w:rPr>
          <w:rFonts w:ascii="Arial" w:cs="Arial" w:eastAsia="Arial" w:hAnsi="Arial"/>
          <w:sz w:val="16"/>
          <w:szCs w:val="16"/>
          <w:color w:val="auto"/>
        </w:rPr>
      </w:pPr>
    </w:p>
    <w:p>
      <w:pPr>
        <w:jc w:val="both"/>
        <w:ind w:firstLine="1304"/>
        <w:spacing w:after="0" w:line="270" w:lineRule="auto"/>
        <w:tabs>
          <w:tab w:leader="none" w:pos="1599"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 (ii) any voting trust, proxy or other Contract with respect to the voting or Transfer of any of the Subject Company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1304"/>
        <w:spacing w:after="0" w:line="279" w:lineRule="auto"/>
        <w:tabs>
          <w:tab w:leader="none" w:pos="1566" w:val="left"/>
        </w:tabs>
        <w:numPr>
          <w:ilvl w:val="2"/>
          <w:numId w:val="85"/>
        </w:numPr>
        <w:rPr>
          <w:rFonts w:ascii="Arial" w:cs="Arial" w:eastAsia="Arial" w:hAnsi="Arial"/>
          <w:sz w:val="17"/>
          <w:szCs w:val="17"/>
          <w:color w:val="auto"/>
        </w:rPr>
      </w:pPr>
      <w:r>
        <w:rPr>
          <w:rFonts w:ascii="Arial" w:cs="Arial" w:eastAsia="Arial" w:hAnsi="Arial"/>
          <w:sz w:val="17"/>
          <w:szCs w:val="17"/>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71" w:lineRule="exact"/>
        <w:rPr>
          <w:rFonts w:ascii="Arial" w:cs="Arial" w:eastAsia="Arial" w:hAnsi="Arial"/>
          <w:sz w:val="17"/>
          <w:szCs w:val="17"/>
          <w:color w:val="auto"/>
        </w:rPr>
      </w:pPr>
    </w:p>
    <w:p>
      <w:pPr>
        <w:jc w:val="both"/>
        <w:ind w:firstLine="1304"/>
        <w:spacing w:after="0" w:line="293" w:lineRule="auto"/>
        <w:tabs>
          <w:tab w:leader="none" w:pos="1596" w:val="left"/>
        </w:tabs>
        <w:numPr>
          <w:ilvl w:val="2"/>
          <w:numId w:val="85"/>
        </w:numPr>
        <w:rPr>
          <w:rFonts w:ascii="Arial" w:cs="Arial" w:eastAsia="Arial" w:hAnsi="Arial"/>
          <w:sz w:val="16"/>
          <w:szCs w:val="16"/>
          <w:color w:val="auto"/>
        </w:rPr>
      </w:pPr>
      <w:r>
        <w:rPr>
          <w:rFonts w:ascii="Arial" w:cs="Arial" w:eastAsia="Arial" w:hAnsi="Arial"/>
          <w:sz w:val="16"/>
          <w:szCs w:val="16"/>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64" w:lineRule="exact"/>
        <w:rPr>
          <w:rFonts w:ascii="Arial" w:cs="Arial" w:eastAsia="Arial" w:hAnsi="Arial"/>
          <w:sz w:val="16"/>
          <w:szCs w:val="16"/>
          <w:color w:val="auto"/>
        </w:rPr>
      </w:pPr>
    </w:p>
    <w:p>
      <w:pPr>
        <w:jc w:val="both"/>
        <w:ind w:firstLine="1304"/>
        <w:spacing w:after="0" w:line="270" w:lineRule="auto"/>
        <w:tabs>
          <w:tab w:leader="none" w:pos="1596" w:val="left"/>
        </w:tabs>
        <w:numPr>
          <w:ilvl w:val="2"/>
          <w:numId w:val="85"/>
        </w:numPr>
        <w:rPr>
          <w:rFonts w:ascii="Arial" w:cs="Arial" w:eastAsia="Arial" w:hAnsi="Arial"/>
          <w:sz w:val="17"/>
          <w:szCs w:val="17"/>
          <w:color w:val="auto"/>
        </w:rPr>
      </w:pPr>
      <w:r>
        <w:rPr>
          <w:rFonts w:ascii="Arial" w:cs="Arial" w:eastAsia="Arial" w:hAnsi="Arial"/>
          <w:sz w:val="17"/>
          <w:szCs w:val="17"/>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80" w:lineRule="exact"/>
        <w:rPr>
          <w:rFonts w:ascii="Arial" w:cs="Arial" w:eastAsia="Arial" w:hAnsi="Arial"/>
          <w:sz w:val="17"/>
          <w:szCs w:val="17"/>
          <w:color w:val="auto"/>
        </w:rPr>
      </w:pPr>
    </w:p>
    <w:p>
      <w:pPr>
        <w:jc w:val="both"/>
        <w:ind w:firstLine="656"/>
        <w:spacing w:after="0" w:line="286" w:lineRule="auto"/>
        <w:tabs>
          <w:tab w:leader="none" w:pos="88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Transfer of Subject Securities</w:t>
      </w:r>
      <w:r>
        <w:rPr>
          <w:rFonts w:ascii="Arial" w:cs="Arial" w:eastAsia="Arial" w:hAnsi="Arial"/>
          <w:sz w:val="16"/>
          <w:szCs w:val="16"/>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 (i) any option, warrant, purchase right, or other Contract that would (either alone or in connection with one or more events or developments (including the satisfaction or waiver of any conditions precedent)) require such Stockholder to Transfer the Subject Company Shares or</w:t>
      </w:r>
    </w:p>
    <w:p>
      <w:pPr>
        <w:spacing w:after="0" w:line="1" w:lineRule="exact"/>
        <w:rPr>
          <w:rFonts w:ascii="Arial" w:cs="Arial" w:eastAsia="Arial" w:hAnsi="Arial"/>
          <w:sz w:val="16"/>
          <w:szCs w:val="16"/>
          <w:color w:val="auto"/>
        </w:rPr>
      </w:pPr>
    </w:p>
    <w:p>
      <w:pPr>
        <w:jc w:val="both"/>
        <w:ind w:firstLine="8"/>
        <w:spacing w:after="0" w:line="253" w:lineRule="auto"/>
        <w:tabs>
          <w:tab w:leader="none" w:pos="2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5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automatically terminate, without any notice or other action by any Party, and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1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76"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 FS Development Corp.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Jim Tananbaum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New York 10020-1095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Stockholder, to the address specified by such Stockholder in writing.</w:t>
      </w:r>
    </w:p>
    <w:p>
      <w:pPr>
        <w:spacing w:after="0" w:line="225" w:lineRule="exact"/>
        <w:rPr>
          <w:sz w:val="20"/>
          <w:szCs w:val="20"/>
          <w:color w:val="auto"/>
        </w:rPr>
      </w:pPr>
    </w:p>
    <w:p>
      <w:pPr>
        <w:jc w:val="center"/>
        <w:ind w:right="6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Mitchell S. Bloom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despinoza@goodwinlaw.com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given may have previously furnished to the others in writing in the manner set forth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56"/>
        <w:spacing w:after="0" w:line="286" w:lineRule="auto"/>
        <w:tabs>
          <w:tab w:leader="none" w:pos="87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Amendments and Waivers; Assignment</w:t>
      </w:r>
      <w:r>
        <w:rPr>
          <w:rFonts w:ascii="Arial" w:cs="Arial" w:eastAsia="Arial" w:hAnsi="Arial"/>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7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996"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5" w:lineRule="exact"/>
        <w:rPr>
          <w:rFonts w:ascii="Arial" w:cs="Arial" w:eastAsia="Arial" w:hAnsi="Arial"/>
          <w:sz w:val="17"/>
          <w:szCs w:val="17"/>
          <w:color w:val="auto"/>
        </w:rPr>
      </w:pPr>
    </w:p>
    <w:p>
      <w:pPr>
        <w:jc w:val="both"/>
        <w:ind w:firstLine="656"/>
        <w:spacing w:after="0" w:line="259" w:lineRule="auto"/>
        <w:tabs>
          <w:tab w:leader="none" w:pos="96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86" w:lineRule="exact"/>
        <w:rPr>
          <w:rFonts w:ascii="Arial" w:cs="Arial" w:eastAsia="Arial" w:hAnsi="Arial"/>
          <w:sz w:val="18"/>
          <w:szCs w:val="18"/>
          <w:color w:val="auto"/>
        </w:rPr>
      </w:pPr>
    </w:p>
    <w:p>
      <w:pPr>
        <w:ind w:firstLine="656"/>
        <w:spacing w:after="0" w:line="277" w:lineRule="auto"/>
        <w:tabs>
          <w:tab w:leader="none" w:pos="97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IN WITNESS WHEREOF, the Parties have executed and delivered this Company Support Agreement as of the date first 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60"/>
          </w:cols>
          <w:pgMar w:left="980" w:top="908" w:right="1159" w:bottom="1440" w:gutter="0" w:footer="0" w:header="0"/>
        </w:sectPr>
      </w:pPr>
    </w:p>
    <w:bookmarkStart w:id="84" w:name="page85"/>
    <w:bookmarkEnd w:id="84"/>
    <w:p>
      <w:pPr>
        <w:ind w:left="5640"/>
        <w:spacing w:after="0"/>
        <w:rPr>
          <w:sz w:val="20"/>
          <w:szCs w:val="20"/>
          <w:color w:val="auto"/>
        </w:rPr>
      </w:pPr>
      <w:r>
        <w:rPr>
          <w:rFonts w:ascii="Arial" w:cs="Arial" w:eastAsia="Arial" w:hAnsi="Arial"/>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5" w:name="page86"/>
    <w:bookmarkEnd w:id="85"/>
    <w:p>
      <w:pPr>
        <w:ind w:left="56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86" w:name="page87"/>
    <w:bookmarkEnd w:id="86"/>
    <w:p>
      <w:pPr>
        <w:ind w:left="564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Atlas Venture Associates X, L.P.</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Atlas Venture Associates X, LLC</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7" w:name="page88"/>
    <w:bookmarkEnd w:id="87"/>
    <w:p>
      <w:pPr>
        <w:ind w:left="5640"/>
        <w:spacing w:after="0"/>
        <w:rPr>
          <w:sz w:val="20"/>
          <w:szCs w:val="20"/>
          <w:color w:val="auto"/>
        </w:rPr>
      </w:pPr>
      <w:r>
        <w:rPr>
          <w:rFonts w:ascii="Arial" w:cs="Arial" w:eastAsia="Arial" w:hAnsi="Arial"/>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Wu Capital Investment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Series A</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Series B</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amount under</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5080" w:type="dxa"/>
            <w:vAlign w:val="bottom"/>
          </w:tcPr>
          <w:p>
            <w:pPr>
              <w:spacing w:after="0"/>
              <w:rPr>
                <w:sz w:val="20"/>
                <w:szCs w:val="20"/>
                <w:color w:val="auto"/>
              </w:rPr>
            </w:pPr>
            <w:r>
              <w:rPr>
                <w:rFonts w:ascii="Arial" w:cs="Arial" w:eastAsia="Arial" w:hAnsi="Arial"/>
                <w:sz w:val="18"/>
                <w:szCs w:val="18"/>
                <w:b w:val="1"/>
                <w:bCs w:val="1"/>
                <w:color w:val="auto"/>
              </w:rPr>
              <w:t>Name of Stockholder</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Note</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11,653,137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Lightstone Ventures (A), L.P.</w:t>
            </w:r>
          </w:p>
        </w:tc>
        <w:tc>
          <w:tcPr>
            <w:tcW w:w="3620" w:type="dxa"/>
            <w:vAlign w:val="bottom"/>
            <w:gridSpan w:val="5"/>
          </w:tcPr>
          <w:p>
            <w:pPr>
              <w:jc w:val="right"/>
              <w:ind w:right="240"/>
              <w:spacing w:after="0"/>
              <w:rPr>
                <w:sz w:val="20"/>
                <w:szCs w:val="20"/>
                <w:color w:val="auto"/>
              </w:rPr>
            </w:pPr>
            <w:r>
              <w:rPr>
                <w:rFonts w:ascii="Arial" w:cs="Arial" w:eastAsia="Arial" w:hAnsi="Arial"/>
                <w:sz w:val="18"/>
                <w:szCs w:val="18"/>
                <w:color w:val="auto"/>
              </w:rPr>
              <w:t>1,587,559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133,112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Lightstone Singapore L.P.</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3,700,139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OrbiMed Private Investments VI, L.P.</w:t>
            </w:r>
          </w:p>
        </w:tc>
        <w:tc>
          <w:tcPr>
            <w:tcW w:w="3620" w:type="dxa"/>
            <w:vAlign w:val="bottom"/>
            <w:gridSpan w:val="5"/>
          </w:tcPr>
          <w:p>
            <w:pPr>
              <w:jc w:val="right"/>
              <w:ind w:right="240"/>
              <w:spacing w:after="0"/>
              <w:rPr>
                <w:sz w:val="20"/>
                <w:szCs w:val="20"/>
                <w:color w:val="auto"/>
              </w:rPr>
            </w:pPr>
            <w:r>
              <w:rPr>
                <w:rFonts w:ascii="Arial" w:cs="Arial" w:eastAsia="Arial" w:hAnsi="Arial"/>
                <w:sz w:val="18"/>
                <w:szCs w:val="18"/>
                <w:color w:val="auto"/>
              </w:rPr>
              <w:t>13,240,696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7,400,280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4,887,000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36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13,240,696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5,180,196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4,361,000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Wu Capital Investment LLC</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7,400,280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1,752,000</w:t>
            </w:r>
          </w:p>
        </w:tc>
      </w:tr>
      <w:tr>
        <w:trPr>
          <w:trHeight w:val="668"/>
        </w:trPr>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jc w:val="center"/>
        <w:ind w:right="-11"/>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left="652" w:hanging="652"/>
        <w:spacing w:after="0" w:line="277"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Amended and Restated Investors’ Rights Agreement, dated as of September 26, 2019,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467995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0" w:name="page91"/>
    <w:bookmarkEnd w:id="90"/>
    <w:p>
      <w:pPr>
        <w:ind w:left="103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proposed business combination (the “</w:t>
      </w:r>
      <w:r>
        <w:rPr>
          <w:rFonts w:ascii="Arial" w:cs="Arial" w:eastAsia="Arial" w:hAnsi="Arial"/>
          <w:sz w:val="17"/>
          <w:szCs w:val="17"/>
          <w:u w:val="single" w:color="auto"/>
          <w:color w:val="auto"/>
        </w:rPr>
        <w:t>Transaction</w:t>
      </w:r>
      <w:r>
        <w:rPr>
          <w:rFonts w:ascii="Arial" w:cs="Arial" w:eastAsia="Arial" w:hAnsi="Arial"/>
          <w:sz w:val="17"/>
          <w:szCs w:val="17"/>
          <w:color w:val="auto"/>
        </w:rPr>
        <w:t>”) between FS Development Corp., a Delaware corporation (“</w:t>
      </w:r>
      <w:r>
        <w:rPr>
          <w:rFonts w:ascii="Arial" w:cs="Arial" w:eastAsia="Arial" w:hAnsi="Arial"/>
          <w:sz w:val="17"/>
          <w:szCs w:val="17"/>
          <w:u w:val="single" w:color="auto"/>
          <w:color w:val="auto"/>
        </w:rPr>
        <w:t>FSD</w:t>
      </w:r>
      <w:r>
        <w:rPr>
          <w:rFonts w:ascii="Arial" w:cs="Arial" w:eastAsia="Arial" w:hAnsi="Arial"/>
          <w:sz w:val="17"/>
          <w:szCs w:val="17"/>
          <w:color w:val="auto"/>
        </w:rPr>
        <w:t>”), and Gemini Therapeutics, Inc., a Delaware corporation (“</w:t>
      </w:r>
      <w:r>
        <w:rPr>
          <w:rFonts w:ascii="Arial" w:cs="Arial" w:eastAsia="Arial" w:hAnsi="Arial"/>
          <w:sz w:val="17"/>
          <w:szCs w:val="17"/>
          <w:u w:val="single" w:color="auto"/>
          <w:color w:val="auto"/>
        </w:rPr>
        <w:t>Target</w:t>
      </w:r>
      <w:r>
        <w:rPr>
          <w:rFonts w:ascii="Arial" w:cs="Arial" w:eastAsia="Arial" w:hAnsi="Arial"/>
          <w:sz w:val="17"/>
          <w:szCs w:val="17"/>
          <w:color w:val="auto"/>
        </w:rPr>
        <w:t>”), pursuant to a merger agreement to be entered into among FSD, Target, and the other parties thereto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FSD is seeking commitments from interested investors to purchase shares of Class A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FSD, for a purchase price of $10.00 per share (the “</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The aggregate purchase price to be paid by the undersigned (the “</w:t>
      </w:r>
      <w:r>
        <w:rPr>
          <w:rFonts w:ascii="Arial" w:cs="Arial" w:eastAsia="Arial" w:hAnsi="Arial"/>
          <w:sz w:val="17"/>
          <w:szCs w:val="17"/>
          <w:u w:val="single" w:color="auto"/>
          <w:color w:val="auto"/>
        </w:rPr>
        <w:t>Investor</w:t>
      </w:r>
      <w:r>
        <w:rPr>
          <w:rFonts w:ascii="Arial" w:cs="Arial" w:eastAsia="Arial" w:hAnsi="Arial"/>
          <w:sz w:val="17"/>
          <w:szCs w:val="17"/>
          <w:color w:val="auto"/>
        </w:rPr>
        <w:t>”) for the subscribed Shares (as set forth on the signature page hereto) is referred to herein as the “</w:t>
      </w:r>
      <w:r>
        <w:rPr>
          <w:rFonts w:ascii="Arial" w:cs="Arial" w:eastAsia="Arial" w:hAnsi="Arial"/>
          <w:sz w:val="17"/>
          <w:szCs w:val="17"/>
          <w:u w:val="single" w:color="auto"/>
          <w:color w:val="auto"/>
        </w:rPr>
        <w:t>Subscription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On or about the date of this Subscription Agreement, FSD is entering into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 Subscription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other investors (the “</w:t>
      </w:r>
      <w:r>
        <w:rPr>
          <w:rFonts w:ascii="Arial" w:cs="Arial" w:eastAsia="Arial" w:hAnsi="Arial"/>
          <w:sz w:val="17"/>
          <w:szCs w:val="17"/>
          <w:u w:val="single" w:color="auto"/>
          <w:color w:val="auto"/>
        </w:rPr>
        <w:t>Other Investors</w:t>
      </w:r>
      <w:r>
        <w:rPr>
          <w:rFonts w:ascii="Arial" w:cs="Arial" w:eastAsia="Arial" w:hAnsi="Arial"/>
          <w:sz w:val="17"/>
          <w:szCs w:val="17"/>
          <w:color w:val="auto"/>
        </w:rPr>
        <w:t>” and together with the Investor, the “</w:t>
      </w:r>
      <w:r>
        <w:rPr>
          <w:rFonts w:ascii="Arial" w:cs="Arial" w:eastAsia="Arial" w:hAnsi="Arial"/>
          <w:sz w:val="17"/>
          <w:szCs w:val="17"/>
          <w:u w:val="single" w:color="auto"/>
          <w:color w:val="auto"/>
        </w:rPr>
        <w:t>Investors</w:t>
      </w:r>
      <w:r>
        <w:rPr>
          <w:rFonts w:ascii="Arial" w:cs="Arial" w:eastAsia="Arial" w:hAnsi="Arial"/>
          <w:sz w:val="17"/>
          <w:szCs w:val="17"/>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70" w:lineRule="exact"/>
        <w:rPr>
          <w:sz w:val="20"/>
          <w:szCs w:val="20"/>
          <w:color w:val="auto"/>
        </w:rPr>
      </w:pPr>
    </w:p>
    <w:p>
      <w:pPr>
        <w:ind w:firstLine="656"/>
        <w:spacing w:after="0" w:line="277" w:lineRule="auto"/>
        <w:tabs>
          <w:tab w:leader="none" w:pos="87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6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and (ii) delivery of written notice from (or on behalf of) FSD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59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170" w:lineRule="exact"/>
        <w:rPr>
          <w:rFonts w:ascii="Arial" w:cs="Arial" w:eastAsia="Arial" w:hAnsi="Arial"/>
          <w:sz w:val="18"/>
          <w:szCs w:val="18"/>
          <w:color w:val="auto"/>
        </w:rPr>
      </w:pPr>
    </w:p>
    <w:p>
      <w:pPr>
        <w:jc w:val="both"/>
        <w:ind w:left="1300" w:firstLine="1300"/>
        <w:spacing w:after="0" w:line="259" w:lineRule="auto"/>
        <w:tabs>
          <w:tab w:leader="none" w:pos="2883"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86" w:lineRule="exact"/>
        <w:rPr>
          <w:rFonts w:ascii="Arial" w:cs="Arial" w:eastAsia="Arial" w:hAnsi="Arial"/>
          <w:sz w:val="18"/>
          <w:szCs w:val="18"/>
          <w:color w:val="auto"/>
        </w:rPr>
      </w:pPr>
    </w:p>
    <w:p>
      <w:pPr>
        <w:ind w:left="1300" w:right="20" w:firstLine="1300"/>
        <w:spacing w:after="0" w:line="342" w:lineRule="auto"/>
        <w:tabs>
          <w:tab w:leader="none" w:pos="2906" w:val="left"/>
        </w:tabs>
        <w:numPr>
          <w:ilvl w:val="2"/>
          <w:numId w:val="92"/>
        </w:numPr>
        <w:rPr>
          <w:rFonts w:ascii="Arial" w:cs="Arial" w:eastAsia="Arial" w:hAnsi="Arial"/>
          <w:sz w:val="16"/>
          <w:szCs w:val="16"/>
          <w:color w:val="auto"/>
        </w:rPr>
      </w:pPr>
      <w:r>
        <w:rPr>
          <w:rFonts w:ascii="Arial" w:cs="Arial" w:eastAsia="Arial" w:hAnsi="Arial"/>
          <w:sz w:val="16"/>
          <w:szCs w:val="16"/>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23" w:lineRule="exact"/>
        <w:rPr>
          <w:rFonts w:ascii="Arial" w:cs="Arial" w:eastAsia="Arial" w:hAnsi="Arial"/>
          <w:sz w:val="16"/>
          <w:szCs w:val="16"/>
          <w:color w:val="auto"/>
        </w:rPr>
      </w:pPr>
    </w:p>
    <w:p>
      <w:pPr>
        <w:jc w:val="both"/>
        <w:ind w:left="1300" w:firstLine="1300"/>
        <w:spacing w:after="0" w:line="263" w:lineRule="auto"/>
        <w:tabs>
          <w:tab w:leader="none" w:pos="2956" w:val="left"/>
        </w:tabs>
        <w:numPr>
          <w:ilvl w:val="2"/>
          <w:numId w:val="92"/>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83" w:lineRule="exact"/>
        <w:rPr>
          <w:rFonts w:ascii="Arial" w:cs="Arial" w:eastAsia="Arial" w:hAnsi="Arial"/>
          <w:sz w:val="18"/>
          <w:szCs w:val="18"/>
          <w:color w:val="auto"/>
        </w:rPr>
      </w:pPr>
    </w:p>
    <w:p>
      <w:pPr>
        <w:ind w:left="2940" w:hanging="340"/>
        <w:spacing w:after="0"/>
        <w:tabs>
          <w:tab w:leader="none" w:pos="294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Nasdaq Capital Market.</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1596"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61" w:lineRule="exact"/>
        <w:rPr>
          <w:rFonts w:ascii="Arial" w:cs="Arial" w:eastAsia="Arial" w:hAnsi="Arial"/>
          <w:sz w:val="16"/>
          <w:szCs w:val="16"/>
          <w:color w:val="auto"/>
        </w:rPr>
      </w:pPr>
    </w:p>
    <w:p>
      <w:pPr>
        <w:ind w:right="20" w:firstLine="1304"/>
        <w:spacing w:after="0" w:line="277" w:lineRule="auto"/>
        <w:tabs>
          <w:tab w:leader="none" w:pos="1585"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shall be subject to the following conditions:</w:t>
      </w:r>
    </w:p>
    <w:p>
      <w:pPr>
        <w:spacing w:after="0" w:line="170" w:lineRule="exact"/>
        <w:rPr>
          <w:rFonts w:ascii="Arial" w:cs="Arial" w:eastAsia="Arial" w:hAnsi="Arial"/>
          <w:sz w:val="18"/>
          <w:szCs w:val="18"/>
          <w:color w:val="auto"/>
        </w:rPr>
      </w:pPr>
    </w:p>
    <w:p>
      <w:pPr>
        <w:jc w:val="both"/>
        <w:ind w:left="1300" w:firstLine="1300"/>
        <w:spacing w:after="0" w:line="257" w:lineRule="auto"/>
        <w:tabs>
          <w:tab w:leader="none" w:pos="2869" w:val="left"/>
        </w:tabs>
        <w:numPr>
          <w:ilvl w:val="2"/>
          <w:numId w:val="92"/>
        </w:numPr>
        <w:rPr>
          <w:rFonts w:ascii="Arial" w:cs="Arial" w:eastAsia="Arial" w:hAnsi="Arial"/>
          <w:sz w:val="18"/>
          <w:szCs w:val="18"/>
          <w:color w:val="auto"/>
        </w:rPr>
      </w:pPr>
      <w:r>
        <w:rPr>
          <w:rFonts w:ascii="Arial" w:cs="Arial" w:eastAsia="Arial" w:hAnsi="Arial"/>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87" w:lineRule="exact"/>
        <w:rPr>
          <w:rFonts w:ascii="Arial" w:cs="Arial" w:eastAsia="Arial" w:hAnsi="Arial"/>
          <w:sz w:val="18"/>
          <w:szCs w:val="18"/>
          <w:color w:val="auto"/>
        </w:rPr>
      </w:pPr>
    </w:p>
    <w:p>
      <w:pPr>
        <w:ind w:left="1300" w:firstLine="1300"/>
        <w:spacing w:after="0" w:line="308" w:lineRule="auto"/>
        <w:tabs>
          <w:tab w:leader="none" w:pos="2960" w:val="left"/>
        </w:tabs>
        <w:numPr>
          <w:ilvl w:val="2"/>
          <w:numId w:val="92"/>
        </w:numPr>
        <w:rPr>
          <w:rFonts w:ascii="Arial" w:cs="Arial" w:eastAsia="Arial" w:hAnsi="Arial"/>
          <w:sz w:val="17"/>
          <w:szCs w:val="17"/>
          <w:color w:val="auto"/>
        </w:rPr>
      </w:pPr>
      <w:r>
        <w:rPr>
          <w:rFonts w:ascii="Arial" w:cs="Arial" w:eastAsia="Arial" w:hAnsi="Arial"/>
          <w:sz w:val="17"/>
          <w:szCs w:val="17"/>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46" w:lineRule="exact"/>
        <w:rPr>
          <w:rFonts w:ascii="Arial" w:cs="Arial" w:eastAsia="Arial" w:hAnsi="Arial"/>
          <w:sz w:val="17"/>
          <w:szCs w:val="17"/>
          <w:color w:val="auto"/>
        </w:rPr>
      </w:pPr>
    </w:p>
    <w:p>
      <w:pPr>
        <w:jc w:val="both"/>
        <w:ind w:left="1300" w:firstLine="1300"/>
        <w:spacing w:after="0" w:line="263" w:lineRule="auto"/>
        <w:tabs>
          <w:tab w:leader="none" w:pos="301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1300" w:right="20" w:firstLine="1300"/>
        <w:spacing w:after="0" w:line="342" w:lineRule="auto"/>
        <w:tabs>
          <w:tab w:leader="none" w:pos="2946"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23" w:lineRule="exact"/>
        <w:rPr>
          <w:rFonts w:ascii="Arial" w:cs="Arial" w:eastAsia="Arial" w:hAnsi="Arial"/>
          <w:sz w:val="16"/>
          <w:szCs w:val="16"/>
          <w:color w:val="auto"/>
        </w:rPr>
      </w:pPr>
    </w:p>
    <w:p>
      <w:pPr>
        <w:ind w:firstLine="656"/>
        <w:spacing w:after="0" w:line="342" w:lineRule="auto"/>
        <w:tabs>
          <w:tab w:leader="none" w:pos="88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23" w:lineRule="exact"/>
        <w:rPr>
          <w:rFonts w:ascii="Arial" w:cs="Arial" w:eastAsia="Arial" w:hAnsi="Arial"/>
          <w:sz w:val="16"/>
          <w:szCs w:val="16"/>
          <w:color w:val="auto"/>
        </w:rPr>
      </w:pPr>
    </w:p>
    <w:p>
      <w:pPr>
        <w:ind w:left="880" w:hanging="224"/>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FSD Representations and Warranties</w:t>
      </w:r>
      <w:r>
        <w:rPr>
          <w:rFonts w:ascii="Arial" w:cs="Arial" w:eastAsia="Arial" w:hAnsi="Arial"/>
          <w:sz w:val="17"/>
          <w:szCs w:val="17"/>
          <w:color w:val="auto"/>
        </w:rPr>
        <w:t>. FSD represents and warrants to the Investor, as of the date hereof and as of the Closing Date that:</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15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653"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57" w:lineRule="exact"/>
        <w:rPr>
          <w:rFonts w:ascii="Arial" w:cs="Arial" w:eastAsia="Arial" w:hAnsi="Arial"/>
          <w:sz w:val="16"/>
          <w:szCs w:val="16"/>
          <w:color w:val="auto"/>
        </w:rPr>
      </w:pPr>
    </w:p>
    <w:p>
      <w:pPr>
        <w:jc w:val="both"/>
        <w:ind w:firstLine="1304"/>
        <w:spacing w:after="0" w:line="269" w:lineRule="auto"/>
        <w:tabs>
          <w:tab w:leader="none" w:pos="1609"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1304"/>
        <w:spacing w:after="0" w:line="269" w:lineRule="auto"/>
        <w:tabs>
          <w:tab w:leader="none" w:pos="1626" w:val="left"/>
        </w:tabs>
        <w:numPr>
          <w:ilvl w:val="0"/>
          <w:numId w:val="95"/>
        </w:numPr>
        <w:rPr>
          <w:rFonts w:ascii="Arial" w:cs="Arial" w:eastAsia="Arial" w:hAnsi="Arial"/>
          <w:sz w:val="17"/>
          <w:szCs w:val="17"/>
          <w:color w:val="auto"/>
        </w:rPr>
      </w:pPr>
      <w:r>
        <w:rPr>
          <w:rFonts w:ascii="Arial" w:cs="Arial" w:eastAsia="Arial" w:hAnsi="Arial"/>
          <w:sz w:val="17"/>
          <w:szCs w:val="17"/>
          <w:color w:val="auto"/>
        </w:rPr>
        <w:t>FSD has made all filings required to be filed by it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As of their respective dates, all reports, the Registration Statement of FSD filed on Form S-1 dated July 24, 2020 (as amended), and the prospectus of FSD dated August 11, 2020 (the “</w:t>
      </w:r>
      <w:r>
        <w:rPr>
          <w:rFonts w:ascii="Arial" w:cs="Arial" w:eastAsia="Arial" w:hAnsi="Arial"/>
          <w:sz w:val="17"/>
          <w:szCs w:val="17"/>
          <w:u w:val="single" w:color="auto"/>
          <w:color w:val="auto"/>
        </w:rPr>
        <w:t>SEC Reports</w:t>
      </w:r>
      <w:r>
        <w:rPr>
          <w:rFonts w:ascii="Arial" w:cs="Arial" w:eastAsia="Arial" w:hAnsi="Arial"/>
          <w:sz w:val="17"/>
          <w:szCs w:val="17"/>
          <w:color w:val="auto"/>
        </w:rPr>
        <w:t>”) required to be filed or actually filed by FSD with the SEC complied in all material respects with the applicable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5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87" w:lineRule="exact"/>
        <w:rPr>
          <w:rFonts w:ascii="Arial" w:cs="Arial" w:eastAsia="Arial" w:hAnsi="Arial"/>
          <w:sz w:val="18"/>
          <w:szCs w:val="18"/>
          <w:color w:val="auto"/>
        </w:rPr>
      </w:pPr>
    </w:p>
    <w:p>
      <w:pPr>
        <w:jc w:val="both"/>
        <w:ind w:firstLine="1304"/>
        <w:spacing w:after="0" w:line="293" w:lineRule="auto"/>
        <w:tabs>
          <w:tab w:leader="none" w:pos="16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Arial" w:cs="Arial" w:eastAsia="Arial" w:hAnsi="Arial"/>
          <w:sz w:val="16"/>
          <w:szCs w:val="16"/>
          <w:u w:val="single" w:color="auto"/>
          <w:color w:val="auto"/>
        </w:rPr>
        <w:t>Stock Exchange</w:t>
      </w:r>
      <w:r>
        <w:rPr>
          <w:rFonts w:ascii="Arial" w:cs="Arial" w:eastAsia="Arial" w:hAnsi="Arial"/>
          <w:sz w:val="16"/>
          <w:szCs w:val="16"/>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64" w:lineRule="exact"/>
        <w:rPr>
          <w:rFonts w:ascii="Arial" w:cs="Arial" w:eastAsia="Arial" w:hAnsi="Arial"/>
          <w:sz w:val="16"/>
          <w:szCs w:val="16"/>
          <w:color w:val="auto"/>
        </w:rPr>
      </w:pPr>
    </w:p>
    <w:p>
      <w:pPr>
        <w:jc w:val="both"/>
        <w:ind w:firstLine="1304"/>
        <w:spacing w:after="0" w:line="269" w:lineRule="auto"/>
        <w:tabs>
          <w:tab w:leader="none" w:pos="159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1304"/>
        <w:spacing w:after="0" w:line="259" w:lineRule="auto"/>
        <w:tabs>
          <w:tab w:leader="none" w:pos="158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5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Assuming the accuracy of the Investor’s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1623" w:val="left"/>
        </w:tabs>
        <w:numPr>
          <w:ilvl w:val="1"/>
          <w:numId w:val="96"/>
        </w:numPr>
        <w:rPr>
          <w:rFonts w:ascii="Arial" w:cs="Arial" w:eastAsia="Arial" w:hAnsi="Arial"/>
          <w:sz w:val="16"/>
          <w:szCs w:val="16"/>
          <w:color w:val="auto"/>
        </w:rPr>
      </w:pPr>
      <w:r>
        <w:rPr>
          <w:rFonts w:ascii="Arial" w:cs="Arial" w:eastAsia="Arial" w:hAnsi="Arial"/>
          <w:sz w:val="16"/>
          <w:szCs w:val="16"/>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556" w:val="left"/>
        </w:tabs>
        <w:numPr>
          <w:ilvl w:val="1"/>
          <w:numId w:val="96"/>
        </w:numPr>
        <w:rPr>
          <w:rFonts w:ascii="Arial" w:cs="Arial" w:eastAsia="Arial" w:hAnsi="Arial"/>
          <w:sz w:val="18"/>
          <w:szCs w:val="18"/>
          <w:color w:val="auto"/>
        </w:rPr>
      </w:pPr>
      <w:r>
        <w:rPr>
          <w:rFonts w:ascii="Arial" w:cs="Arial" w:eastAsia="Arial" w:hAnsi="Arial"/>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83" w:lineRule="exact"/>
        <w:rPr>
          <w:rFonts w:ascii="Arial" w:cs="Arial" w:eastAsia="Arial" w:hAnsi="Arial"/>
          <w:sz w:val="18"/>
          <w:szCs w:val="18"/>
          <w:color w:val="auto"/>
        </w:rPr>
      </w:pPr>
    </w:p>
    <w:p>
      <w:pPr>
        <w:ind w:right="20" w:firstLine="1304"/>
        <w:spacing w:after="0" w:line="277" w:lineRule="auto"/>
        <w:tabs>
          <w:tab w:leader="none" w:pos="1673" w:val="left"/>
        </w:tabs>
        <w:numPr>
          <w:ilvl w:val="1"/>
          <w:numId w:val="96"/>
        </w:numPr>
        <w:rPr>
          <w:rFonts w:ascii="Arial" w:cs="Arial" w:eastAsia="Arial" w:hAnsi="Arial"/>
          <w:sz w:val="18"/>
          <w:szCs w:val="18"/>
          <w:color w:val="auto"/>
        </w:rPr>
      </w:pPr>
      <w:r>
        <w:rPr>
          <w:rFonts w:ascii="Arial" w:cs="Arial" w:eastAsia="Arial" w:hAnsi="Arial"/>
          <w:sz w:val="18"/>
          <w:szCs w:val="18"/>
          <w:color w:val="auto"/>
        </w:rPr>
        <w:t>FSD is not under any obligation to pay any broker’s fee or commission in connection with the sale of the Shares hereunder other than to the Placement Agents (as defined herein).</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6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87"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FSD that: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612"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6"/>
          <w:szCs w:val="16"/>
          <w:u w:val="single" w:color="auto"/>
          <w:color w:val="auto"/>
        </w:rPr>
        <w:t>Schedule A</w:t>
      </w:r>
      <w:r>
        <w:rPr>
          <w:rFonts w:ascii="Arial" w:cs="Arial" w:eastAsia="Arial" w:hAnsi="Arial"/>
          <w:sz w:val="16"/>
          <w:szCs w:val="16"/>
          <w:color w:val="auto"/>
        </w:rPr>
        <w:t>). The Investor is not an entity formed for the specific purpose of acquiring the Shares.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1304"/>
        <w:spacing w:after="0" w:line="287" w:lineRule="auto"/>
        <w:tabs>
          <w:tab w:leader="none" w:pos="160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71" w:lineRule="exact"/>
        <w:rPr>
          <w:rFonts w:ascii="Arial" w:cs="Arial" w:eastAsia="Arial" w:hAnsi="Arial"/>
          <w:sz w:val="16"/>
          <w:szCs w:val="16"/>
          <w:color w:val="auto"/>
        </w:rPr>
      </w:pPr>
    </w:p>
    <w:p>
      <w:pPr>
        <w:jc w:val="both"/>
        <w:ind w:firstLine="1304"/>
        <w:spacing w:after="0" w:line="311" w:lineRule="auto"/>
        <w:tabs>
          <w:tab w:leader="none" w:pos="16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5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6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64" w:lineRule="exact"/>
        <w:rPr>
          <w:rFonts w:ascii="Arial" w:cs="Arial" w:eastAsia="Arial" w:hAnsi="Arial"/>
          <w:sz w:val="16"/>
          <w:szCs w:val="16"/>
          <w:color w:val="auto"/>
        </w:rPr>
      </w:pPr>
    </w:p>
    <w:p>
      <w:pPr>
        <w:jc w:val="both"/>
        <w:ind w:firstLine="1304"/>
        <w:spacing w:after="0" w:line="289" w:lineRule="auto"/>
        <w:tabs>
          <w:tab w:leader="none" w:pos="156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6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1304"/>
        <w:spacing w:after="0" w:line="263" w:lineRule="auto"/>
        <w:tabs>
          <w:tab w:leader="none" w:pos="16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87" w:lineRule="exact"/>
        <w:rPr>
          <w:rFonts w:ascii="Arial" w:cs="Arial" w:eastAsia="Arial" w:hAnsi="Arial"/>
          <w:sz w:val="18"/>
          <w:szCs w:val="18"/>
          <w:color w:val="auto"/>
        </w:rPr>
      </w:pPr>
    </w:p>
    <w:p>
      <w:pPr>
        <w:ind w:firstLine="1304"/>
        <w:spacing w:after="0" w:line="277" w:lineRule="auto"/>
        <w:tabs>
          <w:tab w:leader="none" w:pos="15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70" w:lineRule="exact"/>
        <w:rPr>
          <w:rFonts w:ascii="Arial" w:cs="Arial" w:eastAsia="Arial" w:hAnsi="Arial"/>
          <w:sz w:val="18"/>
          <w:szCs w:val="18"/>
          <w:color w:val="auto"/>
        </w:rPr>
      </w:pPr>
    </w:p>
    <w:p>
      <w:pPr>
        <w:ind w:right="20" w:firstLine="1304"/>
        <w:spacing w:after="0" w:line="308" w:lineRule="auto"/>
        <w:tabs>
          <w:tab w:leader="none" w:pos="16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46" w:lineRule="exact"/>
        <w:rPr>
          <w:rFonts w:ascii="Arial" w:cs="Arial" w:eastAsia="Arial" w:hAnsi="Arial"/>
          <w:sz w:val="17"/>
          <w:szCs w:val="17"/>
          <w:color w:val="auto"/>
        </w:rPr>
      </w:pPr>
    </w:p>
    <w:p>
      <w:pPr>
        <w:jc w:val="both"/>
        <w:ind w:firstLine="1304"/>
        <w:spacing w:after="0" w:line="288" w:lineRule="auto"/>
        <w:tabs>
          <w:tab w:leader="none" w:pos="158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16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undersigned is not (i) a person or entity named on the List of Specially Designated Nationals and Blocked Persons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u w:val="single" w:color="auto"/>
          <w:color w:val="auto"/>
        </w:rPr>
        <w:t>OFAC List</w:t>
      </w:r>
      <w:r>
        <w:rPr>
          <w:rFonts w:ascii="Arial" w:cs="Arial" w:eastAsia="Arial" w:hAnsi="Arial"/>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6"/>
          <w:szCs w:val="16"/>
          <w:u w:val="single" w:color="auto"/>
          <w:color w:val="auto"/>
        </w:rPr>
        <w:t>Prohibited Investor</w:t>
      </w:r>
      <w:r>
        <w:rPr>
          <w:rFonts w:ascii="Arial" w:cs="Arial" w:eastAsia="Arial" w:hAnsi="Arial"/>
          <w:sz w:val="16"/>
          <w:szCs w:val="16"/>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and its implementing regulations (collectively, the “</w:t>
      </w:r>
      <w:r>
        <w:rPr>
          <w:rFonts w:ascii="Arial" w:cs="Arial" w:eastAsia="Arial" w:hAnsi="Arial"/>
          <w:sz w:val="16"/>
          <w:szCs w:val="16"/>
          <w:u w:val="single" w:color="auto"/>
          <w:color w:val="auto"/>
        </w:rPr>
        <w:t>BSA/PATRIOT Act</w:t>
      </w:r>
      <w:r>
        <w:rPr>
          <w:rFonts w:ascii="Arial" w:cs="Arial" w:eastAsia="Arial" w:hAnsi="Arial"/>
          <w:sz w:val="16"/>
          <w:szCs w:val="16"/>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1304"/>
        <w:spacing w:after="0" w:line="277" w:lineRule="auto"/>
        <w:tabs>
          <w:tab w:leader="none" w:pos="163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No disclosure or offering document has been prepared by either of the Placement Agents or any of their respective affiliates in connection with the offer and sale of the Shares.</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59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 connection with the issue and purchase of the Shares, the Placement Agents have not acted as the Investor’s financial advisor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fiduciary.</w:t>
      </w:r>
    </w:p>
    <w:p>
      <w:pPr>
        <w:spacing w:after="0" w:line="210" w:lineRule="exact"/>
        <w:rPr>
          <w:rFonts w:ascii="Arial" w:cs="Arial" w:eastAsia="Arial" w:hAnsi="Arial"/>
          <w:sz w:val="16"/>
          <w:szCs w:val="16"/>
          <w:color w:val="auto"/>
        </w:rPr>
      </w:pPr>
    </w:p>
    <w:p>
      <w:pPr>
        <w:ind w:firstLine="1304"/>
        <w:spacing w:after="0" w:line="277" w:lineRule="auto"/>
        <w:tabs>
          <w:tab w:leader="none" w:pos="159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70" w:lineRule="exact"/>
        <w:rPr>
          <w:rFonts w:ascii="Arial" w:cs="Arial" w:eastAsia="Arial" w:hAnsi="Arial"/>
          <w:sz w:val="18"/>
          <w:szCs w:val="18"/>
          <w:color w:val="auto"/>
        </w:rPr>
      </w:pPr>
    </w:p>
    <w:p>
      <w:pPr>
        <w:ind w:firstLine="1304"/>
        <w:spacing w:after="0" w:line="277" w:lineRule="auto"/>
        <w:tabs>
          <w:tab w:leader="none" w:pos="156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In the event that the Shares are not registered in connection with the consummation of the Transaction, FSD agrees that, within thirty</w:t>
      </w:r>
    </w:p>
    <w:p>
      <w:pPr>
        <w:spacing w:after="0" w:line="46" w:lineRule="exact"/>
        <w:rPr>
          <w:rFonts w:ascii="Arial" w:cs="Arial" w:eastAsia="Arial" w:hAnsi="Arial"/>
          <w:sz w:val="16"/>
          <w:szCs w:val="16"/>
          <w:color w:val="auto"/>
        </w:rPr>
      </w:pPr>
    </w:p>
    <w:p>
      <w:pPr>
        <w:jc w:val="both"/>
        <w:ind w:firstLine="8"/>
        <w:spacing w:after="0" w:line="281" w:lineRule="auto"/>
        <w:tabs>
          <w:tab w:leader="none" w:pos="3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calendar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resale of such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(1) the 90th calendar day after the</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consummation of the Transaction (or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left="-20" w:firstLine="1304"/>
        <w:spacing w:after="0" w:line="268" w:lineRule="auto"/>
        <w:tabs>
          <w:tab w:leader="none" w:pos="160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Arial" w:cs="Arial" w:eastAsia="Arial" w:hAnsi="Arial"/>
          <w:sz w:val="17"/>
          <w:szCs w:val="17"/>
          <w:u w:val="single" w:color="auto"/>
          <w:color w:val="auto"/>
        </w:rPr>
        <w:t>Suspension Event</w:t>
      </w:r>
      <w:r>
        <w:rPr>
          <w:rFonts w:ascii="Arial" w:cs="Arial" w:eastAsia="Arial" w:hAnsi="Arial"/>
          <w:sz w:val="17"/>
          <w:szCs w:val="17"/>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99" w:name="page100"/>
    <w:bookmarkEnd w:id="99"/>
    <w:p>
      <w:pPr>
        <w:jc w:val="both"/>
        <w:ind w:firstLine="1304"/>
        <w:spacing w:after="0" w:line="284" w:lineRule="auto"/>
        <w:tabs>
          <w:tab w:leader="none" w:pos="16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74" w:lineRule="exact"/>
        <w:rPr>
          <w:rFonts w:ascii="Arial" w:cs="Arial" w:eastAsia="Arial" w:hAnsi="Arial"/>
          <w:sz w:val="16"/>
          <w:szCs w:val="16"/>
          <w:color w:val="auto"/>
        </w:rPr>
      </w:pPr>
    </w:p>
    <w:p>
      <w:pPr>
        <w:jc w:val="both"/>
        <w:ind w:firstLine="1304"/>
        <w:spacing w:after="0" w:line="259" w:lineRule="auto"/>
        <w:tabs>
          <w:tab w:leader="none" w:pos="15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86" w:lineRule="exact"/>
        <w:rPr>
          <w:rFonts w:ascii="Arial" w:cs="Arial" w:eastAsia="Arial" w:hAnsi="Arial"/>
          <w:sz w:val="18"/>
          <w:szCs w:val="18"/>
          <w:color w:val="auto"/>
        </w:rPr>
      </w:pPr>
    </w:p>
    <w:p>
      <w:pPr>
        <w:jc w:val="both"/>
        <w:ind w:firstLine="1304"/>
        <w:spacing w:after="0" w:line="288" w:lineRule="auto"/>
        <w:tabs>
          <w:tab w:leader="none" w:pos="15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1304"/>
        <w:spacing w:after="0" w:line="288" w:lineRule="auto"/>
        <w:tabs>
          <w:tab w:leader="none" w:pos="159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68" w:lineRule="exact"/>
        <w:rPr>
          <w:rFonts w:ascii="Arial" w:cs="Arial" w:eastAsia="Arial" w:hAnsi="Arial"/>
          <w:sz w:val="16"/>
          <w:szCs w:val="16"/>
          <w:color w:val="auto"/>
        </w:rPr>
      </w:pPr>
    </w:p>
    <w:p>
      <w:pPr>
        <w:jc w:val="both"/>
        <w:ind w:firstLine="1304"/>
        <w:spacing w:after="0" w:line="268" w:lineRule="auto"/>
        <w:tabs>
          <w:tab w:leader="none" w:pos="160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84" w:lineRule="exact"/>
        <w:rPr>
          <w:rFonts w:ascii="Arial" w:cs="Arial" w:eastAsia="Arial" w:hAnsi="Arial"/>
          <w:sz w:val="17"/>
          <w:szCs w:val="17"/>
          <w:color w:val="auto"/>
        </w:rPr>
      </w:pPr>
    </w:p>
    <w:p>
      <w:pPr>
        <w:jc w:val="both"/>
        <w:ind w:firstLine="656"/>
        <w:spacing w:after="0" w:line="270" w:lineRule="auto"/>
        <w:tabs>
          <w:tab w:leader="none" w:pos="88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56"/>
        <w:spacing w:after="0" w:line="286" w:lineRule="auto"/>
        <w:tabs>
          <w:tab w:leader="none" w:pos="92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Trust Account Waiver. The Investor hereby acknowledges that FSD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3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9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6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15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left="1300"/>
        <w:spacing w:after="0"/>
        <w:rPr>
          <w:sz w:val="20"/>
          <w:szCs w:val="20"/>
          <w:color w:val="auto"/>
        </w:rPr>
      </w:pPr>
      <w:r>
        <w:rPr>
          <w:rFonts w:ascii="Arial" w:cs="Arial" w:eastAsia="Arial" w:hAnsi="Arial"/>
          <w:sz w:val="16"/>
          <w:szCs w:val="16"/>
          <w:color w:val="auto"/>
        </w:rPr>
        <w:t>(e) All of the agreements, representations and warranties made by each party hereto in this Subscription Agreement shall survive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1304"/>
        <w:spacing w:after="0" w:line="257" w:lineRule="auto"/>
        <w:tabs>
          <w:tab w:leader="none" w:pos="163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5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Arial" w:cs="Arial" w:eastAsia="Arial" w:hAnsi="Arial"/>
          <w:sz w:val="17"/>
          <w:szCs w:val="17"/>
          <w:u w:val="single" w:color="auto"/>
          <w:color w:val="auto"/>
        </w:rPr>
        <w:t>Sections 10(c)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1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174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10(m)</w:t>
      </w:r>
      <w:r>
        <w:rPr>
          <w:rFonts w:ascii="Arial" w:cs="Arial" w:eastAsia="Arial" w:hAnsi="Arial"/>
          <w:sz w:val="17"/>
          <w:szCs w:val="17"/>
          <w:color w:val="auto"/>
        </w:rPr>
        <w:t xml:space="preserve"> OF THIS SUBSCRIPTION AGREEMENT OR IN SUCH OTHER MANNER AS MAY BE PERMITTED BY LAW SHALL BE VALID AND SUFFICIENT SERVICE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spacing w:after="0" w:line="269" w:lineRule="auto"/>
        <w:rPr>
          <w:sz w:val="20"/>
          <w:szCs w:val="20"/>
          <w:color w:val="auto"/>
        </w:rPr>
      </w:pPr>
      <w:r>
        <w:rPr>
          <w:rFonts w:ascii="Arial" w:cs="Arial" w:eastAsia="Arial" w:hAnsi="Arial"/>
          <w:sz w:val="17"/>
          <w:szCs w:val="17"/>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7"/>
          <w:szCs w:val="17"/>
          <w:u w:val="single" w:color="auto"/>
          <w:color w:val="auto"/>
        </w:rPr>
        <w:t>SECTION 10(l)</w:t>
      </w:r>
      <w:r>
        <w:rPr>
          <w:rFonts w:ascii="Arial" w:cs="Arial" w:eastAsia="Arial" w:hAnsi="Arial"/>
          <w:sz w:val="17"/>
          <w:szCs w:val="17"/>
          <w:color w:val="auto"/>
        </w:rPr>
        <w:t>.</w:t>
      </w:r>
    </w:p>
    <w:p>
      <w:pPr>
        <w:spacing w:after="0" w:line="185" w:lineRule="exact"/>
        <w:rPr>
          <w:sz w:val="20"/>
          <w:szCs w:val="20"/>
          <w:color w:val="auto"/>
        </w:rPr>
      </w:pPr>
    </w:p>
    <w:p>
      <w:pPr>
        <w:jc w:val="both"/>
        <w:ind w:firstLine="1304"/>
        <w:spacing w:after="0" w:line="289" w:lineRule="auto"/>
        <w:tabs>
          <w:tab w:leader="none" w:pos="15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request, demand, claim or other communication is also sent to the recipient pursuant to clauses (i), (iii) or (iv) of this </w:t>
      </w:r>
      <w:r>
        <w:rPr>
          <w:rFonts w:ascii="Arial" w:cs="Arial" w:eastAsia="Arial" w:hAnsi="Arial"/>
          <w:sz w:val="16"/>
          <w:szCs w:val="16"/>
          <w:u w:val="single" w:color="auto"/>
          <w:color w:val="auto"/>
        </w:rPr>
        <w:t>Section 10(m)</w:t>
      </w:r>
      <w:r>
        <w:rPr>
          <w:rFonts w:ascii="Arial" w:cs="Arial" w:eastAsia="Arial" w:hAnsi="Arial"/>
          <w:sz w:val="16"/>
          <w:szCs w:val="16"/>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6"/>
          <w:szCs w:val="16"/>
          <w:u w:val="single" w:color="auto"/>
          <w:color w:val="auto"/>
        </w:rPr>
        <w:t>Section 10(m)</w:t>
      </w:r>
      <w:r>
        <w:rPr>
          <w:rFonts w:ascii="Arial" w:cs="Arial" w:eastAsia="Arial" w:hAnsi="Arial"/>
          <w:sz w:val="16"/>
          <w:szCs w:val="16"/>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Arial" w:cs="Arial" w:eastAsia="Arial" w:hAnsi="Arial"/>
          <w:sz w:val="16"/>
          <w:szCs w:val="16"/>
          <w:u w:val="single" w:color="auto"/>
          <w:color w:val="auto"/>
        </w:rPr>
        <w:t>joel.rubinstein@whitecase.com</w:t>
      </w:r>
      <w:r>
        <w:rPr>
          <w:rFonts w:ascii="Arial" w:cs="Arial" w:eastAsia="Arial" w:hAnsi="Arial"/>
          <w:sz w:val="16"/>
          <w:szCs w:val="16"/>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56"/>
        <w:spacing w:after="0" w:line="287" w:lineRule="auto"/>
        <w:tabs>
          <w:tab w:leader="none" w:pos="93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71" w:lineRule="exact"/>
        <w:rPr>
          <w:rFonts w:ascii="Arial" w:cs="Arial" w:eastAsia="Arial" w:hAnsi="Arial"/>
          <w:sz w:val="16"/>
          <w:szCs w:val="16"/>
          <w:color w:val="auto"/>
        </w:rPr>
      </w:pPr>
    </w:p>
    <w:p>
      <w:pPr>
        <w:jc w:val="both"/>
        <w:ind w:firstLine="656"/>
        <w:spacing w:after="0" w:line="259" w:lineRule="auto"/>
        <w:tabs>
          <w:tab w:leader="none" w:pos="91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 executed by its duly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below.</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Name of Investor:</w:t>
      </w:r>
      <w:r>
        <w:rPr>
          <w:sz w:val="20"/>
          <w:szCs w:val="20"/>
          <w:color w:val="auto"/>
        </w:rPr>
        <w:tab/>
      </w:r>
      <w:r>
        <w:rPr>
          <w:rFonts w:ascii="Arial" w:cs="Arial" w:eastAsia="Arial" w:hAnsi="Arial"/>
          <w:sz w:val="16"/>
          <w:szCs w:val="16"/>
          <w:color w:val="auto"/>
        </w:rPr>
        <w:t>State/Country of Formation or Domicile: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Name in which Shares are to be registered (if different):</w:t>
      </w:r>
      <w:r>
        <w:rPr>
          <w:sz w:val="20"/>
          <w:szCs w:val="20"/>
          <w:color w:val="auto"/>
        </w:rPr>
        <w:tab/>
      </w:r>
      <w:r>
        <w:rPr>
          <w:rFonts w:ascii="Arial" w:cs="Arial" w:eastAsia="Arial" w:hAnsi="Arial"/>
          <w:sz w:val="16"/>
          <w:szCs w:val="16"/>
          <w:color w:val="auto"/>
        </w:rPr>
        <w:t>Date: ________,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EIN:</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Business Address-Street:</w:t>
      </w:r>
      <w:r>
        <w:rPr>
          <w:sz w:val="20"/>
          <w:szCs w:val="20"/>
          <w:color w:val="auto"/>
        </w:rPr>
        <w:tab/>
      </w:r>
      <w:r>
        <w:rPr>
          <w:rFonts w:ascii="Arial" w:cs="Arial" w:eastAsia="Arial" w:hAnsi="Arial"/>
          <w:sz w:val="17"/>
          <w:szCs w:val="17"/>
          <w:color w:val="auto"/>
        </w:rPr>
        <w:t>Mailing Address-Street (if different):</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City, State, Zip:</w:t>
      </w:r>
      <w:r>
        <w:rPr>
          <w:sz w:val="20"/>
          <w:szCs w:val="20"/>
          <w:color w:val="auto"/>
        </w:rPr>
        <w:tab/>
      </w:r>
      <w:r>
        <w:rPr>
          <w:rFonts w:ascii="Arial" w:cs="Arial" w:eastAsia="Arial" w:hAnsi="Arial"/>
          <w:sz w:val="16"/>
          <w:szCs w:val="16"/>
          <w:color w:val="auto"/>
        </w:rPr>
        <w:t>City, State, Zip:</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Attn: _______________________________</w:t>
      </w:r>
      <w:r>
        <w:rPr>
          <w:sz w:val="20"/>
          <w:szCs w:val="20"/>
          <w:color w:val="auto"/>
        </w:rPr>
        <w:tab/>
      </w:r>
      <w:r>
        <w:rPr>
          <w:rFonts w:ascii="Arial" w:cs="Arial" w:eastAsia="Arial" w:hAnsi="Arial"/>
          <w:sz w:val="16"/>
          <w:szCs w:val="16"/>
          <w:color w:val="auto"/>
        </w:rPr>
        <w:t>Attn: _______________________________</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Telephone No.:</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Facsimile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subscribed for:</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Aggregate Subscription Amount: $</w:t>
      </w:r>
      <w:r>
        <w:rPr>
          <w:sz w:val="20"/>
          <w:szCs w:val="20"/>
          <w:color w:val="auto"/>
        </w:rPr>
        <w:tab/>
      </w:r>
      <w:r>
        <w:rPr>
          <w:rFonts w:ascii="Arial" w:cs="Arial" w:eastAsia="Arial" w:hAnsi="Arial"/>
          <w:sz w:val="16"/>
          <w:szCs w:val="16"/>
          <w:color w:val="auto"/>
        </w:rPr>
        <w:t>Price Per Share: $10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FSD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6" w:name="page107"/>
    <w:bookmarkEnd w:id="106"/>
    <w:p>
      <w:pPr>
        <w:ind w:left="660"/>
        <w:spacing w:after="0"/>
        <w:rPr>
          <w:sz w:val="20"/>
          <w:szCs w:val="20"/>
          <w:color w:val="auto"/>
        </w:rPr>
      </w:pPr>
      <w:r>
        <w:rPr>
          <w:rFonts w:ascii="Arial" w:cs="Arial" w:eastAsia="Arial" w:hAnsi="Arial"/>
          <w:sz w:val="16"/>
          <w:szCs w:val="16"/>
          <w:color w:val="auto"/>
        </w:rPr>
        <w:t>IN WITNESS WHEREOF, FSD has accepted this Subscription Agreement as of the date set forth below.</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6350</wp:posOffset>
            </wp:positionV>
            <wp:extent cx="24174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229" w:lineRule="exact"/>
        <w:rPr>
          <w:sz w:val="20"/>
          <w:szCs w:val="20"/>
          <w:color w:val="auto"/>
        </w:rPr>
      </w:pPr>
    </w:p>
    <w:p>
      <w:pPr>
        <w:ind w:left="460" w:right="7060" w:hanging="452"/>
        <w:spacing w:after="0" w:line="308"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13" w:lineRule="exact"/>
        <w:rPr>
          <w:rFonts w:ascii="Arial" w:cs="Arial" w:eastAsia="Arial" w:hAnsi="Arial"/>
          <w:sz w:val="17"/>
          <w:szCs w:val="17"/>
          <w:color w:val="auto"/>
        </w:rPr>
      </w:pPr>
    </w:p>
    <w:p>
      <w:pPr>
        <w:ind w:left="440"/>
        <w:spacing w:after="0" w:line="207"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257" w:lineRule="exact"/>
        <w:rPr>
          <w:rFonts w:ascii="Arial" w:cs="Arial" w:eastAsia="Arial" w:hAnsi="Arial"/>
          <w:sz w:val="17"/>
          <w:szCs w:val="17"/>
          <w:color w:val="auto"/>
        </w:rPr>
      </w:pPr>
    </w:p>
    <w:p>
      <w:pPr>
        <w:ind w:left="460" w:right="6620" w:hanging="452"/>
        <w:spacing w:after="0" w:line="308"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114" w:lineRule="exact"/>
        <w:rPr>
          <w:sz w:val="20"/>
          <w:szCs w:val="20"/>
          <w:color w:val="auto"/>
        </w:rPr>
      </w:pPr>
    </w:p>
    <w:p>
      <w:pPr>
        <w:jc w:val="both"/>
        <w:ind w:left="900" w:hanging="447"/>
        <w:spacing w:after="0" w:line="232" w:lineRule="exact"/>
        <w:tabs>
          <w:tab w:leader="none" w:pos="900" w:val="left"/>
        </w:tabs>
        <w:numPr>
          <w:ilvl w:val="0"/>
          <w:numId w:val="1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386" w:lineRule="exact"/>
        <w:rPr>
          <w:rFonts w:ascii="Arial" w:cs="Arial" w:eastAsia="Arial" w:hAnsi="Arial"/>
          <w:sz w:val="18"/>
          <w:szCs w:val="18"/>
          <w:color w:val="auto"/>
        </w:rPr>
      </w:pPr>
    </w:p>
    <w:p>
      <w:pPr>
        <w:ind w:left="900" w:hanging="447"/>
        <w:spacing w:after="0" w:line="207" w:lineRule="exact"/>
        <w:tabs>
          <w:tab w:leader="none" w:pos="900" w:val="left"/>
        </w:tabs>
        <w:numPr>
          <w:ilvl w:val="0"/>
          <w:numId w:val="1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91" w:lineRule="exact"/>
        <w:rPr>
          <w:sz w:val="20"/>
          <w:szCs w:val="20"/>
          <w:color w:val="auto"/>
        </w:rPr>
      </w:pPr>
    </w:p>
    <w:p>
      <w:pPr>
        <w:ind w:left="440" w:firstLine="9"/>
        <w:spacing w:after="0" w:line="277" w:lineRule="auto"/>
        <w:tabs>
          <w:tab w:leader="none" w:pos="661"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37"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60"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47" w:val="left"/>
        </w:tabs>
        <w:numPr>
          <w:ilvl w:val="0"/>
          <w:numId w:val="113"/>
        </w:numPr>
        <w:rPr>
          <w:rFonts w:ascii="MS PGothic" w:cs="MS PGothic" w:eastAsia="MS PGothic" w:hAnsi="MS PGothic"/>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70" w:lineRule="exact"/>
        <w:rPr>
          <w:rFonts w:ascii="MS PGothic" w:cs="MS PGothic" w:eastAsia="MS PGothic" w:hAnsi="MS PGothic"/>
          <w:sz w:val="18"/>
          <w:szCs w:val="18"/>
          <w:color w:val="auto"/>
        </w:rPr>
      </w:pPr>
    </w:p>
    <w:p>
      <w:pPr>
        <w:ind w:left="640" w:hanging="191"/>
        <w:spacing w:after="0"/>
        <w:tabs>
          <w:tab w:leader="none" w:pos="640" w:val="left"/>
        </w:tabs>
        <w:numPr>
          <w:ilvl w:val="0"/>
          <w:numId w:val="113"/>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640" w:hanging="191"/>
        <w:spacing w:after="0"/>
        <w:tabs>
          <w:tab w:leader="none" w:pos="640" w:val="left"/>
        </w:tabs>
        <w:numPr>
          <w:ilvl w:val="1"/>
          <w:numId w:val="114"/>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INSTITUTIONAL ACCOUNTS STATUS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2"/>
          <w:numId w:val="114"/>
        </w:numPr>
        <w:rPr>
          <w:rFonts w:ascii="MS PGothic" w:cs="MS PGothic" w:eastAsia="MS PGothic" w:hAnsi="MS PGothic"/>
          <w:sz w:val="18"/>
          <w:szCs w:val="18"/>
          <w:color w:val="auto"/>
        </w:rPr>
      </w:pPr>
      <w:r>
        <w:rPr>
          <w:rFonts w:ascii="Arial" w:cs="Arial" w:eastAsia="Arial" w:hAnsi="Arial"/>
          <w:sz w:val="18"/>
          <w:szCs w:val="18"/>
          <w:color w:val="auto"/>
        </w:rPr>
        <w:t>We are an “institutional account” (as defined in FINRA RULE 4512(c)).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ACCREDITED INVESTOR STATUS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check the applicable subparagraphs):</w:t>
      </w:r>
    </w:p>
    <w:p>
      <w:pPr>
        <w:spacing w:after="0" w:line="192" w:lineRule="exact"/>
        <w:rPr>
          <w:sz w:val="20"/>
          <w:szCs w:val="20"/>
          <w:color w:val="auto"/>
        </w:rPr>
      </w:pPr>
    </w:p>
    <w:p>
      <w:pPr>
        <w:jc w:val="both"/>
        <w:ind w:left="900" w:hanging="447"/>
        <w:spacing w:after="0" w:line="232" w:lineRule="exact"/>
        <w:tabs>
          <w:tab w:leader="none" w:pos="900" w:val="left"/>
        </w:tabs>
        <w:numPr>
          <w:ilvl w:val="0"/>
          <w:numId w:val="1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Arial" w:cs="Arial" w:eastAsia="Arial" w:hAnsi="Arial"/>
          <w:sz w:val="18"/>
          <w:szCs w:val="18"/>
          <w:color w:val="auto"/>
        </w:rPr>
      </w:pPr>
    </w:p>
    <w:p>
      <w:pPr>
        <w:ind w:left="900" w:hanging="447"/>
        <w:spacing w:after="0" w:line="207" w:lineRule="exact"/>
        <w:tabs>
          <w:tab w:leader="none" w:pos="900" w:val="left"/>
        </w:tabs>
        <w:numPr>
          <w:ilvl w:val="0"/>
          <w:numId w:val="1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am a natural person.</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7" w:lineRule="exact"/>
        <w:rPr>
          <w:sz w:val="20"/>
          <w:szCs w:val="20"/>
          <w:color w:val="auto"/>
        </w:rPr>
      </w:pPr>
    </w:p>
    <w:p>
      <w:pPr>
        <w:ind w:left="440" w:firstLine="9"/>
        <w:spacing w:after="0" w:line="277" w:lineRule="auto"/>
        <w:tabs>
          <w:tab w:leader="none" w:pos="642" w:val="left"/>
        </w:tabs>
        <w:numPr>
          <w:ilvl w:val="0"/>
          <w:numId w:val="116"/>
        </w:numPr>
        <w:rPr>
          <w:rFonts w:ascii="MS PGothic" w:cs="MS PGothic" w:eastAsia="MS PGothic" w:hAnsi="MS PGothic"/>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70" w:lineRule="exact"/>
        <w:rPr>
          <w:rFonts w:ascii="MS PGothic" w:cs="MS PGothic" w:eastAsia="MS PGothic" w:hAnsi="MS PGothic"/>
          <w:sz w:val="18"/>
          <w:szCs w:val="18"/>
          <w:color w:val="auto"/>
        </w:rPr>
      </w:pPr>
    </w:p>
    <w:p>
      <w:pPr>
        <w:jc w:val="both"/>
        <w:ind w:left="440" w:firstLine="9"/>
        <w:spacing w:after="0" w:line="293" w:lineRule="auto"/>
        <w:tabs>
          <w:tab w:leader="none" w:pos="646" w:val="left"/>
        </w:tabs>
        <w:numPr>
          <w:ilvl w:val="0"/>
          <w:numId w:val="116"/>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64" w:lineRule="exact"/>
        <w:rPr>
          <w:rFonts w:ascii="MS PGothic" w:cs="MS PGothic" w:eastAsia="MS PGothic" w:hAnsi="MS PGothic"/>
          <w:sz w:val="16"/>
          <w:szCs w:val="16"/>
          <w:color w:val="auto"/>
        </w:rPr>
      </w:pPr>
    </w:p>
    <w:p>
      <w:pPr>
        <w:ind w:left="440" w:firstLine="9"/>
        <w:spacing w:after="0" w:line="342" w:lineRule="auto"/>
        <w:tabs>
          <w:tab w:leader="none" w:pos="647" w:val="left"/>
        </w:tabs>
        <w:numPr>
          <w:ilvl w:val="0"/>
          <w:numId w:val="116"/>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103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SUPPORT AGREEMENT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This PARENT SUPPORT AGREEMENT, dated as of October __,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FS Development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Gemini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FS Development Holdings,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and each of the stockholders of Parent whose names appear on the signature pages of this Agreement (each, a “</w:t>
      </w:r>
      <w:r>
        <w:rPr>
          <w:rFonts w:ascii="Arial" w:cs="Arial" w:eastAsia="Arial" w:hAnsi="Arial"/>
          <w:sz w:val="18"/>
          <w:szCs w:val="18"/>
          <w:u w:val="single" w:color="auto"/>
          <w:color w:val="auto"/>
        </w:rPr>
        <w:t>Founder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Founders</w:t>
      </w:r>
      <w:r>
        <w:rPr>
          <w:rFonts w:ascii="Arial" w:cs="Arial" w:eastAsia="Arial" w:hAnsi="Arial"/>
          <w:sz w:val="18"/>
          <w:szCs w:val="18"/>
          <w:color w:val="auto"/>
        </w:rPr>
        <w:t>”). Capitalized terms used herein and not otherwise defined will have the meaning given such terms in the Merger Agreement (as defined below).</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WHEREAS, concurrently herewith, Parent,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FS Development Holdings,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WHEREAS, as of the date hereof, each Founder owns of record the number of Parent Class A Shares and Parent Class B Shares as set forth opposite such Founder’s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 and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in order to induce Parent and the Company to enter into the Merger Agreement, the Founders are executing and delivering this Agreement to Parent and the Company.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170" w:lineRule="exact"/>
        <w:rPr>
          <w:sz w:val="20"/>
          <w:szCs w:val="20"/>
          <w:color w:val="auto"/>
        </w:rPr>
      </w:pPr>
    </w:p>
    <w:p>
      <w:pPr>
        <w:jc w:val="both"/>
        <w:ind w:firstLine="656"/>
        <w:spacing w:after="0" w:line="255" w:lineRule="auto"/>
        <w:tabs>
          <w:tab w:leader="none" w:pos="82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92" w:lineRule="exact"/>
        <w:rPr>
          <w:rFonts w:ascii="Arial" w:cs="Arial" w:eastAsia="Arial" w:hAnsi="Arial"/>
          <w:sz w:val="18"/>
          <w:szCs w:val="18"/>
          <w:color w:val="auto"/>
        </w:rPr>
      </w:pPr>
    </w:p>
    <w:p>
      <w:pPr>
        <w:jc w:val="both"/>
        <w:ind w:firstLine="656"/>
        <w:spacing w:after="0" w:line="293" w:lineRule="auto"/>
        <w:tabs>
          <w:tab w:leader="none" w:pos="828"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56"/>
        <w:spacing w:after="0" w:line="254" w:lineRule="auto"/>
        <w:tabs>
          <w:tab w:leader="none" w:pos="82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Waiver of Anti-Dilution Provision</w:t>
      </w:r>
      <w:r>
        <w:rPr>
          <w:rFonts w:ascii="Arial" w:cs="Arial" w:eastAsia="Arial" w:hAnsi="Arial"/>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94" w:lineRule="exact"/>
        <w:rPr>
          <w:rFonts w:ascii="Arial" w:cs="Arial" w:eastAsia="Arial" w:hAnsi="Arial"/>
          <w:sz w:val="18"/>
          <w:szCs w:val="18"/>
          <w:color w:val="auto"/>
        </w:rPr>
      </w:pPr>
    </w:p>
    <w:p>
      <w:pPr>
        <w:jc w:val="both"/>
        <w:ind w:firstLine="656"/>
        <w:spacing w:after="0" w:line="279" w:lineRule="auto"/>
        <w:tabs>
          <w:tab w:leader="none" w:pos="828"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Unpaid Parent Liabilities</w:t>
      </w:r>
      <w:r>
        <w:rPr>
          <w:rFonts w:ascii="Arial" w:cs="Arial" w:eastAsia="Arial" w:hAnsi="Arial"/>
          <w:sz w:val="17"/>
          <w:szCs w:val="17"/>
          <w:color w:val="auto"/>
        </w:rPr>
        <w:t>. Sponsor agrees that in the event the Unpaid Parent Liabilities as of immediately prior to the Closing are greater than the $11,500,000 (the “</w:t>
      </w:r>
      <w:r>
        <w:rPr>
          <w:rFonts w:ascii="Arial" w:cs="Arial" w:eastAsia="Arial" w:hAnsi="Arial"/>
          <w:sz w:val="17"/>
          <w:szCs w:val="17"/>
          <w:u w:val="single" w:color="auto"/>
          <w:color w:val="auto"/>
        </w:rPr>
        <w:t>Maximum Liability Amount</w:t>
      </w:r>
      <w:r>
        <w:rPr>
          <w:rFonts w:ascii="Arial" w:cs="Arial" w:eastAsia="Arial" w:hAnsi="Arial"/>
          <w:sz w:val="17"/>
          <w:szCs w:val="17"/>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Founder, severally and not jointly, represents and warrants to the Company as follows:</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57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of such Founder) or (iv) conflict with or result in a breach of or constitute a default under any provision of such Founder’s Organizational Documents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5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Such Founder owns of record and has good, valid and marketable title to the Shares set forth opposite the Founder’s name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86" w:lineRule="exact"/>
        <w:rPr>
          <w:rFonts w:ascii="Arial" w:cs="Arial" w:eastAsia="Arial" w:hAnsi="Arial"/>
          <w:sz w:val="18"/>
          <w:szCs w:val="18"/>
          <w:color w:val="auto"/>
        </w:rPr>
      </w:pPr>
    </w:p>
    <w:p>
      <w:pPr>
        <w:ind w:firstLine="1304"/>
        <w:spacing w:after="0" w:line="277" w:lineRule="auto"/>
        <w:tabs>
          <w:tab w:leader="none" w:pos="154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Founder has the power, authority and capacity to execute, deliver and perform this Agreement and that this Agreement has been duly authorized, executed and delivered by such Founder.</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2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59" w:lineRule="auto"/>
        <w:tabs>
          <w:tab w:leader="none" w:pos="15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One Kendall Square, 3rd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Mitchell S. Bloom</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Laurie A. Burlingame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lburlingame@goodwinlaw.com</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despinoza@goodwinlaw.com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Parent or Merger Sub:</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to a Founder, to the address or facsimile number set forth for Founder on the signature page hereof.</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304"/>
        <w:spacing w:after="0" w:line="255" w:lineRule="auto"/>
        <w:tabs>
          <w:tab w:leader="none" w:pos="154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57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15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7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83" w:lineRule="exact"/>
        <w:rPr>
          <w:rFonts w:ascii="Arial" w:cs="Arial" w:eastAsia="Arial" w:hAnsi="Arial"/>
          <w:sz w:val="18"/>
          <w:szCs w:val="18"/>
          <w:color w:val="auto"/>
        </w:rPr>
      </w:pPr>
    </w:p>
    <w:p>
      <w:pPr>
        <w:jc w:val="both"/>
        <w:ind w:firstLine="1304"/>
        <w:spacing w:after="0" w:line="272" w:lineRule="auto"/>
        <w:tabs>
          <w:tab w:leader="none" w:pos="156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63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This Agreement shall not be effective or binding upon the Company, Sponsor or any Founder until such time as the Merger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is executed.</w:t>
      </w:r>
    </w:p>
    <w:p>
      <w:pPr>
        <w:spacing w:after="0" w:line="210" w:lineRule="exact"/>
        <w:rPr>
          <w:rFonts w:ascii="Arial" w:cs="Arial" w:eastAsia="Arial" w:hAnsi="Arial"/>
          <w:sz w:val="17"/>
          <w:szCs w:val="17"/>
          <w:color w:val="auto"/>
        </w:rPr>
      </w:pPr>
    </w:p>
    <w:p>
      <w:pPr>
        <w:jc w:val="both"/>
        <w:ind w:firstLine="1304"/>
        <w:spacing w:after="0" w:line="296" w:lineRule="auto"/>
        <w:tabs>
          <w:tab w:leader="none" w:pos="155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ind w:right="239"/>
        <w:spacing w:after="0"/>
        <w:rPr>
          <w:sz w:val="20"/>
          <w:szCs w:val="20"/>
          <w:color w:val="auto"/>
        </w:rPr>
      </w:pPr>
      <w:r>
        <w:rPr>
          <w:rFonts w:ascii="Arial" w:cs="Arial" w:eastAsia="Arial" w:hAnsi="Arial"/>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FOUNDERS: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Robert Carey</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Daniel Dubin</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Address: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Deepa Pakianathan</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15" w:name="page116"/>
    <w:bookmarkEnd w:id="115"/>
    <w:p>
      <w:pPr>
        <w:jc w:val="center"/>
        <w:ind w:left="328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1660"/>
        <w:spacing w:after="0"/>
        <w:rPr>
          <w:sz w:val="20"/>
          <w:szCs w:val="20"/>
          <w:color w:val="auto"/>
        </w:rPr>
      </w:pPr>
      <w:r>
        <w:rPr>
          <w:rFonts w:ascii="Arial" w:cs="Arial" w:eastAsia="Arial" w:hAnsi="Arial"/>
          <w:sz w:val="18"/>
          <w:szCs w:val="18"/>
          <w:u w:val="single" w:color="auto"/>
          <w:color w:val="auto"/>
        </w:rPr>
        <w:t>THE FOUNDERS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Holdings,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Robert Carey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Parent Class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Parent Class</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 Common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B Common</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441,500</w:t>
            </w:r>
          </w:p>
        </w:tc>
        <w:tc>
          <w:tcPr>
            <w:tcW w:w="1120" w:type="dxa"/>
            <w:vAlign w:val="bottom"/>
          </w:tcPr>
          <w:p>
            <w:pPr>
              <w:jc w:val="right"/>
              <w:spacing w:after="0"/>
              <w:rPr>
                <w:sz w:val="20"/>
                <w:szCs w:val="20"/>
                <w:color w:val="auto"/>
              </w:rPr>
            </w:pPr>
            <w:r>
              <w:rPr>
                <w:rFonts w:ascii="Arial" w:cs="Arial" w:eastAsia="Arial" w:hAnsi="Arial"/>
                <w:sz w:val="18"/>
                <w:szCs w:val="18"/>
                <w:color w:val="auto"/>
              </w:rPr>
              <w:t>2,928,750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r>
    </w:tbl>
    <w:p>
      <w:pPr>
        <w:sectPr>
          <w:pgSz w:w="11900" w:h="16838" w:orient="portrait"/>
          <w:cols w:equalWidth="0" w:num="2">
            <w:col w:w="7960" w:space="720"/>
            <w:col w:w="2460"/>
          </w:cols>
          <w:pgMar w:left="320" w:top="904" w:right="439" w:bottom="1440" w:gutter="0" w:footer="0" w:header="0"/>
        </w:sectPr>
      </w:pPr>
    </w:p>
    <w:bookmarkStart w:id="116" w:name="page117"/>
    <w:bookmarkEnd w:id="116"/>
    <w:p>
      <w:pPr>
        <w:ind w:left="1030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VOTING AGREEMENT dated as of [●],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FS Development Holdings, LLC, a Delaware limited liability company (“</w:t>
      </w:r>
      <w:r>
        <w:rPr>
          <w:rFonts w:ascii="Arial" w:cs="Arial" w:eastAsia="Arial" w:hAnsi="Arial"/>
          <w:sz w:val="17"/>
          <w:szCs w:val="17"/>
          <w:u w:val="single" w:color="auto"/>
          <w:color w:val="auto"/>
        </w:rPr>
        <w:t>FS Sponsor</w:t>
      </w:r>
      <w:r>
        <w:rPr>
          <w:rFonts w:ascii="Arial" w:cs="Arial" w:eastAsia="Arial" w:hAnsi="Arial"/>
          <w:sz w:val="17"/>
          <w:szCs w:val="17"/>
          <w:color w:val="auto"/>
        </w:rPr>
        <w:t>”), Gemini Therapeutics, Inc., a Delaware corporation formerly known as FS Development Corp. (the “</w:t>
      </w:r>
      <w:r>
        <w:rPr>
          <w:rFonts w:ascii="Arial" w:cs="Arial" w:eastAsia="Arial" w:hAnsi="Arial"/>
          <w:sz w:val="17"/>
          <w:szCs w:val="17"/>
          <w:u w:val="single" w:color="auto"/>
          <w:color w:val="auto"/>
        </w:rPr>
        <w:t>Company</w:t>
      </w:r>
      <w:r>
        <w:rPr>
          <w:rFonts w:ascii="Arial" w:cs="Arial" w:eastAsia="Arial" w:hAnsi="Arial"/>
          <w:sz w:val="17"/>
          <w:szCs w:val="17"/>
          <w:color w:val="auto"/>
        </w:rPr>
        <w:t>”), and each of the individuals and entities executing a counterpart signature page to this Agreement (each, a “</w:t>
      </w:r>
      <w:r>
        <w:rPr>
          <w:rFonts w:ascii="Arial" w:cs="Arial" w:eastAsia="Arial" w:hAnsi="Arial"/>
          <w:sz w:val="17"/>
          <w:szCs w:val="17"/>
          <w:u w:val="single" w:color="auto"/>
          <w:color w:val="auto"/>
        </w:rPr>
        <w:t>Voting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Voting Parties</w:t>
      </w:r>
      <w:r>
        <w:rPr>
          <w:rFonts w:ascii="Arial" w:cs="Arial" w:eastAsia="Arial" w:hAnsi="Arial"/>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reference is made to that certain Agreement and Plan of Merger, dated as of October [●], 2020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Parent,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Arial" w:cs="Arial" w:eastAsia="Arial" w:hAnsi="Arial"/>
          <w:sz w:val="18"/>
          <w:szCs w:val="18"/>
          <w:u w:val="single" w:color="auto"/>
          <w:color w:val="auto"/>
        </w:rPr>
        <w:t>Gemini</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all capitalized terms used, but not otherwise defined herein, shall have the meanings ascribed to such terms in the Merger Agreement;</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execution and delivery of this Agreement is a condition to the closing of the Merger and the other transactions contemplated by the Merger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56"/>
        <w:spacing w:after="0" w:line="266" w:lineRule="auto"/>
        <w:tabs>
          <w:tab w:leader="none" w:pos="841"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Agreement to Vote</w:t>
      </w:r>
      <w:r>
        <w:rPr>
          <w:rFonts w:ascii="Arial" w:cs="Arial" w:eastAsia="Arial" w:hAnsi="Arial"/>
          <w:sz w:val="18"/>
          <w:szCs w:val="18"/>
          <w:color w:val="auto"/>
        </w:rPr>
        <w:t>. During the Term (as defined below), each Voting Party agrees to vote all voting securities of the Company that it owns</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 may vote in the election of the Company’s directors (collectively, “</w:t>
      </w:r>
      <w:r>
        <w:rPr>
          <w:rFonts w:ascii="Arial" w:cs="Arial" w:eastAsia="Arial" w:hAnsi="Arial"/>
          <w:sz w:val="18"/>
          <w:szCs w:val="18"/>
          <w:u w:val="single" w:color="auto"/>
          <w:color w:val="auto"/>
        </w:rPr>
        <w:t>Voting Shares</w:t>
      </w:r>
      <w:r>
        <w:rPr>
          <w:rFonts w:ascii="Arial" w:cs="Arial" w:eastAsia="Arial" w:hAnsi="Arial"/>
          <w:sz w:val="18"/>
          <w:szCs w:val="18"/>
          <w:color w:val="auto"/>
        </w:rPr>
        <w:t>”) in accordance with the provisions of this Agreement, whether at a regular or special meeting of stockholders or by written consent.</w:t>
      </w:r>
    </w:p>
    <w:p>
      <w:pPr>
        <w:spacing w:after="0" w:line="175" w:lineRule="exact"/>
        <w:rPr>
          <w:rFonts w:ascii="Arial" w:cs="Arial" w:eastAsia="Arial" w:hAnsi="Arial"/>
          <w:sz w:val="18"/>
          <w:szCs w:val="18"/>
          <w:color w:val="auto"/>
        </w:rPr>
      </w:pPr>
    </w:p>
    <w:p>
      <w:pPr>
        <w:ind w:left="840" w:hanging="184"/>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spacing w:after="0" w:line="277" w:lineRule="auto"/>
        <w:rPr>
          <w:sz w:val="20"/>
          <w:szCs w:val="20"/>
          <w:color w:val="auto"/>
        </w:rPr>
      </w:pPr>
      <w:r>
        <w:rPr>
          <w:rFonts w:ascii="Arial" w:cs="Arial" w:eastAsia="Arial" w:hAnsi="Arial"/>
          <w:sz w:val="18"/>
          <w:szCs w:val="18"/>
          <w:color w:val="auto"/>
        </w:rPr>
        <w:t>The full seven (7) member Board will be comprised of Jason Meyenberg, Jim Tananbaum, Carl Gordon and four (4) other rmembers of the Gemini board of directors.</w:t>
      </w:r>
    </w:p>
    <w:p>
      <w:pPr>
        <w:spacing w:after="0" w:line="17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8"/>
          <w:szCs w:val="18"/>
          <w:color w:val="auto"/>
        </w:rPr>
        <w:t>2.2 Until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 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20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2.3 Provisions relating to authority to appoint four (4) of the Gemini directors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to be determined by Gemini’s current board of directors at its sole discretion.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75" w:lineRule="exact"/>
        <w:rPr>
          <w:sz w:val="20"/>
          <w:szCs w:val="20"/>
          <w:color w:val="auto"/>
        </w:rPr>
      </w:pPr>
    </w:p>
    <w:p>
      <w:pPr>
        <w:jc w:val="both"/>
        <w:ind w:firstLine="656"/>
        <w:spacing w:after="0" w:line="314" w:lineRule="auto"/>
        <w:tabs>
          <w:tab w:leader="none" w:pos="841"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Successors in Interest of the Voting Parties and the Company</w:t>
      </w:r>
      <w:r>
        <w:rPr>
          <w:rFonts w:ascii="Arial" w:cs="Arial" w:eastAsia="Arial" w:hAnsi="Arial"/>
          <w:sz w:val="16"/>
          <w:szCs w:val="16"/>
          <w:color w:val="auto"/>
        </w:rPr>
        <w:t>. The provisions of this Agreement shall be binding upon the successors in</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Arial" w:cs="Arial" w:eastAsia="Arial" w:hAnsi="Arial"/>
          <w:sz w:val="16"/>
          <w:szCs w:val="16"/>
          <w:u w:val="single" w:color="auto"/>
          <w:color w:val="auto"/>
        </w:rPr>
        <w:t>Trading Market</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jc w:val="both"/>
        <w:ind w:firstLine="656"/>
        <w:spacing w:after="0" w:line="266" w:lineRule="auto"/>
        <w:tabs>
          <w:tab w:leader="none" w:pos="828"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Grant of Proxy</w:t>
      </w:r>
      <w:r>
        <w:rPr>
          <w:rFonts w:ascii="Arial" w:cs="Arial" w:eastAsia="Arial" w:hAnsi="Arial"/>
          <w:sz w:val="18"/>
          <w:szCs w:val="18"/>
          <w:color w:val="auto"/>
        </w:rPr>
        <w:t>. The parties agree that this Agreement does not constitute the granting of a proxy to any party or any other person;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56"/>
        <w:spacing w:after="0" w:line="277" w:lineRule="auto"/>
        <w:tabs>
          <w:tab w:leader="none" w:pos="828"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Specific Enforcement</w:t>
      </w:r>
      <w:r>
        <w:rPr>
          <w:rFonts w:ascii="Arial" w:cs="Arial" w:eastAsia="Arial" w:hAnsi="Arial"/>
          <w:sz w:val="17"/>
          <w:szCs w:val="17"/>
          <w:color w:val="auto"/>
        </w:rPr>
        <w:t>. It is agreed and understood that (a) monetary damages would not adequately compensate an injured party for the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by any party hereto, (b) this Agreement shall be specifically enforceable and (c) any breach of this Agreement shall be the proper subject of a temporary or permanent injunction or restraining order. Further, each party hereto waives any claim or defence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71" w:lineRule="exact"/>
        <w:rPr>
          <w:rFonts w:ascii="Arial" w:cs="Arial" w:eastAsia="Arial" w:hAnsi="Arial"/>
          <w:sz w:val="17"/>
          <w:szCs w:val="17"/>
          <w:color w:val="auto"/>
        </w:rPr>
      </w:pPr>
    </w:p>
    <w:p>
      <w:pPr>
        <w:ind w:firstLine="656"/>
        <w:spacing w:after="0" w:line="277" w:lineRule="auto"/>
        <w:tabs>
          <w:tab w:leader="none" w:pos="8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Manner of Voting. The voting of the Voting Shares pursuant to this Agreement may be effected in person, by proxy, by written consent or in any other manner permitted by applicable law.</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This Agreement shall terminate on the last day of the Term.</w:t>
      </w:r>
    </w:p>
    <w:p>
      <w:pPr>
        <w:spacing w:after="0" w:line="225" w:lineRule="exact"/>
        <w:rPr>
          <w:rFonts w:ascii="Arial" w:cs="Arial" w:eastAsia="Arial" w:hAnsi="Arial"/>
          <w:sz w:val="18"/>
          <w:szCs w:val="18"/>
          <w:color w:val="auto"/>
        </w:rPr>
      </w:pPr>
    </w:p>
    <w:p>
      <w:pPr>
        <w:jc w:val="both"/>
        <w:ind w:firstLine="656"/>
        <w:spacing w:after="0" w:line="266" w:lineRule="auto"/>
        <w:tabs>
          <w:tab w:leader="none" w:pos="82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Amendments and Waivers</w:t>
      </w:r>
      <w:r>
        <w:rPr>
          <w:rFonts w:ascii="Arial" w:cs="Arial" w:eastAsia="Arial" w:hAnsi="Arial"/>
          <w:sz w:val="18"/>
          <w:szCs w:val="18"/>
          <w:color w:val="auto"/>
        </w:rPr>
        <w:t>. Except as otherwise provided herein, any provision of this Agreement may be amended, or the observance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may be waived (either generally or in a particular instance and either retroactively or prospectively) only with the written consent of the Company, FS Sponsor and [●].</w:t>
      </w:r>
    </w:p>
    <w:p>
      <w:pPr>
        <w:spacing w:after="0" w:line="175" w:lineRule="exact"/>
        <w:rPr>
          <w:rFonts w:ascii="Arial" w:cs="Arial" w:eastAsia="Arial" w:hAnsi="Arial"/>
          <w:sz w:val="18"/>
          <w:szCs w:val="18"/>
          <w:color w:val="auto"/>
        </w:rPr>
      </w:pPr>
    </w:p>
    <w:p>
      <w:pPr>
        <w:ind w:firstLine="656"/>
        <w:spacing w:after="0" w:line="282" w:lineRule="auto"/>
        <w:tabs>
          <w:tab w:leader="none" w:pos="841"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Stock Splits, Stock Dividends, etc</w:t>
      </w:r>
      <w:r>
        <w:rPr>
          <w:rFonts w:ascii="Arial" w:cs="Arial" w:eastAsia="Arial" w:hAnsi="Arial"/>
          <w:sz w:val="18"/>
          <w:szCs w:val="18"/>
          <w:color w:val="auto"/>
        </w:rPr>
        <w:t>. In the event of any stock split, stock dividend, recapitalization, reorganization or the like, 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with respect to Voting Shares held by the Voting Parties shall become Voting Shares for purposes of this Agreement.</w:t>
      </w:r>
    </w:p>
    <w:p>
      <w:pPr>
        <w:spacing w:after="0" w:line="161" w:lineRule="exact"/>
        <w:rPr>
          <w:rFonts w:ascii="Arial" w:cs="Arial" w:eastAsia="Arial" w:hAnsi="Arial"/>
          <w:sz w:val="18"/>
          <w:szCs w:val="18"/>
          <w:color w:val="auto"/>
        </w:rPr>
      </w:pPr>
    </w:p>
    <w:p>
      <w:pPr>
        <w:ind w:right="20" w:firstLine="656"/>
        <w:spacing w:after="0" w:line="282" w:lineRule="auto"/>
        <w:tabs>
          <w:tab w:leader="none" w:pos="95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that any provision of the Agreement shall be invalid, illegal or unenforceable,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shall not in any way be affected or impaired thereby.</w:t>
      </w:r>
    </w:p>
    <w:p>
      <w:pPr>
        <w:spacing w:after="0" w:line="161" w:lineRule="exact"/>
        <w:rPr>
          <w:rFonts w:ascii="Arial" w:cs="Arial" w:eastAsia="Arial" w:hAnsi="Arial"/>
          <w:sz w:val="18"/>
          <w:szCs w:val="18"/>
          <w:color w:val="auto"/>
        </w:rPr>
      </w:pPr>
    </w:p>
    <w:p>
      <w:pPr>
        <w:ind w:firstLine="656"/>
        <w:spacing w:after="0" w:line="282" w:lineRule="auto"/>
        <w:tabs>
          <w:tab w:leader="none" w:pos="93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legal relations between the parties arising hereunder shall be governed by and interpreted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Delaware without reference to its conflicts of law provisions.</w:t>
      </w:r>
    </w:p>
    <w:p>
      <w:pPr>
        <w:spacing w:after="0" w:line="161" w:lineRule="exact"/>
        <w:rPr>
          <w:rFonts w:ascii="Arial" w:cs="Arial" w:eastAsia="Arial" w:hAnsi="Arial"/>
          <w:sz w:val="18"/>
          <w:szCs w:val="18"/>
          <w:color w:val="auto"/>
        </w:rPr>
      </w:pPr>
    </w:p>
    <w:p>
      <w:pPr>
        <w:jc w:val="both"/>
        <w:ind w:firstLine="656"/>
        <w:spacing w:after="0" w:line="261" w:lineRule="auto"/>
        <w:tabs>
          <w:tab w:leader="none" w:pos="931"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Counterparts; Electronic Execution or Delivery</w:t>
      </w:r>
      <w:r>
        <w:rPr>
          <w:rFonts w:ascii="Arial" w:cs="Arial" w:eastAsia="Arial" w:hAnsi="Arial"/>
          <w:sz w:val="18"/>
          <w:szCs w:val="18"/>
          <w:color w:val="auto"/>
        </w:rPr>
        <w:t>. This Agreement may be executed in two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179" w:lineRule="exact"/>
        <w:rPr>
          <w:rFonts w:ascii="Arial" w:cs="Arial" w:eastAsia="Arial" w:hAnsi="Arial"/>
          <w:sz w:val="18"/>
          <w:szCs w:val="18"/>
          <w:color w:val="auto"/>
        </w:rPr>
      </w:pPr>
    </w:p>
    <w:p>
      <w:pPr>
        <w:ind w:firstLine="656"/>
        <w:spacing w:after="0" w:line="282" w:lineRule="auto"/>
        <w:tabs>
          <w:tab w:leader="none" w:pos="91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Except as otherwise expressly provided in this Agreement, the provisions hereof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the successors and assigns of the parties hereto.</w:t>
      </w:r>
    </w:p>
    <w:p>
      <w:pPr>
        <w:spacing w:after="0" w:line="161" w:lineRule="exact"/>
        <w:rPr>
          <w:rFonts w:ascii="Arial" w:cs="Arial" w:eastAsia="Arial" w:hAnsi="Arial"/>
          <w:sz w:val="18"/>
          <w:szCs w:val="18"/>
          <w:color w:val="auto"/>
        </w:rPr>
      </w:pPr>
    </w:p>
    <w:p>
      <w:pPr>
        <w:jc w:val="both"/>
        <w:ind w:right="20" w:firstLine="656"/>
        <w:spacing w:after="0" w:line="266" w:lineRule="auto"/>
        <w:tabs>
          <w:tab w:leader="none" w:pos="91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full and entire understanding and agreement among the parties, and supersedes any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IN WITNESS WHEREOF, this Voting Agreement is hereby executed effective as of the date first set forth above.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Holdings, LLC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 Delaware corporation f/k/a FS Development Corp.</w:t>
      </w:r>
    </w:p>
    <w:p>
      <w:pPr>
        <w:spacing w:after="0" w:line="2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980" w:top="908" w:right="1039" w:bottom="1440" w:gutter="0" w:footer="0" w:header="0"/>
        </w:sectPr>
      </w:pPr>
    </w:p>
    <w:bookmarkStart w:id="120" w:name="page121"/>
    <w:bookmarkEnd w:id="120"/>
    <w:p>
      <w:pPr>
        <w:ind w:left="5640"/>
        <w:spacing w:after="0"/>
        <w:rPr>
          <w:sz w:val="20"/>
          <w:szCs w:val="20"/>
          <w:color w:val="auto"/>
        </w:rPr>
      </w:pPr>
      <w:r>
        <w:rPr>
          <w:rFonts w:ascii="Arial" w:cs="Arial" w:eastAsia="Arial" w:hAnsi="Arial"/>
          <w:sz w:val="18"/>
          <w:szCs w:val="18"/>
          <w:b w:val="1"/>
          <w:bCs w:val="1"/>
          <w:color w:val="auto"/>
        </w:rPr>
        <w:t>VOTING PARTIES: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LIGHTSTONE VENTURES,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LIGHTSTONE SINGAPORE,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6350</wp:posOffset>
            </wp:positionV>
            <wp:extent cx="24174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1" w:name="page122"/>
    <w:bookmarkEnd w:id="121"/>
    <w:p>
      <w:pPr>
        <w:ind w:left="56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6350</wp:posOffset>
            </wp:positionV>
            <wp:extent cx="24174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Atlas Venture Associates X,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Atlas Venture Associates X,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Wu Capital Investment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122" w:name="page123"/>
    <w:bookmarkEnd w:id="122"/>
    <w:p>
      <w:pPr>
        <w:ind w:left="1030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ESCROW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ESCROW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 2020, by and between: FS Development Holdings,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Sponsor</w:t>
      </w:r>
      <w:r>
        <w:rPr>
          <w:rFonts w:ascii="Arial" w:cs="Arial" w:eastAsia="Arial" w:hAnsi="Arial"/>
          <w:sz w:val="18"/>
          <w:szCs w:val="18"/>
          <w:color w:val="auto"/>
        </w:rPr>
        <w:t>”), FS Development Corp.,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Shareholder Representative Services LLC, a Colorado limited liability company solely in its capacity as the representative of the Company Securityholders (the “</w:t>
      </w:r>
      <w:r>
        <w:rPr>
          <w:rFonts w:ascii="Arial" w:cs="Arial" w:eastAsia="Arial" w:hAnsi="Arial"/>
          <w:sz w:val="18"/>
          <w:szCs w:val="18"/>
          <w:b w:val="1"/>
          <w:bCs w:val="1"/>
          <w:color w:val="auto"/>
        </w:rPr>
        <w:t>Stockholder Representative</w:t>
      </w:r>
      <w:r>
        <w:rPr>
          <w:rFonts w:ascii="Arial" w:cs="Arial" w:eastAsia="Arial" w:hAnsi="Arial"/>
          <w:sz w:val="18"/>
          <w:szCs w:val="18"/>
          <w:color w:val="auto"/>
        </w:rPr>
        <w:t>”), solely in its capacity as the representative, agent and attorney-in-fact of the stockholders of the Company, and Continental Stock Transfer &amp; Trust Company, a New York corporation (the “</w:t>
      </w: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FSG Merger Sub Inc., a Delaware corporation and a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Gemini</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Stockholder Representative entered into an Agreement and Plan of Merger, dated October [ ● ], 2020 (the “</w:t>
      </w:r>
      <w:r>
        <w:rPr>
          <w:rFonts w:ascii="Arial" w:cs="Arial" w:eastAsia="Arial" w:hAnsi="Arial"/>
          <w:sz w:val="17"/>
          <w:szCs w:val="17"/>
          <w:b w:val="1"/>
          <w:bCs w:val="1"/>
          <w:color w:val="auto"/>
        </w:rPr>
        <w:t>Merger Agreement</w:t>
      </w:r>
      <w:r>
        <w:rPr>
          <w:rFonts w:ascii="Arial" w:cs="Arial" w:eastAsia="Arial" w:hAnsi="Arial"/>
          <w:sz w:val="17"/>
          <w:szCs w:val="17"/>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4.1(i) of the Merger Agreement, Parent is required to deposit 2,150,000 Parent Class A Shares,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$0.0001 per share (the “</w:t>
      </w:r>
      <w:r>
        <w:rPr>
          <w:rFonts w:ascii="Arial" w:cs="Arial" w:eastAsia="Arial" w:hAnsi="Arial"/>
          <w:sz w:val="18"/>
          <w:szCs w:val="18"/>
          <w:b w:val="1"/>
          <w:bCs w:val="1"/>
          <w:color w:val="auto"/>
        </w:rPr>
        <w:t>Escrow Shares</w:t>
      </w:r>
      <w:r>
        <w:rPr>
          <w:rFonts w:ascii="Arial" w:cs="Arial" w:eastAsia="Arial" w:hAnsi="Arial"/>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of the mutual covenants hereinafter set forth, the parties hereto agree as follows:</w:t>
      </w:r>
    </w:p>
    <w:p>
      <w:pPr>
        <w:spacing w:after="0" w:line="237" w:lineRule="exact"/>
        <w:rPr>
          <w:sz w:val="20"/>
          <w:szCs w:val="20"/>
          <w:color w:val="auto"/>
        </w:rPr>
      </w:pPr>
    </w:p>
    <w:p>
      <w:pPr>
        <w:ind w:left="840" w:hanging="184"/>
        <w:spacing w:after="0"/>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Appointment; Defined Terms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304"/>
        <w:spacing w:after="0" w:line="277" w:lineRule="auto"/>
        <w:tabs>
          <w:tab w:leader="none" w:pos="155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70" w:lineRule="exact"/>
        <w:rPr>
          <w:rFonts w:ascii="Arial" w:cs="Arial" w:eastAsia="Arial" w:hAnsi="Arial"/>
          <w:sz w:val="18"/>
          <w:szCs w:val="18"/>
          <w:color w:val="auto"/>
        </w:rPr>
      </w:pPr>
    </w:p>
    <w:p>
      <w:pPr>
        <w:ind w:right="20" w:firstLine="1304"/>
        <w:spacing w:after="0" w:line="308" w:lineRule="auto"/>
        <w:tabs>
          <w:tab w:leader="none" w:pos="155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42" w:lineRule="exact"/>
        <w:rPr>
          <w:rFonts w:ascii="Arial" w:cs="Arial" w:eastAsia="Arial" w:hAnsi="Arial"/>
          <w:sz w:val="17"/>
          <w:szCs w:val="17"/>
          <w:color w:val="auto"/>
        </w:rPr>
      </w:pPr>
    </w:p>
    <w:p>
      <w:pPr>
        <w:ind w:left="840" w:hanging="184"/>
        <w:spacing w:after="0"/>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Escrow Shares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63" w:lineRule="auto"/>
        <w:tabs>
          <w:tab w:leader="none" w:pos="154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560" w:hanging="256"/>
        <w:spacing w:after="0"/>
        <w:tabs>
          <w:tab w:leader="none" w:pos="1560"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Escrow Shares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300" w:firstLine="1300"/>
        <w:spacing w:after="0" w:line="259" w:lineRule="auto"/>
        <w:tabs>
          <w:tab w:leader="none" w:pos="292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left="1300" w:firstLine="1300"/>
        <w:spacing w:after="0" w:line="257" w:lineRule="auto"/>
        <w:tabs>
          <w:tab w:leader="none" w:pos="290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Any dividends or other distributions paid with respect to the Escrow Shares (collectively, the “</w:t>
      </w:r>
      <w:r>
        <w:rPr>
          <w:rFonts w:ascii="Arial" w:cs="Arial" w:eastAsia="Arial" w:hAnsi="Arial"/>
          <w:sz w:val="18"/>
          <w:szCs w:val="18"/>
          <w:u w:val="single" w:color="auto"/>
          <w:color w:val="auto"/>
        </w:rPr>
        <w:t>Escrowed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87" w:lineRule="exact"/>
        <w:rPr>
          <w:rFonts w:ascii="Arial" w:cs="Arial" w:eastAsia="Arial" w:hAnsi="Arial"/>
          <w:sz w:val="18"/>
          <w:szCs w:val="18"/>
          <w:color w:val="auto"/>
        </w:rPr>
      </w:pPr>
    </w:p>
    <w:p>
      <w:pPr>
        <w:jc w:val="both"/>
        <w:ind w:left="1300" w:firstLine="1300"/>
        <w:spacing w:after="0" w:line="259" w:lineRule="auto"/>
        <w:tabs>
          <w:tab w:leader="none" w:pos="295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above shall be appropriately adjusted on a pro rata basis.</w:t>
      </w:r>
    </w:p>
    <w:p>
      <w:pPr>
        <w:spacing w:after="0" w:line="182" w:lineRule="exact"/>
        <w:rPr>
          <w:rFonts w:ascii="Arial" w:cs="Arial" w:eastAsia="Arial" w:hAnsi="Arial"/>
          <w:sz w:val="18"/>
          <w:szCs w:val="18"/>
          <w:color w:val="auto"/>
        </w:rPr>
      </w:pPr>
    </w:p>
    <w:p>
      <w:pPr>
        <w:ind w:left="840" w:hanging="184"/>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Disposition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4"/>
        <w:spacing w:after="0" w:line="277" w:lineRule="auto"/>
        <w:tabs>
          <w:tab w:leader="none" w:pos="155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Escrow Agent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85" w:lineRule="auto"/>
        <w:tabs>
          <w:tab w:leader="none" w:pos="156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and the Escrow Agent has been able to satisfy any applicable security procedures as may be required hereunder and as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1304"/>
        <w:spacing w:after="0" w:line="269" w:lineRule="auto"/>
        <w:tabs>
          <w:tab w:leader="none" w:pos="154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69" w:lineRule="auto"/>
        <w:tabs>
          <w:tab w:leader="none" w:pos="153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resignation shall not take effect until a successor escrow agent has been appointed in accordance with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If the parties hereto have jointly failed to appoint a successor escrow agent prior to the expiration of thirty (30) days following receipt of the notice of resignation, the Escrow Agent may 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below.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81" w:lineRule="exact"/>
        <w:rPr>
          <w:rFonts w:ascii="Arial" w:cs="Arial" w:eastAsia="Arial" w:hAnsi="Arial"/>
          <w:sz w:val="17"/>
          <w:szCs w:val="17"/>
          <w:color w:val="auto"/>
        </w:rPr>
      </w:pPr>
    </w:p>
    <w:p>
      <w:pPr>
        <w:ind w:firstLine="1304"/>
        <w:spacing w:after="0" w:line="277" w:lineRule="auto"/>
        <w:tabs>
          <w:tab w:leader="none" w:pos="154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66" w:lineRule="exact"/>
        <w:rPr>
          <w:rFonts w:ascii="Arial" w:cs="Arial" w:eastAsia="Arial" w:hAnsi="Arial"/>
          <w:sz w:val="18"/>
          <w:szCs w:val="18"/>
          <w:color w:val="auto"/>
        </w:rPr>
      </w:pPr>
    </w:p>
    <w:p>
      <w:pPr>
        <w:jc w:val="both"/>
        <w:ind w:firstLine="656"/>
        <w:spacing w:after="0" w:line="274" w:lineRule="auto"/>
        <w:tabs>
          <w:tab w:leader="none" w:pos="841"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and Reimbursement. </w:t>
      </w:r>
      <w:r>
        <w:rPr>
          <w:rFonts w:ascii="Arial" w:cs="Arial" w:eastAsia="Arial" w:hAnsi="Arial"/>
          <w:sz w:val="17"/>
          <w:szCs w:val="17"/>
          <w:color w:val="auto"/>
        </w:rPr>
        <w:t>The Escrow Agent shall be entitled to compensation for its services under this Agreement as Escrow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and for reimbursement for its reasonable and documented out-of-pocket costs and expenses, in the amounts and payable as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7;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such compensation, expenses, disbursements and advances shall not be paid from the Escrow Shares. The obligations of Parent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survive the resignation, replacement or removal of the Escrow Agent or the termination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left="840" w:hanging="184"/>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Indemnity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72" w:lineRule="auto"/>
        <w:tabs>
          <w:tab w:leader="none" w:pos="156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77" w:lineRule="exact"/>
        <w:rPr>
          <w:rFonts w:ascii="Arial" w:cs="Arial" w:eastAsia="Arial" w:hAnsi="Arial"/>
          <w:sz w:val="17"/>
          <w:szCs w:val="17"/>
          <w:color w:val="auto"/>
        </w:rPr>
      </w:pPr>
    </w:p>
    <w:p>
      <w:pPr>
        <w:jc w:val="both"/>
        <w:ind w:firstLine="1304"/>
        <w:spacing w:after="0" w:line="291" w:lineRule="auto"/>
        <w:tabs>
          <w:tab w:leader="none" w:pos="155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53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survive termination of this Agreement or the resignation, replacement or removal of the Escrow Agent for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reason.</w:t>
      </w:r>
    </w:p>
    <w:p>
      <w:pPr>
        <w:spacing w:after="0" w:line="206" w:lineRule="exact"/>
        <w:rPr>
          <w:rFonts w:ascii="Arial" w:cs="Arial" w:eastAsia="Arial" w:hAnsi="Arial"/>
          <w:sz w:val="16"/>
          <w:szCs w:val="16"/>
          <w:color w:val="auto"/>
        </w:rPr>
      </w:pPr>
    </w:p>
    <w:p>
      <w:pPr>
        <w:ind w:left="840" w:hanging="184"/>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Patriot Act Disclosure/Taxpayer Identification Numbers/Tax Reporting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540" w:val="left"/>
        </w:tabs>
        <w:numPr>
          <w:ilvl w:val="1"/>
          <w:numId w:val="129"/>
        </w:numPr>
        <w:rPr>
          <w:rFonts w:ascii="Arial" w:cs="Arial" w:eastAsia="Arial" w:hAnsi="Arial"/>
          <w:sz w:val="18"/>
          <w:szCs w:val="18"/>
          <w:color w:val="auto"/>
        </w:rPr>
      </w:pPr>
      <w:r>
        <w:rPr>
          <w:rFonts w:ascii="Arial" w:cs="Arial" w:eastAsia="Arial" w:hAnsi="Arial"/>
          <w:sz w:val="18"/>
          <w:szCs w:val="18"/>
          <w:b w:val="1"/>
          <w:bCs w:val="1"/>
          <w:color w:val="auto"/>
        </w:rPr>
        <w:t>Patriot Act Disclosure</w:t>
      </w:r>
      <w:r>
        <w:rPr>
          <w:rFonts w:ascii="Arial" w:cs="Arial" w:eastAsia="Arial" w:hAnsi="Arial"/>
          <w:sz w:val="18"/>
          <w:szCs w:val="18"/>
          <w:color w:val="auto"/>
        </w:rPr>
        <w:t>. Section 326 of the Uniting and Strengthening America by Providing Appropriate Tools Required to Intercept</w:t>
      </w:r>
      <w:r>
        <w:rPr>
          <w:rFonts w:ascii="Arial" w:cs="Arial" w:eastAsia="Arial" w:hAnsi="Arial"/>
          <w:sz w:val="18"/>
          <w:szCs w:val="18"/>
          <w:b w:val="1"/>
          <w:bCs w:val="1"/>
          <w:color w:val="auto"/>
        </w:rPr>
        <w:t xml:space="preserve"> </w:t>
      </w:r>
      <w:r>
        <w:rPr>
          <w:rFonts w:ascii="Arial" w:cs="Arial" w:eastAsia="Arial" w:hAnsi="Arial"/>
          <w:sz w:val="18"/>
          <w:szCs w:val="18"/>
          <w:color w:val="auto"/>
        </w:rPr>
        <w:t>and Obstruct Terrorism Act of 2001 (“</w:t>
      </w:r>
      <w:r>
        <w:rPr>
          <w:rFonts w:ascii="Arial" w:cs="Arial" w:eastAsia="Arial" w:hAnsi="Arial"/>
          <w:sz w:val="18"/>
          <w:szCs w:val="18"/>
          <w:b w:val="1"/>
          <w:bCs w:val="1"/>
          <w:color w:val="auto"/>
        </w:rPr>
        <w:t>USA PATRIOT Act</w:t>
      </w:r>
      <w:r>
        <w:rPr>
          <w:rFonts w:ascii="Arial" w:cs="Arial" w:eastAsia="Arial" w:hAnsi="Arial"/>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192" w:lineRule="exact"/>
        <w:rPr>
          <w:rFonts w:ascii="Arial" w:cs="Arial" w:eastAsia="Arial" w:hAnsi="Arial"/>
          <w:sz w:val="18"/>
          <w:szCs w:val="18"/>
          <w:color w:val="auto"/>
        </w:rPr>
      </w:pPr>
    </w:p>
    <w:p>
      <w:pPr>
        <w:ind w:right="20" w:firstLine="1304"/>
        <w:spacing w:after="0" w:line="277" w:lineRule="auto"/>
        <w:tabs>
          <w:tab w:leader="none" w:pos="156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56"/>
        <w:spacing w:after="0" w:line="258" w:lineRule="auto"/>
        <w:tabs>
          <w:tab w:leader="none" w:pos="841"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and communications hereunder shall be deemed to have been duly given and made if in writing and if (i) served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upon the party for whom it is intended, (ii) delivered by registered or certified mail, return receipt requested, or by Federal Express or similar overnight courier, or (iii) 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to Sponsor: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Holdings,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E-mail:Jim@foresitecapital.com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E-mail:Jim@foresitecapital.com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Stockholder Representative: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950 17th Street, Suite 1400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Managing Director</w:t>
      </w:r>
    </w:p>
    <w:p>
      <w:pPr>
        <w:ind w:left="1960"/>
        <w:spacing w:after="0"/>
        <w:rPr>
          <w:sz w:val="20"/>
          <w:szCs w:val="20"/>
          <w:color w:val="auto"/>
        </w:rPr>
      </w:pPr>
      <w:r>
        <w:rPr>
          <w:rFonts w:ascii="Arial" w:cs="Arial" w:eastAsia="Arial" w:hAnsi="Arial"/>
          <w:sz w:val="18"/>
          <w:szCs w:val="18"/>
          <w:color w:val="auto"/>
        </w:rPr>
        <w:t xml:space="preserve">Email: </w:t>
      </w:r>
      <w:r>
        <w:rPr>
          <w:sz w:val="1"/>
          <w:szCs w:val="1"/>
          <w:color w:val="auto"/>
        </w:rPr>
        <w:drawing>
          <wp:inline distT="0" distB="0" distL="0" distR="0">
            <wp:extent cx="1225550" cy="1143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25550" cy="114300"/>
                    </a:xfrm>
                    <a:prstGeom prst="rect">
                      <a:avLst/>
                    </a:prstGeom>
                    <a:noFill/>
                    <a:ln>
                      <a:noFill/>
                    </a:ln>
                  </pic:spPr>
                </pic:pic>
              </a:graphicData>
            </a:graphic>
          </wp:inline>
        </w:drawing>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(303) 623-0294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(303) 648-4085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Escrow Agent: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and Trust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State Street - 30th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No: (212) 616-7615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George Dalton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188" w:lineRule="exact"/>
        <w:rPr>
          <w:sz w:val="20"/>
          <w:szCs w:val="20"/>
          <w:color w:val="auto"/>
        </w:rPr>
      </w:pPr>
    </w:p>
    <w:p>
      <w:pPr>
        <w:jc w:val="both"/>
        <w:ind w:firstLine="656"/>
        <w:spacing w:after="0" w:line="273" w:lineRule="auto"/>
        <w:tabs>
          <w:tab w:leader="none" w:pos="918"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Security Procedures</w:t>
      </w:r>
      <w:r>
        <w:rPr>
          <w:rFonts w:ascii="Arial" w:cs="Arial" w:eastAsia="Arial" w:hAnsi="Arial"/>
          <w:sz w:val="17"/>
          <w:szCs w:val="17"/>
          <w:color w:val="auto"/>
        </w:rPr>
        <w:t>. Notwithstanding anything to the contrary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any instructions setting forth, claiming, containing,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objecting to, or in any way related to the transfer or distribution, including but not limited to any transfer instructions that may otherwise be set forth in a written instruction permitted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as further evidenced by a confirmed transmittal to that number.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304"/>
        <w:spacing w:after="0" w:line="279" w:lineRule="auto"/>
        <w:tabs>
          <w:tab w:leader="none" w:pos="154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71" w:lineRule="exact"/>
        <w:rPr>
          <w:rFonts w:ascii="Arial" w:cs="Arial" w:eastAsia="Arial" w:hAnsi="Arial"/>
          <w:sz w:val="17"/>
          <w:szCs w:val="17"/>
          <w:color w:val="auto"/>
        </w:rPr>
      </w:pPr>
    </w:p>
    <w:p>
      <w:pPr>
        <w:ind w:right="20" w:firstLine="1304"/>
        <w:spacing w:after="0" w:line="277" w:lineRule="auto"/>
        <w:tabs>
          <w:tab w:leader="none" w:pos="155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166" w:lineRule="exact"/>
        <w:rPr>
          <w:rFonts w:ascii="Arial" w:cs="Arial" w:eastAsia="Arial" w:hAnsi="Arial"/>
          <w:sz w:val="18"/>
          <w:szCs w:val="18"/>
          <w:color w:val="auto"/>
        </w:rPr>
      </w:pPr>
    </w:p>
    <w:p>
      <w:pPr>
        <w:jc w:val="both"/>
        <w:ind w:firstLine="656"/>
        <w:spacing w:after="0" w:line="255" w:lineRule="auto"/>
        <w:tabs>
          <w:tab w:leader="none" w:pos="911"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Court Orders. </w:t>
      </w:r>
      <w:r>
        <w:rPr>
          <w:rFonts w:ascii="Arial" w:cs="Arial" w:eastAsia="Arial" w:hAnsi="Arial"/>
          <w:sz w:val="18"/>
          <w:szCs w:val="18"/>
          <w:color w:val="auto"/>
        </w:rPr>
        <w:t>In the event that any escrow property shall be attached, garnished or levied upon by any court order,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88" w:lineRule="exact"/>
        <w:rPr>
          <w:rFonts w:ascii="Arial" w:cs="Arial" w:eastAsia="Arial" w:hAnsi="Arial"/>
          <w:sz w:val="18"/>
          <w:szCs w:val="18"/>
          <w:color w:val="auto"/>
        </w:rPr>
      </w:pPr>
    </w:p>
    <w:p>
      <w:pPr>
        <w:jc w:val="both"/>
        <w:ind w:firstLine="656"/>
        <w:spacing w:after="0" w:line="267" w:lineRule="auto"/>
        <w:tabs>
          <w:tab w:leader="none" w:pos="918"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Except for changes to transfer instructions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the provisions of this Agreement may be waived, altered,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 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914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914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REPRESENTATIVE SERVICES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solely in its capacity as the representative of the Company Securityholders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9141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 STOCK TRANSFER AND TRUST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914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9" w:name="page130"/>
    <w:bookmarkEnd w:id="129"/>
    <w:p>
      <w:pPr>
        <w:jc w:val="center"/>
        <w:ind w:right="-1120"/>
        <w:spacing w:after="0"/>
        <w:rPr>
          <w:sz w:val="20"/>
          <w:szCs w:val="20"/>
          <w:color w:val="auto"/>
        </w:rPr>
      </w:pPr>
      <w:r>
        <w:rPr>
          <w:rFonts w:ascii="Arial" w:cs="Arial" w:eastAsia="Arial" w:hAnsi="Arial"/>
          <w:sz w:val="18"/>
          <w:szCs w:val="18"/>
          <w:color w:val="auto"/>
        </w:rPr>
        <w:t>Schedule l</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Person(s) Designated by Sponsor to give Escrow Shares Transfer Instructions</w:t>
      </w:r>
    </w:p>
    <w:p>
      <w:pPr>
        <w:spacing w:after="0" w:line="224" w:lineRule="exact"/>
        <w:rPr>
          <w:sz w:val="20"/>
          <w:szCs w:val="20"/>
          <w:color w:val="auto"/>
        </w:rPr>
      </w:pPr>
    </w:p>
    <w:p>
      <w:pPr>
        <w:jc w:val="both"/>
        <w:ind w:left="1640"/>
        <w:spacing w:after="0"/>
        <w:tabs>
          <w:tab w:leader="none" w:pos="4980" w:val="left"/>
          <w:tab w:leader="none" w:pos="90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completed by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0" w:name="page131"/>
    <w:bookmarkEnd w:id="130"/>
    <w:p>
      <w:pPr>
        <w:jc w:val="center"/>
        <w:ind w:right="-1120"/>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Person(s) Designated by Stockholder Representative to give Escrow Shares Transfer Instructions</w:t>
      </w:r>
    </w:p>
    <w:p>
      <w:pPr>
        <w:spacing w:after="0" w:line="234" w:lineRule="exact"/>
        <w:rPr>
          <w:sz w:val="20"/>
          <w:szCs w:val="20"/>
          <w:color w:val="auto"/>
        </w:rPr>
      </w:pPr>
    </w:p>
    <w:p>
      <w:pPr>
        <w:jc w:val="both"/>
        <w:ind w:left="1880"/>
        <w:spacing w:after="0"/>
        <w:tabs>
          <w:tab w:leader="none" w:pos="4920" w:val="left"/>
          <w:tab w:leader="none" w:pos="8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80581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Managing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80581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Executive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80581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80581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05815" cy="1289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47"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Schedule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132" w:name="page133"/>
    <w:bookmarkEnd w:id="132"/>
    <w:p>
      <w:pPr>
        <w:ind w:left="10320"/>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 2020, by and among FS Development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 and Gemini Therapeutics, Inc., a Delaware company (“</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WHEREAS, the Company, FSG Merger Sub, Inc., a Delaware corporation (“</w:t>
      </w:r>
      <w:r>
        <w:rPr>
          <w:rFonts w:ascii="Arial" w:cs="Arial" w:eastAsia="Arial" w:hAnsi="Arial"/>
          <w:sz w:val="17"/>
          <w:szCs w:val="17"/>
          <w:b w:val="1"/>
          <w:bCs w:val="1"/>
          <w:u w:val="single" w:color="auto"/>
          <w:color w:val="auto"/>
        </w:rPr>
        <w:t>Merger Sub</w:t>
      </w:r>
      <w:r>
        <w:rPr>
          <w:rFonts w:ascii="Arial" w:cs="Arial" w:eastAsia="Arial" w:hAnsi="Arial"/>
          <w:sz w:val="17"/>
          <w:szCs w:val="17"/>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Arial" w:cs="Arial" w:eastAsia="Arial" w:hAnsi="Arial"/>
          <w:sz w:val="17"/>
          <w:szCs w:val="17"/>
          <w:b w:val="1"/>
          <w:bCs w:val="1"/>
          <w:u w:val="single" w:color="auto"/>
          <w:color w:val="auto"/>
        </w:rPr>
        <w:t>Merger Agreement</w:t>
      </w:r>
      <w:r>
        <w:rPr>
          <w:rFonts w:ascii="Arial" w:cs="Arial" w:eastAsia="Arial" w:hAnsi="Arial"/>
          <w:sz w:val="17"/>
          <w:szCs w:val="17"/>
          <w:color w:val="auto"/>
        </w:rPr>
        <w:t>”), pursuant to which, among other things: (a) Merger Sub will merge with and into Gemini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Gemini surviving the Merger as a wholly-owned subsidiary of Company;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Company and the Investors listed as Company Investors on Schedule I hereto (collectively, the “</w:t>
      </w:r>
      <w:r>
        <w:rPr>
          <w:rFonts w:ascii="Arial" w:cs="Arial" w:eastAsia="Arial" w:hAnsi="Arial"/>
          <w:sz w:val="18"/>
          <w:szCs w:val="18"/>
          <w:b w:val="1"/>
          <w:bCs w:val="1"/>
          <w:u w:val="single" w:color="auto"/>
          <w:color w:val="auto"/>
        </w:rPr>
        <w:t>Company Investors</w:t>
      </w:r>
      <w:r>
        <w:rPr>
          <w:rFonts w:ascii="Arial" w:cs="Arial" w:eastAsia="Arial" w:hAnsi="Arial"/>
          <w:sz w:val="18"/>
          <w:szCs w:val="18"/>
          <w:color w:val="auto"/>
        </w:rPr>
        <w:t>”) are parties to that certain Registration Rights Agreement, dated August 11, 2020 (the “</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WHEREAS, the Company Investors and Gemini Investors listed on Schedule I hereto (“</w:t>
      </w:r>
      <w:r>
        <w:rPr>
          <w:rFonts w:ascii="Arial" w:cs="Arial" w:eastAsia="Arial" w:hAnsi="Arial"/>
          <w:sz w:val="17"/>
          <w:szCs w:val="17"/>
          <w:b w:val="1"/>
          <w:bCs w:val="1"/>
          <w:color w:val="auto"/>
        </w:rPr>
        <w:t>Gemini Investors</w:t>
      </w:r>
      <w:r>
        <w:rPr>
          <w:rFonts w:ascii="Arial" w:cs="Arial" w:eastAsia="Arial" w:hAnsi="Arial"/>
          <w:sz w:val="17"/>
          <w:szCs w:val="17"/>
          <w:color w:val="auto"/>
        </w:rPr>
        <w:t>”) have subscribed to purchase shares of Common Stock in the Private Placement (as defined in the Merger Agreement) in connection with the consummation of the Merger; and</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right="4500" w:hanging="652"/>
        <w:spacing w:after="0" w:line="498" w:lineRule="auto"/>
        <w:tabs>
          <w:tab w:leader="none" w:pos="19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DEFINITIONS. The following capitalized terms used herein have the following meanings: “</w:t>
      </w:r>
      <w:r>
        <w:rPr>
          <w:rFonts w:ascii="Arial" w:cs="Arial" w:eastAsia="Arial" w:hAnsi="Arial"/>
          <w:sz w:val="18"/>
          <w:szCs w:val="18"/>
          <w:b w:val="1"/>
          <w:bCs w:val="1"/>
          <w:u w:val="single" w:color="auto"/>
          <w:color w:val="auto"/>
        </w:rPr>
        <w:t>Addendum Agreement</w:t>
      </w:r>
      <w:r>
        <w:rPr>
          <w:rFonts w:ascii="Arial" w:cs="Arial" w:eastAsia="Arial" w:hAnsi="Arial"/>
          <w:sz w:val="18"/>
          <w:szCs w:val="18"/>
          <w:color w:val="auto"/>
        </w:rPr>
        <w:t>” is defined in Section 7.2.</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means the bylaws of the Company, as amended, modified, supplemented or restated and in effect from time to time.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is defined in Section 3.1.3.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w:t>
      </w:r>
      <w:r>
        <w:rPr>
          <w:rFonts w:ascii="Arial" w:cs="Arial" w:eastAsia="Arial" w:hAnsi="Arial"/>
          <w:sz w:val="18"/>
          <w:szCs w:val="18"/>
          <w:color w:val="auto"/>
        </w:rPr>
        <w:t>” means a Registration Statement on Form S-1.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means a Registration Statement on Form S-3 or any similar short-form registration that may be available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Gemini Investors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Investor” and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 (iv) all shares of Common Stock issued to any Investor with respect to such securities referred to in clauses (i) –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Selling Holders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Subsequent Shelf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to (i) sell, offer to sell, contract or agree to sell, hypothecate, pledge, grant any option to purchase, make any short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2. REGISTRATION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The Company shall prepare and file or cause to be prepared and filed with the Commission as soon as practicable after the Closing Date (as such term is defined in the Merger Agreement), but in any event no later than</w:t>
      </w:r>
    </w:p>
    <w:p>
      <w:pPr>
        <w:jc w:val="both"/>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days after the Closing Date (the “</w:t>
      </w:r>
      <w:r>
        <w:rPr>
          <w:rFonts w:ascii="Arial" w:cs="Arial" w:eastAsia="Arial" w:hAnsi="Arial"/>
          <w:sz w:val="16"/>
          <w:szCs w:val="16"/>
          <w:b w:val="1"/>
          <w:bCs w:val="1"/>
          <w:u w:val="single" w:color="auto"/>
          <w:color w:val="auto"/>
        </w:rPr>
        <w:t>Filing Date</w:t>
      </w:r>
      <w:r>
        <w:rPr>
          <w:rFonts w:ascii="Arial" w:cs="Arial" w:eastAsia="Arial" w:hAnsi="Arial"/>
          <w:sz w:val="16"/>
          <w:szCs w:val="16"/>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Arial" w:cs="Arial" w:eastAsia="Arial" w:hAnsi="Arial"/>
          <w:sz w:val="16"/>
          <w:szCs w:val="16"/>
          <w:b w:val="1"/>
          <w:bCs w:val="1"/>
          <w:u w:val="single" w:color="auto"/>
          <w:color w:val="auto"/>
        </w:rPr>
        <w:t>Resale Shelf Registration Statement</w:t>
      </w:r>
      <w:r>
        <w:rPr>
          <w:rFonts w:ascii="Arial" w:cs="Arial" w:eastAsia="Arial" w:hAnsi="Arial"/>
          <w:sz w:val="16"/>
          <w:szCs w:val="16"/>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18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Amendments and Supplements; Subsequent Shelf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0"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To track the date that the shares issued in the PIPE must be registered pursuant to the PIPE subscription agreements.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1296"/>
        <w:spacing w:after="0" w:line="285" w:lineRule="auto"/>
        <w:rPr>
          <w:sz w:val="20"/>
          <w:szCs w:val="20"/>
          <w:color w:val="auto"/>
        </w:rPr>
      </w:pPr>
      <w:r>
        <w:rPr>
          <w:rFonts w:ascii="Arial" w:cs="Arial" w:eastAsia="Arial" w:hAnsi="Arial"/>
          <w:sz w:val="16"/>
          <w:szCs w:val="16"/>
          <w:color w:val="auto"/>
        </w:rPr>
        <w:t xml:space="preserve">2.1.4 Notwithstanding the registration obligations set forth in this </w:t>
      </w:r>
      <w:r>
        <w:rPr>
          <w:rFonts w:ascii="Arial" w:cs="Arial" w:eastAsia="Arial" w:hAnsi="Arial"/>
          <w:sz w:val="16"/>
          <w:szCs w:val="16"/>
          <w:u w:val="single" w:color="auto"/>
          <w:color w:val="auto"/>
        </w:rPr>
        <w:t>Section 2.1</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6"/>
          <w:szCs w:val="16"/>
          <w:b w:val="1"/>
          <w:bCs w:val="1"/>
          <w:u w:val="single" w:color="auto"/>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u w:val="single" w:color="auto"/>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6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8" w:lineRule="exact"/>
        <w:rPr>
          <w:sz w:val="20"/>
          <w:szCs w:val="20"/>
          <w:color w:val="auto"/>
        </w:rPr>
      </w:pPr>
    </w:p>
    <w:p>
      <w:pPr>
        <w:jc w:val="both"/>
        <w:ind w:firstLine="1944"/>
        <w:spacing w:after="0" w:line="236" w:lineRule="auto"/>
        <w:rPr>
          <w:sz w:val="20"/>
          <w:szCs w:val="20"/>
          <w:color w:val="auto"/>
        </w:rPr>
      </w:pPr>
      <w:r>
        <w:rPr>
          <w:rFonts w:ascii="Arial" w:cs="Arial" w:eastAsia="Arial" w:hAnsi="Arial"/>
          <w:sz w:val="18"/>
          <w:szCs w:val="18"/>
          <w:color w:val="auto"/>
        </w:rPr>
        <w:t>(a) If the Company shall receive a request from the holders of Registrable Securities with an estimated market value of at least $[●]</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 requesting holder(s) shall be referred to herein as the “</w:t>
      </w:r>
      <w:r>
        <w:rPr>
          <w:rFonts w:ascii="Arial" w:cs="Arial" w:eastAsia="Arial" w:hAnsi="Arial"/>
          <w:sz w:val="18"/>
          <w:szCs w:val="18"/>
          <w:b w:val="1"/>
          <w:bCs w:val="1"/>
          <w:u w:val="single" w:color="auto"/>
          <w:color w:val="auto"/>
        </w:rPr>
        <w:t>Requesting Holder(s)</w:t>
      </w:r>
      <w:r>
        <w:rPr>
          <w:rFonts w:ascii="Arial" w:cs="Arial" w:eastAsia="Arial" w:hAnsi="Arial"/>
          <w:sz w:val="18"/>
          <w:szCs w:val="18"/>
          <w:color w:val="auto"/>
        </w:rPr>
        <w:t>”) that the Company effect the Underwritten Takedown of all or any portion of the Requesting 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207" w:lineRule="exact"/>
        <w:rPr>
          <w:sz w:val="20"/>
          <w:szCs w:val="20"/>
          <w:color w:val="auto"/>
        </w:rPr>
      </w:pPr>
    </w:p>
    <w:p>
      <w:pPr>
        <w:ind w:firstLine="2600"/>
        <w:spacing w:after="0" w:line="277" w:lineRule="auto"/>
        <w:tabs>
          <w:tab w:leader="none" w:pos="291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2.1.5(a)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right="20" w:firstLine="2600"/>
        <w:spacing w:after="0" w:line="301" w:lineRule="auto"/>
        <w:tabs>
          <w:tab w:leader="none" w:pos="28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subject to the restrictions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all other Registrable Securities that any holders of Registrable Securities (all such holders, together with the Requesting Holder, the “</w:t>
      </w:r>
      <w:r>
        <w:rPr>
          <w:rFonts w:ascii="Arial" w:cs="Arial" w:eastAsia="Arial" w:hAnsi="Arial"/>
          <w:sz w:val="16"/>
          <w:szCs w:val="16"/>
          <w:b w:val="1"/>
          <w:bCs w:val="1"/>
          <w:u w:val="single" w:color="auto"/>
          <w:color w:val="auto"/>
        </w:rPr>
        <w:t>Selling Holders</w:t>
      </w:r>
      <w:r>
        <w:rPr>
          <w:rFonts w:ascii="Arial" w:cs="Arial" w:eastAsia="Arial" w:hAnsi="Arial"/>
          <w:sz w:val="16"/>
          <w:szCs w:val="16"/>
          <w:color w:val="auto"/>
        </w:rPr>
        <w:t>”) have requested the Company to offer by request received by the Company within seven Business 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1"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Note to Draft: </w:t>
      </w:r>
      <w:r>
        <w:rPr>
          <w:rFonts w:ascii="Arial" w:cs="Arial" w:eastAsia="Arial" w:hAnsi="Arial"/>
          <w:sz w:val="18"/>
          <w:szCs w:val="18"/>
          <w:color w:val="auto"/>
        </w:rPr>
        <w:t>Amount TBD based on post-Closing market cap and pro forma capitalization table.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firstLine="1952"/>
        <w:spacing w:after="0" w:line="308" w:lineRule="auto"/>
        <w:tabs>
          <w:tab w:leader="none" w:pos="219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Promptly after the expiration of the seven-Business Day-period referred to in </w:t>
      </w:r>
      <w:r>
        <w:rPr>
          <w:rFonts w:ascii="Arial" w:cs="Arial" w:eastAsia="Arial" w:hAnsi="Arial"/>
          <w:sz w:val="17"/>
          <w:szCs w:val="17"/>
          <w:u w:val="single" w:color="auto"/>
          <w:color w:val="auto"/>
        </w:rPr>
        <w:t>Section 2.1.5(a)(ii)</w:t>
      </w:r>
      <w:r>
        <w:rPr>
          <w:rFonts w:ascii="Arial" w:cs="Arial" w:eastAsia="Arial" w:hAnsi="Arial"/>
          <w:sz w:val="17"/>
          <w:szCs w:val="17"/>
          <w:color w:val="auto"/>
        </w:rPr>
        <w:t>, the Company will notify all Selling Holders of the identities of the other Selling Holders and the number of shares of Registrable Securities requested to be included therein.</w:t>
      </w:r>
    </w:p>
    <w:p>
      <w:pPr>
        <w:spacing w:after="0" w:line="146" w:lineRule="exact"/>
        <w:rPr>
          <w:rFonts w:ascii="Arial" w:cs="Arial" w:eastAsia="Arial" w:hAnsi="Arial"/>
          <w:sz w:val="17"/>
          <w:szCs w:val="17"/>
          <w:color w:val="auto"/>
        </w:rPr>
      </w:pPr>
    </w:p>
    <w:p>
      <w:pPr>
        <w:jc w:val="both"/>
        <w:ind w:firstLine="1952"/>
        <w:spacing w:after="0" w:line="281" w:lineRule="auto"/>
        <w:tabs>
          <w:tab w:leader="none" w:pos="219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shall only be required to effectuate: (i) one Underwritten Takedown within any six-month period; (ii) no more than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Underwritten Takedowns in respect of all Registrable Securities held by the Company Investors after giving effect to </w:t>
      </w:r>
      <w:r>
        <w:rPr>
          <w:rFonts w:ascii="Arial" w:cs="Arial" w:eastAsia="Arial" w:hAnsi="Arial"/>
          <w:sz w:val="16"/>
          <w:szCs w:val="16"/>
          <w:u w:val="single" w:color="auto"/>
          <w:color w:val="auto"/>
        </w:rPr>
        <w:t>Section 2.2.1(c)</w:t>
      </w:r>
      <w:r>
        <w:rPr>
          <w:rFonts w:ascii="Arial" w:cs="Arial" w:eastAsia="Arial" w:hAnsi="Arial"/>
          <w:sz w:val="16"/>
          <w:szCs w:val="16"/>
          <w:color w:val="auto"/>
        </w:rPr>
        <w:t>; and (iii) no more than [●]</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Underwritten Takedowns in respect of all Registrable Securities held by Gemini Investors after giving effect to </w:t>
      </w:r>
      <w:r>
        <w:rPr>
          <w:rFonts w:ascii="Arial" w:cs="Arial" w:eastAsia="Arial" w:hAnsi="Arial"/>
          <w:sz w:val="16"/>
          <w:szCs w:val="16"/>
          <w:u w:val="single" w:color="auto"/>
          <w:color w:val="auto"/>
        </w:rPr>
        <w:t>Section 2.2.1(d)</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jc w:val="both"/>
        <w:ind w:firstLine="1952"/>
        <w:spacing w:after="0" w:line="255" w:lineRule="auto"/>
        <w:tabs>
          <w:tab w:leader="none" w:pos="220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9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2.1.7 Registrations effected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not be counted as Demand Registrations effected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after the expiration of a lock-up to which such shares are subject, if any, (i) Company Investors who hold a majority in interest of the Registrable Securities held by all Company Investors or (ii) Company Investors who hold</w:t>
      </w:r>
    </w:p>
    <w:p>
      <w:pPr>
        <w:jc w:val="both"/>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is referred to herein as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shall so notify the Company within fifteen (15) days after the receipt by the holder of the notice from the Company. Upon any such request,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Demanding Holders shall be entitled to have their Registrable Securities included in the Demand Registration, subject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provisos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(c) more than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Underwritten Demand Registrations in respect of all Registrable Securities held by the Company Investors, each of which will also count as an</w:t>
      </w:r>
    </w:p>
    <w:p>
      <w:pPr>
        <w:spacing w:after="0" w:line="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Underwritten Takedown of the Company Investors under </w:t>
      </w:r>
      <w:r>
        <w:rPr>
          <w:rFonts w:ascii="Arial" w:cs="Arial" w:eastAsia="Arial" w:hAnsi="Arial"/>
          <w:sz w:val="18"/>
          <w:szCs w:val="18"/>
          <w:u w:val="single" w:color="auto"/>
          <w:color w:val="auto"/>
        </w:rPr>
        <w:t>Section 2.1.5(c)(ii)</w:t>
      </w:r>
      <w:r>
        <w:rPr>
          <w:rFonts w:ascii="Arial" w:cs="Arial" w:eastAsia="Arial" w:hAnsi="Arial"/>
          <w:sz w:val="18"/>
          <w:szCs w:val="18"/>
          <w:color w:val="auto"/>
        </w:rPr>
        <w:t>; or (d) more than [●]</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Underwritten Demand Registrations in respect of all Registrable Securities held by Gemini Investors, each of which will also count as an Underwritten Takedown of Gemini Investors under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7830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TBD based on post-Closing pro forma capitalization.</w:t>
      </w:r>
    </w:p>
    <w:p>
      <w:pPr>
        <w:spacing w:after="0" w:line="87"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Parties to discuss.</w:t>
      </w:r>
    </w:p>
    <w:p>
      <w:pPr>
        <w:spacing w:after="0" w:line="87"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Parties to discuss.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296"/>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the Demanding Holders so elect and such holders so advise the Company as part of their written demand for a Demand Registration, the offering of such Registrable Securities pursuant to such Demand Registration shall be in the form of an underwritten</w:t>
      </w:r>
    </w:p>
    <w:p>
      <w:pPr>
        <w:jc w:val="both"/>
        <w:spacing w:after="0" w:line="231" w:lineRule="auto"/>
        <w:rPr>
          <w:sz w:val="20"/>
          <w:szCs w:val="20"/>
          <w:color w:val="auto"/>
        </w:rPr>
      </w:pPr>
      <w:r>
        <w:rPr>
          <w:rFonts w:ascii="Arial" w:cs="Arial" w:eastAsia="Arial" w:hAnsi="Arial"/>
          <w:sz w:val="18"/>
          <w:szCs w:val="18"/>
          <w:color w:val="auto"/>
        </w:rPr>
        <w:t>offering with an estimated market value of at least $[●]</w:t>
      </w:r>
      <w:r>
        <w:rPr>
          <w:rFonts w:ascii="Arial" w:cs="Arial" w:eastAsia="Arial" w:hAnsi="Arial"/>
          <w:sz w:val="29"/>
          <w:szCs w:val="29"/>
          <w:color w:val="auto"/>
          <w:vertAlign w:val="superscript"/>
        </w:rPr>
        <w:t>8</w:t>
      </w:r>
      <w:r>
        <w:rPr>
          <w:rFonts w:ascii="Arial" w:cs="Arial" w:eastAsia="Arial" w:hAnsi="Arial"/>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20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7"/>
          <w:szCs w:val="17"/>
          <w:b w:val="1"/>
          <w:bCs w:val="1"/>
          <w:u w:val="single" w:color="auto"/>
          <w:color w:val="auto"/>
        </w:rPr>
        <w:t>Maximum Number of Shares</w:t>
      </w:r>
      <w:r>
        <w:rPr>
          <w:rFonts w:ascii="Arial" w:cs="Arial" w:eastAsia="Arial" w:hAnsi="Arial"/>
          <w:sz w:val="17"/>
          <w:szCs w:val="17"/>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7"/>
          <w:szCs w:val="17"/>
          <w:b w:val="1"/>
          <w:bCs w:val="1"/>
          <w:u w:val="single" w:color="auto"/>
          <w:color w:val="auto"/>
        </w:rPr>
        <w:t>Pro Rata</w:t>
      </w:r>
      <w:r>
        <w:rPr>
          <w:rFonts w:ascii="Arial" w:cs="Arial" w:eastAsia="Arial" w:hAnsi="Arial"/>
          <w:sz w:val="17"/>
          <w:szCs w:val="17"/>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7830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6" w:lineRule="exact"/>
        <w:rPr>
          <w:sz w:val="20"/>
          <w:szCs w:val="20"/>
          <w:color w:val="auto"/>
        </w:rPr>
      </w:pPr>
    </w:p>
    <w:p>
      <w:pPr>
        <w:ind w:left="120" w:hanging="112"/>
        <w:spacing w:after="0"/>
        <w:tabs>
          <w:tab w:leader="none" w:pos="120" w:val="left"/>
        </w:tabs>
        <w:numPr>
          <w:ilvl w:val="0"/>
          <w:numId w:val="144"/>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Amount TBD based on post-Closing market cap and pro forma capitalization table.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1296"/>
        <w:spacing w:after="0" w:line="275"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Withdrawal</w:t>
      </w:r>
      <w:r>
        <w:rPr>
          <w:rFonts w:ascii="Arial" w:cs="Arial" w:eastAsia="Arial" w:hAnsi="Arial"/>
          <w:sz w:val="17"/>
          <w:szCs w:val="17"/>
          <w:color w:val="auto"/>
        </w:rPr>
        <w:t xml:space="preserve">. A Demanding Holder shall have the right to withdraw all or any portion of its Registrable Securities included in an Underwritten Offering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Arial" w:cs="Arial" w:eastAsia="Arial" w:hAnsi="Arial"/>
          <w:sz w:val="17"/>
          <w:szCs w:val="17"/>
          <w:u w:val="single" w:color="auto"/>
          <w:color w:val="auto"/>
        </w:rPr>
        <w:t>Section 2.2.5</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w:t>
      </w:r>
    </w:p>
    <w:p>
      <w:pPr>
        <w:spacing w:after="0" w:line="2" w:lineRule="exact"/>
        <w:rPr>
          <w:sz w:val="20"/>
          <w:szCs w:val="20"/>
          <w:color w:val="auto"/>
        </w:rPr>
      </w:pPr>
    </w:p>
    <w:p>
      <w:pPr>
        <w:jc w:val="both"/>
        <w:ind w:firstLine="8"/>
        <w:spacing w:after="0" w:line="285" w:lineRule="auto"/>
        <w:tabs>
          <w:tab w:leader="none" w:pos="36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xml:space="preserve">”). The rights provided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shall not be available to any Investor at such time as (i) there is an effective Resale Shelf Registration Statement available for the resale of the Registerable Securities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296"/>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exceeds the Maximum Number of Shares, then the Company shall include in any such registration:</w:t>
      </w:r>
    </w:p>
    <w:p>
      <w:pPr>
        <w:spacing w:after="0" w:line="176" w:lineRule="exact"/>
        <w:rPr>
          <w:sz w:val="20"/>
          <w:szCs w:val="20"/>
          <w:color w:val="auto"/>
        </w:rPr>
      </w:pPr>
    </w:p>
    <w:p>
      <w:pPr>
        <w:jc w:val="both"/>
        <w:ind w:firstLine="1952"/>
        <w:spacing w:after="0" w:line="272" w:lineRule="auto"/>
        <w:tabs>
          <w:tab w:leader="none" w:pos="222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77" w:lineRule="exact"/>
        <w:rPr>
          <w:rFonts w:ascii="Arial" w:cs="Arial" w:eastAsia="Arial" w:hAnsi="Arial"/>
          <w:sz w:val="17"/>
          <w:szCs w:val="17"/>
          <w:color w:val="auto"/>
        </w:rPr>
      </w:pPr>
    </w:p>
    <w:p>
      <w:pPr>
        <w:jc w:val="both"/>
        <w:ind w:firstLine="1952"/>
        <w:spacing w:after="0" w:line="270" w:lineRule="auto"/>
        <w:tabs>
          <w:tab w:leader="none" w:pos="220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3. REGISTRATION PROCEDURES.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xml:space="preserve">. Whenever the Company is required to effect the registration of any Registrable Securities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xml:space="preserve">. The Company shall use its reasonable best efforts to, as expeditiously as possible after receipt of a request for a Demand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Arial" w:cs="Arial" w:eastAsia="Arial" w:hAnsi="Arial"/>
          <w:sz w:val="18"/>
          <w:szCs w:val="18"/>
          <w:b w:val="1"/>
          <w:bCs w:val="1"/>
          <w:u w:val="single" w:color="auto"/>
          <w:color w:val="auto"/>
        </w:rPr>
        <w:t>Company Board</w:t>
      </w:r>
      <w:r>
        <w:rPr>
          <w:rFonts w:ascii="Arial" w:cs="Arial" w:eastAsia="Arial" w:hAnsi="Arial"/>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 (90) consecutive calendar days, or more than one hundred twenty (120) total calendar days in any 365-day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296"/>
        <w:spacing w:after="0" w:line="25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Copies</w:t>
      </w:r>
      <w:r>
        <w:rPr>
          <w:rFonts w:ascii="Arial" w:cs="Arial" w:eastAsia="Arial" w:hAnsi="Arial"/>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Until the earlier of (i) the tenth anniversary of the date of this Agreement or (ii) the date as of which</w:t>
      </w:r>
    </w:p>
    <w:p>
      <w:pPr>
        <w:spacing w:after="0" w:line="46" w:lineRule="exact"/>
        <w:rPr>
          <w:sz w:val="20"/>
          <w:szCs w:val="20"/>
          <w:color w:val="auto"/>
        </w:rPr>
      </w:pPr>
    </w:p>
    <w:p>
      <w:pPr>
        <w:ind w:left="300" w:hanging="292"/>
        <w:spacing w:after="0"/>
        <w:tabs>
          <w:tab w:leader="none" w:pos="3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of the Registrable Securities have been sold pursuant to a Registration Statement (but in no event prior to the applicable period referred to in Section</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Arial" w:cs="Arial" w:eastAsia="Arial" w:hAnsi="Arial"/>
          <w:sz w:val="17"/>
          <w:szCs w:val="17"/>
          <w:b w:val="1"/>
          <w:bCs w:val="1"/>
          <w:u w:val="single" w:color="auto"/>
          <w:color w:val="auto"/>
        </w:rPr>
        <w:t>Effectiveness Period</w:t>
      </w:r>
      <w:r>
        <w:rPr>
          <w:rFonts w:ascii="Arial" w:cs="Arial" w:eastAsia="Arial" w:hAnsi="Arial"/>
          <w:sz w:val="17"/>
          <w:szCs w:val="17"/>
          <w:color w:val="auto"/>
        </w:rPr>
        <w:t>”).</w:t>
      </w:r>
    </w:p>
    <w:p>
      <w:pPr>
        <w:spacing w:after="0" w:line="17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Notification</w:t>
      </w:r>
      <w:r>
        <w:rPr>
          <w:rFonts w:ascii="Arial" w:cs="Arial" w:eastAsia="Arial" w:hAnsi="Arial"/>
          <w:sz w:val="17"/>
          <w:szCs w:val="17"/>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1296"/>
        <w:spacing w:after="0" w:line="290"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6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Agreements for Disposition</w:t>
      </w:r>
      <w:r>
        <w:rPr>
          <w:rFonts w:ascii="Arial" w:cs="Arial" w:eastAsia="Arial" w:hAnsi="Arial"/>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Comfort Letter</w:t>
      </w:r>
      <w:r>
        <w:rPr>
          <w:rFonts w:ascii="Arial" w:cs="Arial" w:eastAsia="Arial" w:hAnsi="Arial"/>
          <w:sz w:val="17"/>
          <w:szCs w:val="17"/>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Opinions</w:t>
      </w:r>
      <w:r>
        <w:rPr>
          <w:rFonts w:ascii="Arial" w:cs="Arial" w:eastAsia="Arial" w:hAnsi="Arial"/>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Cooperation</w:t>
      </w:r>
      <w:r>
        <w:rPr>
          <w:rFonts w:ascii="Arial" w:cs="Arial" w:eastAsia="Arial" w:hAnsi="Arial"/>
          <w:sz w:val="17"/>
          <w:szCs w:val="17"/>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296"/>
        <w:spacing w:after="0" w:line="255"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Records</w:t>
      </w:r>
      <w:r>
        <w:rPr>
          <w:rFonts w:ascii="Arial" w:cs="Arial" w:eastAsia="Arial" w:hAnsi="Arial"/>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xml:space="preserve">. Upon receipt of any notice from the Company of the happening of any event of the kind described in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3.1.4(iv)</w:t>
      </w:r>
      <w:r>
        <w:rPr>
          <w:rFonts w:ascii="Arial" w:cs="Arial" w:eastAsia="Arial" w:hAnsi="Arial"/>
          <w:sz w:val="17"/>
          <w:szCs w:val="17"/>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2.1.5(a)(i)</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any registration on Form S-3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6"/>
          <w:szCs w:val="16"/>
          <w:u w:val="single" w:color="auto"/>
          <w:color w:val="auto"/>
        </w:rPr>
        <w:t>Section 3.1.10</w:t>
      </w:r>
      <w:r>
        <w:rPr>
          <w:rFonts w:ascii="Arial" w:cs="Arial" w:eastAsia="Arial" w:hAnsi="Arial"/>
          <w:sz w:val="16"/>
          <w:szCs w:val="16"/>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 INDEMNIFICATION AND CONTRIBUTION.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such person (the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4.4.1 If the indemnification provided for in the foregoing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1296"/>
        <w:spacing w:after="0" w:line="263" w:lineRule="auto"/>
        <w:rPr>
          <w:sz w:val="20"/>
          <w:szCs w:val="20"/>
          <w:color w:val="auto"/>
        </w:rPr>
      </w:pPr>
      <w:r>
        <w:rPr>
          <w:rFonts w:ascii="Arial" w:cs="Arial" w:eastAsia="Arial" w:hAnsi="Arial"/>
          <w:sz w:val="18"/>
          <w:szCs w:val="18"/>
          <w:color w:val="auto"/>
        </w:rPr>
        <w:t xml:space="preserve">4.4.2 The parties hereto agree that it would not be just and equitable if contribution pursuant to this </w:t>
      </w:r>
      <w:r>
        <w:rPr>
          <w:rFonts w:ascii="Arial" w:cs="Arial" w:eastAsia="Arial" w:hAnsi="Arial"/>
          <w:sz w:val="18"/>
          <w:szCs w:val="18"/>
          <w:u w:val="single" w:color="auto"/>
          <w:color w:val="auto"/>
        </w:rPr>
        <w:t>Section 4.4.2</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the immediately preceding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5. UNDERWRITING AND DISTRIBUTION.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Rule 144</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6. LOCK-UP AGREEMENTS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Investor Lock-Up</w:t>
      </w:r>
      <w:r>
        <w:rPr>
          <w:rFonts w:ascii="Arial" w:cs="Arial" w:eastAsia="Arial" w:hAnsi="Arial"/>
          <w:sz w:val="17"/>
          <w:szCs w:val="17"/>
          <w:color w:val="auto"/>
        </w:rPr>
        <w:t xml:space="preserve">.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7. 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Registration Rights and Arrangements</w:t>
      </w:r>
      <w:r>
        <w:rPr>
          <w:rFonts w:ascii="Arial" w:cs="Arial" w:eastAsia="Arial" w:hAnsi="Arial"/>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Assignment; No Third Party Beneficiaries</w:t>
      </w:r>
      <w:r>
        <w:rPr>
          <w:rFonts w:ascii="Arial" w:cs="Arial" w:eastAsia="Arial" w:hAnsi="Arial"/>
          <w:sz w:val="17"/>
          <w:szCs w:val="17"/>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7.2</w:t>
      </w:r>
      <w:r>
        <w:rPr>
          <w:rFonts w:ascii="Arial" w:cs="Arial" w:eastAsia="Arial" w:hAnsi="Arial"/>
          <w:sz w:val="17"/>
          <w:szCs w:val="17"/>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Arial" w:cs="Arial" w:eastAsia="Arial" w:hAnsi="Arial"/>
          <w:sz w:val="17"/>
          <w:szCs w:val="17"/>
          <w:b w:val="1"/>
          <w:bCs w:val="1"/>
          <w:u w:val="single" w:color="auto"/>
          <w:color w:val="auto"/>
        </w:rPr>
        <w:t>Addendum Agreement</w:t>
      </w:r>
      <w:r>
        <w:rPr>
          <w:rFonts w:ascii="Arial" w:cs="Arial" w:eastAsia="Arial" w:hAnsi="Arial"/>
          <w:sz w:val="17"/>
          <w:szCs w:val="17"/>
          <w:color w:val="auto"/>
        </w:rPr>
        <w:t>”), and the transferor shall have delivered to the Company no later than thirty (30) 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648"/>
        <w:spacing w:after="0" w:line="270"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survive such termination.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consents, approvals or other communications (collectively,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One Kendall Square, 3rd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5715</wp:posOffset>
            </wp:positionV>
            <wp:extent cx="196278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2785" cy="12890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Mitchell S. Bloom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Email:</w:t>
        <w:tab/>
        <w:t>mbloom@goodwinlaw.com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despinoza@goodwinlaw.com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[_______________]</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[_______________]</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the Company’s books and records.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R</w:t>
      </w:r>
      <w:r>
        <w:rPr>
          <w:rFonts w:ascii="Arial" w:cs="Arial" w:eastAsia="Arial" w:hAnsi="Arial"/>
          <w:sz w:val="12"/>
          <w:szCs w:val="12"/>
          <w:color w:val="auto"/>
        </w:rPr>
        <w:t>EGISTRATION</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firstLine="1296"/>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151765</wp:posOffset>
            </wp:positionV>
            <wp:extent cx="284607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[__________]</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Addendum Agreement (“</w:t>
      </w:r>
      <w:r>
        <w:rPr>
          <w:rFonts w:ascii="Arial" w:cs="Arial" w:eastAsia="Arial" w:hAnsi="Arial"/>
          <w:sz w:val="17"/>
          <w:szCs w:val="17"/>
          <w:u w:val="single" w:color="auto"/>
          <w:color w:val="auto"/>
        </w:rPr>
        <w:t>Addendum Agreement</w:t>
      </w:r>
      <w:r>
        <w:rPr>
          <w:rFonts w:ascii="Arial" w:cs="Arial" w:eastAsia="Arial" w:hAnsi="Arial"/>
          <w:sz w:val="17"/>
          <w:szCs w:val="17"/>
          <w:color w:val="auto"/>
        </w:rPr>
        <w:t>”) is executed on __________________, 20___, by the undersigned (the “</w:t>
      </w:r>
      <w:r>
        <w:rPr>
          <w:rFonts w:ascii="Arial" w:cs="Arial" w:eastAsia="Arial" w:hAnsi="Arial"/>
          <w:sz w:val="17"/>
          <w:szCs w:val="17"/>
          <w:u w:val="single" w:color="auto"/>
          <w:color w:val="auto"/>
        </w:rPr>
        <w:t>New Holder</w:t>
      </w:r>
      <w:r>
        <w:rPr>
          <w:rFonts w:ascii="Arial" w:cs="Arial" w:eastAsia="Arial" w:hAnsi="Arial"/>
          <w:sz w:val="17"/>
          <w:szCs w:val="17"/>
          <w:color w:val="auto"/>
        </w:rPr>
        <w: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terms of that certain Registration Rights Agreement dated as of [●], 2020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93" w:lineRule="exact"/>
        <w:rPr>
          <w:sz w:val="20"/>
          <w:szCs w:val="20"/>
          <w:color w:val="auto"/>
        </w:rPr>
      </w:pPr>
    </w:p>
    <w:p>
      <w:pPr>
        <w:jc w:val="both"/>
        <w:ind w:firstLine="656"/>
        <w:spacing w:after="0" w:line="286" w:lineRule="auto"/>
        <w:tabs>
          <w:tab w:leader="none" w:pos="82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New Holder acknowledges that New Holder is acquiring certain shares of common stock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65" w:lineRule="exact"/>
        <w:rPr>
          <w:rFonts w:ascii="Arial" w:cs="Arial" w:eastAsia="Arial" w:hAnsi="Arial"/>
          <w:sz w:val="17"/>
          <w:szCs w:val="17"/>
          <w:color w:val="auto"/>
        </w:rPr>
      </w:pPr>
    </w:p>
    <w:p>
      <w:pPr>
        <w:ind w:right="20" w:firstLine="656"/>
        <w:spacing w:after="0" w:line="277" w:lineRule="auto"/>
        <w:tabs>
          <w:tab w:leader="none" w:pos="84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70" w:lineRule="exact"/>
        <w:rPr>
          <w:rFonts w:ascii="Arial" w:cs="Arial" w:eastAsia="Arial" w:hAnsi="Arial"/>
          <w:sz w:val="18"/>
          <w:szCs w:val="18"/>
          <w:color w:val="auto"/>
        </w:rPr>
      </w:pPr>
    </w:p>
    <w:p>
      <w:pPr>
        <w:ind w:firstLine="656"/>
        <w:spacing w:after="0" w:line="277" w:lineRule="auto"/>
        <w:tabs>
          <w:tab w:leader="none" w:pos="82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4"/>
          </w:tcPr>
          <w:p>
            <w:pPr>
              <w:spacing w:after="0"/>
              <w:rPr>
                <w:sz w:val="20"/>
                <w:szCs w:val="20"/>
                <w:color w:val="auto"/>
              </w:rPr>
            </w:pPr>
            <w:r>
              <w:rPr>
                <w:rFonts w:ascii="Arial" w:cs="Arial" w:eastAsia="Arial" w:hAnsi="Arial"/>
                <w:sz w:val="18"/>
                <w:szCs w:val="18"/>
                <w:color w:val="auto"/>
              </w:rPr>
              <w:t>NEW HOLDER:</w:t>
            </w:r>
          </w:p>
        </w:tc>
        <w:tc>
          <w:tcPr>
            <w:tcW w:w="6700" w:type="dxa"/>
            <w:vAlign w:val="bottom"/>
            <w:gridSpan w:val="2"/>
          </w:tcPr>
          <w:p>
            <w:pPr>
              <w:ind w:left="2240"/>
              <w:spacing w:after="0"/>
              <w:rPr>
                <w:sz w:val="20"/>
                <w:szCs w:val="20"/>
                <w:color w:val="auto"/>
              </w:rPr>
            </w:pPr>
            <w:r>
              <w:rPr>
                <w:rFonts w:ascii="Arial" w:cs="Arial" w:eastAsia="Arial" w:hAnsi="Arial"/>
                <w:sz w:val="18"/>
                <w:szCs w:val="18"/>
                <w:color w:val="auto"/>
              </w:rPr>
              <w:t>ACCEPTED AND AGREED:</w:t>
            </w:r>
          </w:p>
        </w:tc>
      </w:tr>
      <w:tr>
        <w:trPr>
          <w:trHeight w:val="432"/>
        </w:trPr>
        <w:tc>
          <w:tcPr>
            <w:tcW w:w="454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6700" w:type="dxa"/>
            <w:vAlign w:val="bottom"/>
            <w:gridSpan w:val="2"/>
          </w:tcPr>
          <w:p>
            <w:pPr>
              <w:ind w:left="2240"/>
              <w:spacing w:after="0"/>
              <w:rPr>
                <w:sz w:val="20"/>
                <w:szCs w:val="20"/>
                <w:color w:val="auto"/>
              </w:rPr>
            </w:pPr>
            <w:r>
              <w:rPr>
                <w:rFonts w:ascii="Arial" w:cs="Arial" w:eastAsia="Arial" w:hAnsi="Arial"/>
                <w:sz w:val="18"/>
                <w:szCs w:val="18"/>
                <w:color w:val="auto"/>
              </w:rPr>
              <w:t>FS DEVELOPMENT CORP.</w:t>
            </w:r>
          </w:p>
        </w:tc>
      </w:tr>
      <w:tr>
        <w:trPr>
          <w:trHeight w:val="223"/>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39"/>
        </w:trPr>
        <w:tc>
          <w:tcPr>
            <w:tcW w:w="4540" w:type="dxa"/>
            <w:vAlign w:val="bottom"/>
            <w:gridSpan w:val="4"/>
          </w:tcPr>
          <w:p>
            <w:pPr>
              <w:spacing w:after="0"/>
              <w:rPr>
                <w:sz w:val="20"/>
                <w:szCs w:val="20"/>
                <w:color w:val="auto"/>
              </w:rPr>
            </w:pPr>
            <w:r>
              <w:rPr>
                <w:rFonts w:ascii="Arial" w:cs="Arial" w:eastAsia="Arial" w:hAnsi="Arial"/>
                <w:sz w:val="18"/>
                <w:szCs w:val="18"/>
                <w:color w:val="auto"/>
              </w:rPr>
              <w:t>By:</w:t>
            </w:r>
          </w:p>
        </w:tc>
        <w:tc>
          <w:tcPr>
            <w:tcW w:w="6700" w:type="dxa"/>
            <w:vAlign w:val="bottom"/>
            <w:gridSpan w:val="2"/>
          </w:tcPr>
          <w:p>
            <w:pPr>
              <w:ind w:left="2220"/>
              <w:spacing w:after="0"/>
              <w:rPr>
                <w:sz w:val="20"/>
                <w:szCs w:val="20"/>
                <w:color w:val="auto"/>
              </w:rPr>
            </w:pPr>
            <w:r>
              <w:rPr>
                <w:rFonts w:ascii="Arial" w:cs="Arial" w:eastAsia="Arial" w:hAnsi="Arial"/>
                <w:sz w:val="18"/>
                <w:szCs w:val="18"/>
                <w:color w:val="auto"/>
              </w:rPr>
              <w:t>By:</w:t>
            </w:r>
          </w:p>
        </w:tc>
      </w:tr>
      <w:tr>
        <w:trPr>
          <w:trHeight w:val="898"/>
        </w:trPr>
        <w:tc>
          <w:tcPr>
            <w:tcW w:w="4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3" w:name="page154"/>
    <w:bookmarkEnd w:id="153"/>
    <w:p>
      <w:pPr>
        <w:jc w:val="right"/>
        <w:ind w:right="395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Lightstone Singapore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(A),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Wu Capital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54" w:name="page155"/>
    <w:bookmarkEnd w:id="154"/>
    <w:p>
      <w:pPr>
        <w:ind w:left="1028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Gemini Therapeutics, Inc.</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address of the Corporation’s registered office in the State of Delaware is [●]. The name of its registered agent at such address is [●].</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number of shares of capital stock which the Corporation shall have authority to issue is [__________] Million ([__________]) of which</w:t>
      </w:r>
    </w:p>
    <w:p>
      <w:pPr>
        <w:spacing w:after="0" w:line="46" w:lineRule="exact"/>
        <w:rPr>
          <w:sz w:val="20"/>
          <w:szCs w:val="20"/>
          <w:color w:val="auto"/>
        </w:rPr>
      </w:pPr>
    </w:p>
    <w:p>
      <w:pPr>
        <w:ind w:firstLine="8"/>
        <w:spacing w:after="0" w:line="323" w:lineRule="auto"/>
        <w:tabs>
          <w:tab w:leader="none" w:pos="2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[__________] Million ([______]) shares shall be a class designated as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Ten Million (10,000,000) shares shall be a class designated as undesignated preferred stock, par value $0.0001 per share (the “</w:t>
      </w:r>
      <w:r>
        <w:rPr>
          <w:rFonts w:ascii="Arial" w:cs="Arial" w:eastAsia="Arial" w:hAnsi="Arial"/>
          <w:sz w:val="16"/>
          <w:szCs w:val="16"/>
          <w:u w:val="single" w:color="auto"/>
          <w:color w:val="auto"/>
        </w:rPr>
        <w:t>Undesignated Preferred Stock</w:t>
      </w:r>
      <w:r>
        <w:rPr>
          <w:rFonts w:ascii="Arial" w:cs="Arial" w:eastAsia="Arial" w:hAnsi="Arial"/>
          <w:sz w:val="16"/>
          <w:szCs w:val="16"/>
          <w:color w:val="auto"/>
        </w:rPr>
        <w:t>”).</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70" w:lineRule="exact"/>
        <w:rPr>
          <w:sz w:val="20"/>
          <w:szCs w:val="20"/>
          <w:color w:val="auto"/>
        </w:rPr>
      </w:pPr>
    </w:p>
    <w:p>
      <w:pPr>
        <w:jc w:val="both"/>
        <w:ind w:firstLine="1952"/>
        <w:spacing w:after="0" w:line="254" w:lineRule="auto"/>
        <w:tabs>
          <w:tab w:leader="none" w:pos="219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holders of the Common Stock shall have the exclusive right to vote for the election of directors of the Corporation (the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952"/>
        <w:spacing w:after="0" w:line="263" w:lineRule="auto"/>
        <w:tabs>
          <w:tab w:leader="none" w:pos="222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Arial" w:cs="Arial" w:eastAsia="Arial" w:hAnsi="Arial"/>
          <w:sz w:val="18"/>
          <w:szCs w:val="18"/>
          <w:u w:val="single" w:color="auto"/>
          <w:color w:val="auto"/>
        </w:rPr>
        <w:t>Board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or any authorized committee thereof; and</w:t>
      </w:r>
    </w:p>
    <w:p>
      <w:pPr>
        <w:spacing w:after="0" w:line="183" w:lineRule="exact"/>
        <w:rPr>
          <w:rFonts w:ascii="Arial" w:cs="Arial" w:eastAsia="Arial" w:hAnsi="Arial"/>
          <w:sz w:val="18"/>
          <w:szCs w:val="18"/>
          <w:color w:val="auto"/>
        </w:rPr>
      </w:pPr>
    </w:p>
    <w:p>
      <w:pPr>
        <w:ind w:firstLine="1952"/>
        <w:spacing w:after="0" w:line="277" w:lineRule="auto"/>
        <w:tabs>
          <w:tab w:leader="none" w:pos="219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Undesignated Preferred Stock</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Action</w:t>
      </w:r>
    </w:p>
    <w:p>
      <w:pPr>
        <w:spacing w:after="0" w:line="229" w:lineRule="exact"/>
        <w:rPr>
          <w:sz w:val="20"/>
          <w:szCs w:val="20"/>
          <w:color w:val="auto"/>
        </w:rPr>
      </w:pPr>
    </w:p>
    <w:p>
      <w:pPr>
        <w:jc w:val="both"/>
        <w:ind w:firstLine="656"/>
        <w:spacing w:after="0" w:line="272" w:lineRule="auto"/>
        <w:tabs>
          <w:tab w:leader="none" w:pos="82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77" w:lineRule="exact"/>
        <w:rPr>
          <w:rFonts w:ascii="Arial" w:cs="Arial" w:eastAsia="Arial" w:hAnsi="Arial"/>
          <w:sz w:val="17"/>
          <w:szCs w:val="17"/>
          <w:color w:val="auto"/>
        </w:rPr>
      </w:pPr>
    </w:p>
    <w:p>
      <w:pPr>
        <w:jc w:val="both"/>
        <w:ind w:firstLine="656"/>
        <w:spacing w:after="0" w:line="272" w:lineRule="auto"/>
        <w:tabs>
          <w:tab w:leader="none" w:pos="82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firstLine="656"/>
        <w:spacing w:after="0" w:line="277" w:lineRule="auto"/>
        <w:tabs>
          <w:tab w:leader="none" w:pos="828"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170" w:lineRule="exact"/>
        <w:rPr>
          <w:rFonts w:ascii="Arial" w:cs="Arial" w:eastAsia="Arial" w:hAnsi="Arial"/>
          <w:sz w:val="18"/>
          <w:szCs w:val="18"/>
          <w:color w:val="auto"/>
        </w:rPr>
      </w:pPr>
    </w:p>
    <w:p>
      <w:pPr>
        <w:ind w:left="860" w:hanging="204"/>
        <w:spacing w:after="0"/>
        <w:tabs>
          <w:tab w:leader="none" w:pos="860"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w:t>
      </w:r>
      <w:r>
        <w:rPr>
          <w:rFonts w:ascii="Arial" w:cs="Arial" w:eastAsia="Arial" w:hAnsi="Arial"/>
          <w:sz w:val="17"/>
          <w:szCs w:val="17"/>
          <w:u w:val="single" w:color="auto"/>
          <w:color w:val="auto"/>
        </w:rPr>
        <w:t>By-laws</w:t>
      </w:r>
      <w:r>
        <w:rPr>
          <w:rFonts w:ascii="Arial" w:cs="Arial" w:eastAsia="Arial" w:hAnsi="Arial"/>
          <w:sz w:val="17"/>
          <w:szCs w:val="17"/>
          <w:color w:val="auto"/>
        </w:rPr>
        <w:t>”) shall so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w:t>
      </w:r>
    </w:p>
    <w:p>
      <w:pPr>
        <w:spacing w:after="0" w:line="210" w:lineRule="exact"/>
        <w:rPr>
          <w:rFonts w:ascii="Arial" w:cs="Arial" w:eastAsia="Arial" w:hAnsi="Arial"/>
          <w:sz w:val="17"/>
          <w:szCs w:val="17"/>
          <w:color w:val="auto"/>
        </w:rPr>
      </w:pPr>
    </w:p>
    <w:p>
      <w:pPr>
        <w:jc w:val="both"/>
        <w:ind w:firstLine="656"/>
        <w:spacing w:after="0" w:line="284" w:lineRule="auto"/>
        <w:tabs>
          <w:tab w:leader="none" w:pos="828"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Number of Directors; Term of Office</w:t>
      </w:r>
      <w:r>
        <w:rPr>
          <w:rFonts w:ascii="Arial" w:cs="Arial" w:eastAsia="Arial" w:hAnsi="Arial"/>
          <w:sz w:val="16"/>
          <w:szCs w:val="16"/>
          <w:color w:val="auto"/>
        </w:rPr>
        <w:t>. Subject to the terms of the Registration and Rights Agreement, dated as of [●], 2020, by and among the Corporation and certain of its stockholders (as amended, modified and/or supplemented from time to time,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and the Voting Agreement, dated as of [●], 2020, by and among the Corporation and certain of its stockholders (as amended, modified and/or supplemented from time to time,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w:t>
      </w:r>
    </w:p>
    <w:p>
      <w:pPr>
        <w:spacing w:after="0" w:line="2" w:lineRule="exact"/>
        <w:rPr>
          <w:rFonts w:ascii="Arial" w:cs="Arial" w:eastAsia="Arial" w:hAnsi="Arial"/>
          <w:sz w:val="16"/>
          <w:szCs w:val="16"/>
          <w:color w:val="auto"/>
        </w:rPr>
      </w:pPr>
    </w:p>
    <w:p>
      <w:pPr>
        <w:jc w:val="both"/>
        <w:ind w:firstLine="8"/>
        <w:spacing w:after="0" w:line="252" w:lineRule="auto"/>
        <w:tabs>
          <w:tab w:leader="none" w:pos="3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56"/>
        <w:spacing w:after="0" w:line="287" w:lineRule="auto"/>
        <w:tabs>
          <w:tab w:leader="none" w:pos="828"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determine the class or classes to which the increased or decreased number of Directors shall be apportioned;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67" w:lineRule="exact"/>
        <w:rPr>
          <w:rFonts w:ascii="Arial" w:cs="Arial" w:eastAsia="Arial" w:hAnsi="Arial"/>
          <w:sz w:val="16"/>
          <w:szCs w:val="16"/>
          <w:color w:val="auto"/>
        </w:rPr>
      </w:pPr>
    </w:p>
    <w:p>
      <w:pPr>
        <w:jc w:val="both"/>
        <w:ind w:firstLine="656"/>
        <w:spacing w:after="0" w:line="293" w:lineRule="auto"/>
        <w:tabs>
          <w:tab w:leader="none" w:pos="828"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jc w:val="both"/>
        <w:ind w:firstLine="656"/>
        <w:spacing w:after="0" w:line="273" w:lineRule="auto"/>
        <w:tabs>
          <w:tab w:leader="none" w:pos="82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Limitation of Director Liability</w:t>
      </w:r>
      <w:r>
        <w:rPr>
          <w:rFonts w:ascii="Arial" w:cs="Arial" w:eastAsia="Arial" w:hAnsi="Arial"/>
          <w:sz w:val="17"/>
          <w:szCs w:val="17"/>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3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56"/>
        <w:spacing w:after="0" w:line="263" w:lineRule="auto"/>
        <w:tabs>
          <w:tab w:leader="none" w:pos="83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29" w:lineRule="exact"/>
        <w:rPr>
          <w:sz w:val="20"/>
          <w:szCs w:val="20"/>
          <w:color w:val="auto"/>
        </w:rPr>
      </w:pPr>
    </w:p>
    <w:p>
      <w:pPr>
        <w:ind w:firstLine="656"/>
        <w:spacing w:after="0" w:line="277" w:lineRule="auto"/>
        <w:tabs>
          <w:tab w:leader="none" w:pos="82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828"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left="840" w:hanging="184"/>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Opt Out of DGCL 203</w:t>
      </w:r>
      <w:r>
        <w:rPr>
          <w:rFonts w:ascii="Arial" w:cs="Arial" w:eastAsia="Arial" w:hAnsi="Arial"/>
          <w:sz w:val="18"/>
          <w:szCs w:val="18"/>
          <w:color w:val="auto"/>
        </w:rPr>
        <w:t>. The Corporation shall not be governed by Section 203 of the DGCL.</w:t>
      </w:r>
    </w:p>
    <w:p>
      <w:pPr>
        <w:spacing w:after="0" w:line="225" w:lineRule="exact"/>
        <w:rPr>
          <w:rFonts w:ascii="Arial" w:cs="Arial" w:eastAsia="Arial" w:hAnsi="Arial"/>
          <w:sz w:val="18"/>
          <w:szCs w:val="18"/>
          <w:color w:val="auto"/>
        </w:rPr>
      </w:pPr>
    </w:p>
    <w:p>
      <w:pPr>
        <w:jc w:val="both"/>
        <w:ind w:firstLine="656"/>
        <w:spacing w:after="0" w:line="275" w:lineRule="auto"/>
        <w:tabs>
          <w:tab w:leader="none" w:pos="84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Excluded Opportunity</w:t>
      </w:r>
      <w:r>
        <w:rPr>
          <w:rFonts w:ascii="Arial" w:cs="Arial" w:eastAsia="Arial" w:hAnsi="Arial"/>
          <w:sz w:val="17"/>
          <w:szCs w:val="17"/>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7"/>
          <w:szCs w:val="17"/>
          <w:u w:val="single" w:color="auto"/>
          <w:color w:val="auto"/>
        </w:rPr>
        <w:t>Covered Person</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Text]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t>THIS AMENDED AND RESTATED CERTIFICATE OF INCORPORATION is executed as of this ____ day of __________, 2020.</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Closing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980" w:top="908" w:right="1399" w:bottom="1440" w:gutter="0" w:footer="0" w:header="0"/>
        </w:sectPr>
      </w:pPr>
    </w:p>
    <w:bookmarkStart w:id="160" w:name="page161"/>
    <w:bookmarkEnd w:id="160"/>
    <w:p>
      <w:pPr>
        <w:ind w:left="10280"/>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w:t>
      </w:r>
      <w:r>
        <w:rPr>
          <w:rFonts w:ascii="Arial" w:cs="Arial" w:eastAsia="Arial" w:hAnsi="Arial"/>
          <w:sz w:val="17"/>
          <w:szCs w:val="17"/>
          <w:u w:val="single" w:color="auto"/>
          <w:color w:val="auto"/>
        </w:rPr>
        <w:t>Annual Meeting</w:t>
      </w:r>
      <w:r>
        <w:rPr>
          <w:rFonts w:ascii="Arial" w:cs="Arial" w:eastAsia="Arial" w:hAnsi="Arial"/>
          <w:sz w:val="17"/>
          <w:szCs w:val="17"/>
          <w:color w:val="auto"/>
        </w:rPr>
        <w:t>”) shall be held at the hour, date and place within or without the United States which is fixed by the Board of Directors of the Corporation (the “</w:t>
      </w:r>
      <w:r>
        <w:rPr>
          <w:rFonts w:ascii="Arial" w:cs="Arial" w:eastAsia="Arial" w:hAnsi="Arial"/>
          <w:sz w:val="17"/>
          <w:szCs w:val="17"/>
          <w:u w:val="single" w:color="auto"/>
          <w:color w:val="auto"/>
        </w:rPr>
        <w:t>Board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Directors</w:t>
      </w:r>
      <w:r>
        <w:rPr>
          <w:rFonts w:ascii="Arial" w:cs="Arial" w:eastAsia="Arial" w:hAnsi="Arial"/>
          <w:sz w:val="17"/>
          <w:szCs w:val="17"/>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90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such stockholder must comply with the notice and other procedures set forth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56"/>
        <w:spacing w:after="0" w:line="286" w:lineRule="auto"/>
        <w:tabs>
          <w:tab w:leader="none" w:pos="92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clause (ii)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2(a)(1)</w:t>
      </w:r>
      <w:r>
        <w:rPr>
          <w:rFonts w:ascii="Arial" w:cs="Arial" w:eastAsia="Arial" w:hAnsi="Arial"/>
          <w:sz w:val="16"/>
          <w:szCs w:val="16"/>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Arial" w:cs="Arial" w:eastAsia="Arial" w:hAnsi="Arial"/>
          <w:sz w:val="16"/>
          <w:szCs w:val="16"/>
          <w:u w:val="single" w:color="auto"/>
          <w:color w:val="auto"/>
        </w:rPr>
        <w:t>Timely Notice</w:t>
      </w:r>
      <w:r>
        <w:rPr>
          <w:rFonts w:ascii="Arial" w:cs="Arial" w:eastAsia="Arial" w:hAnsi="Arial"/>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67" w:lineRule="exact"/>
        <w:rPr>
          <w:rFonts w:ascii="Arial" w:cs="Arial" w:eastAsia="Arial" w:hAnsi="Arial"/>
          <w:sz w:val="16"/>
          <w:szCs w:val="16"/>
          <w:color w:val="auto"/>
        </w:rPr>
      </w:pPr>
    </w:p>
    <w:p>
      <w:pPr>
        <w:jc w:val="both"/>
        <w:ind w:left="1300" w:firstLine="652"/>
        <w:spacing w:after="0" w:line="284" w:lineRule="auto"/>
        <w:tabs>
          <w:tab w:leader="none" w:pos="2264" w:val="left"/>
        </w:tabs>
        <w:numPr>
          <w:ilvl w:val="2"/>
          <w:numId w:val="162"/>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w:t>
      </w:r>
    </w:p>
    <w:p>
      <w:pPr>
        <w:spacing w:after="0" w:line="2" w:lineRule="exact"/>
        <w:rPr>
          <w:rFonts w:ascii="Arial" w:cs="Arial" w:eastAsia="Arial" w:hAnsi="Arial"/>
          <w:sz w:val="16"/>
          <w:szCs w:val="16"/>
          <w:color w:val="auto"/>
        </w:rPr>
      </w:pPr>
    </w:p>
    <w:p>
      <w:pPr>
        <w:jc w:val="both"/>
        <w:ind w:left="1300" w:firstLine="4"/>
        <w:spacing w:after="0" w:line="281" w:lineRule="auto"/>
        <w:tabs>
          <w:tab w:leader="none" w:pos="157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w:t>
      </w:r>
    </w:p>
    <w:p>
      <w:pPr>
        <w:spacing w:after="0" w:line="2" w:lineRule="exact"/>
        <w:rPr>
          <w:rFonts w:ascii="Arial" w:cs="Arial" w:eastAsia="Arial" w:hAnsi="Arial"/>
          <w:sz w:val="16"/>
          <w:szCs w:val="16"/>
          <w:color w:val="auto"/>
        </w:rPr>
      </w:pPr>
    </w:p>
    <w:p>
      <w:pPr>
        <w:jc w:val="both"/>
        <w:ind w:left="1300" w:firstLine="4"/>
        <w:spacing w:after="0" w:line="255" w:lineRule="auto"/>
        <w:tabs>
          <w:tab w:leader="none" w:pos="168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9" w:lineRule="exact"/>
        <w:rPr>
          <w:rFonts w:ascii="Arial" w:cs="Arial" w:eastAsia="Arial" w:hAnsi="Arial"/>
          <w:sz w:val="18"/>
          <w:szCs w:val="18"/>
          <w:color w:val="auto"/>
        </w:rPr>
      </w:pPr>
    </w:p>
    <w:p>
      <w:pPr>
        <w:jc w:val="both"/>
        <w:ind w:left="1300" w:firstLine="652"/>
        <w:spacing w:after="0" w:line="311" w:lineRule="auto"/>
        <w:tabs>
          <w:tab w:leader="none" w:pos="2235" w:val="left"/>
        </w:tabs>
        <w:numPr>
          <w:ilvl w:val="2"/>
          <w:numId w:val="163"/>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left="180" w:firstLine="652"/>
        <w:spacing w:after="0" w:line="284" w:lineRule="auto"/>
        <w:tabs>
          <w:tab w:leader="none" w:pos="111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u w:val="single" w:color="auto"/>
          <w:color w:val="auto"/>
        </w:rPr>
        <w:t>Material Ownership Interests</w:t>
      </w:r>
      <w:r>
        <w:rPr>
          <w:rFonts w:ascii="Arial" w:cs="Arial" w:eastAsia="Arial" w:hAnsi="Arial"/>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6" w:lineRule="exact"/>
        <w:rPr>
          <w:rFonts w:ascii="Arial" w:cs="Arial" w:eastAsia="Arial" w:hAnsi="Arial"/>
          <w:sz w:val="16"/>
          <w:szCs w:val="16"/>
          <w:color w:val="auto"/>
        </w:rPr>
      </w:pPr>
    </w:p>
    <w:p>
      <w:pPr>
        <w:jc w:val="both"/>
        <w:ind w:left="180" w:firstLine="652"/>
        <w:spacing w:after="0" w:line="272" w:lineRule="auto"/>
        <w:tabs>
          <w:tab w:leader="none" w:pos="113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77" w:lineRule="exact"/>
        <w:rPr>
          <w:rFonts w:ascii="Arial" w:cs="Arial" w:eastAsia="Arial" w:hAnsi="Arial"/>
          <w:sz w:val="17"/>
          <w:szCs w:val="17"/>
          <w:color w:val="auto"/>
        </w:rPr>
      </w:pPr>
    </w:p>
    <w:p>
      <w:pPr>
        <w:jc w:val="both"/>
        <w:ind w:left="180" w:firstLine="652"/>
        <w:spacing w:after="0" w:line="255" w:lineRule="auto"/>
        <w:tabs>
          <w:tab w:leader="none" w:pos="11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8"/>
          <w:szCs w:val="18"/>
          <w:u w:val="single" w:color="auto"/>
          <w:color w:val="auto"/>
        </w:rPr>
        <w:t>Solicitation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3" w:name="page164"/>
    <w:bookmarkEnd w:id="163"/>
    <w:p>
      <w:pPr>
        <w:jc w:val="both"/>
        <w:ind w:firstLine="648"/>
        <w:spacing w:after="0" w:line="269"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these By-laws, the term “</w:t>
      </w:r>
      <w:r>
        <w:rPr>
          <w:rFonts w:ascii="Arial" w:cs="Arial" w:eastAsia="Arial" w:hAnsi="Arial"/>
          <w:sz w:val="17"/>
          <w:szCs w:val="17"/>
          <w:u w:val="single" w:color="auto"/>
          <w:color w:val="auto"/>
        </w:rPr>
        <w:t>Synthetic Equity Interest</w:t>
      </w:r>
      <w:r>
        <w:rPr>
          <w:rFonts w:ascii="Arial" w:cs="Arial" w:eastAsia="Arial" w:hAnsi="Arial"/>
          <w:sz w:val="17"/>
          <w:szCs w:val="17"/>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79" w:lineRule="exact"/>
        <w:rPr>
          <w:sz w:val="20"/>
          <w:szCs w:val="20"/>
          <w:color w:val="auto"/>
        </w:rPr>
      </w:pPr>
    </w:p>
    <w:p>
      <w:pPr>
        <w:jc w:val="both"/>
        <w:ind w:firstLine="656"/>
        <w:spacing w:after="0" w:line="287" w:lineRule="auto"/>
        <w:tabs>
          <w:tab w:leader="none" w:pos="89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w:t>
      </w:r>
    </w:p>
    <w:p>
      <w:pPr>
        <w:spacing w:after="0" w:line="2" w:lineRule="exact"/>
        <w:rPr>
          <w:rFonts w:ascii="Arial" w:cs="Arial" w:eastAsia="Arial" w:hAnsi="Arial"/>
          <w:sz w:val="16"/>
          <w:szCs w:val="16"/>
          <w:color w:val="auto"/>
        </w:rPr>
      </w:pPr>
    </w:p>
    <w:p>
      <w:pPr>
        <w:jc w:val="both"/>
        <w:ind w:firstLine="8"/>
        <w:spacing w:after="0" w:line="295" w:lineRule="auto"/>
        <w:tabs>
          <w:tab w:leader="none" w:pos="3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61" w:lineRule="exact"/>
        <w:rPr>
          <w:rFonts w:ascii="Arial" w:cs="Arial" w:eastAsia="Arial" w:hAnsi="Arial"/>
          <w:sz w:val="16"/>
          <w:szCs w:val="16"/>
          <w:color w:val="auto"/>
        </w:rPr>
      </w:pPr>
    </w:p>
    <w:p>
      <w:pPr>
        <w:jc w:val="both"/>
        <w:ind w:firstLine="656"/>
        <w:spacing w:after="0" w:line="293" w:lineRule="auto"/>
        <w:tabs>
          <w:tab w:leader="none" w:pos="90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2(a)(2)</w:t>
      </w:r>
      <w:r>
        <w:rPr>
          <w:rFonts w:ascii="Arial" w:cs="Arial" w:eastAsia="Arial" w:hAnsi="Arial"/>
          <w:sz w:val="16"/>
          <w:szCs w:val="16"/>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64" w:lineRule="exact"/>
        <w:rPr>
          <w:sz w:val="20"/>
          <w:szCs w:val="20"/>
          <w:color w:val="auto"/>
        </w:rPr>
      </w:pPr>
    </w:p>
    <w:p>
      <w:pPr>
        <w:ind w:left="920" w:hanging="264"/>
        <w:spacing w:after="0"/>
        <w:tabs>
          <w:tab w:leader="none" w:pos="9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8" w:lineRule="auto"/>
        <w:tabs>
          <w:tab w:leader="none" w:pos="90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provisions of these By-laws, the Registration and Shareholder Rights Agreement, dated as of [ ● ], by and among the Corporation and certain of its stockholders (as amended, modified and/or supplemented from time to time, the “</w:t>
      </w:r>
      <w:r>
        <w:rPr>
          <w:rFonts w:ascii="Arial" w:cs="Arial" w:eastAsia="Arial" w:hAnsi="Arial"/>
          <w:sz w:val="17"/>
          <w:szCs w:val="17"/>
          <w:u w:val="single" w:color="auto"/>
          <w:color w:val="auto"/>
        </w:rPr>
        <w:t>Registration and Shareholder Rights Agreement</w:t>
      </w:r>
      <w:r>
        <w:rPr>
          <w:rFonts w:ascii="Arial" w:cs="Arial" w:eastAsia="Arial" w:hAnsi="Arial"/>
          <w:sz w:val="17"/>
          <w:szCs w:val="17"/>
          <w:color w:val="auto"/>
        </w:rPr>
        <w:t>”) and the Voting Agreement, dated as of [●], 2020, by and among the Corporation and certain of its stockholders (as amended, modified and/or supplemented from time to time,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656"/>
        <w:spacing w:after="0" w:line="259" w:lineRule="auto"/>
        <w:tabs>
          <w:tab w:leader="none" w:pos="9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Except as otherwise required by law, the Registration and Shareholder Rights Agreement or the Voting Agreement, nothing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6" w:lineRule="exact"/>
        <w:rPr>
          <w:rFonts w:ascii="Arial" w:cs="Arial" w:eastAsia="Arial" w:hAnsi="Arial"/>
          <w:sz w:val="18"/>
          <w:szCs w:val="18"/>
          <w:color w:val="auto"/>
        </w:rPr>
      </w:pPr>
    </w:p>
    <w:p>
      <w:pPr>
        <w:jc w:val="both"/>
        <w:ind w:firstLine="656"/>
        <w:spacing w:after="0" w:line="254" w:lineRule="auto"/>
        <w:tabs>
          <w:tab w:leader="none" w:pos="90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94" w:lineRule="exact"/>
        <w:rPr>
          <w:rFonts w:ascii="Arial" w:cs="Arial" w:eastAsia="Arial" w:hAnsi="Arial"/>
          <w:sz w:val="18"/>
          <w:szCs w:val="18"/>
          <w:color w:val="auto"/>
        </w:rPr>
      </w:pPr>
    </w:p>
    <w:p>
      <w:pPr>
        <w:jc w:val="both"/>
        <w:ind w:firstLine="656"/>
        <w:spacing w:after="0" w:line="263" w:lineRule="auto"/>
        <w:tabs>
          <w:tab w:leader="none" w:pos="92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1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76" w:lineRule="exact"/>
        <w:rPr>
          <w:sz w:val="20"/>
          <w:szCs w:val="20"/>
          <w:color w:val="auto"/>
        </w:rPr>
      </w:pPr>
    </w:p>
    <w:p>
      <w:pPr>
        <w:jc w:val="both"/>
        <w:ind w:firstLine="656"/>
        <w:spacing w:after="0" w:line="275" w:lineRule="auto"/>
        <w:tabs>
          <w:tab w:leader="none" w:pos="89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these By-laws, in which case such special meeting in lieu thereof shall be deemed an Annual Meeting for purposes of these By-laws and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these By-laws shall govern such special meeting.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648"/>
        <w:spacing w:after="0" w:line="275"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88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656"/>
        <w:spacing w:after="0" w:line="308" w:lineRule="auto"/>
        <w:tabs>
          <w:tab w:leader="none" w:pos="92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46" w:lineRule="exact"/>
        <w:rPr>
          <w:rFonts w:ascii="Arial" w:cs="Arial" w:eastAsia="Arial" w:hAnsi="Arial"/>
          <w:sz w:val="17"/>
          <w:szCs w:val="17"/>
          <w:color w:val="auto"/>
        </w:rPr>
      </w:pPr>
    </w:p>
    <w:p>
      <w:pPr>
        <w:jc w:val="both"/>
        <w:ind w:firstLine="656"/>
        <w:spacing w:after="0" w:line="259" w:lineRule="auto"/>
        <w:tabs>
          <w:tab w:leader="none" w:pos="89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these By-laws.</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When any meeting is convened, the presiding officer may adjourn the meeting if (i) no quorum is present for the transaction of business,</w:t>
      </w:r>
    </w:p>
    <w:p>
      <w:pPr>
        <w:spacing w:after="0" w:line="34" w:lineRule="exact"/>
        <w:rPr>
          <w:rFonts w:ascii="Arial" w:cs="Arial" w:eastAsia="Arial" w:hAnsi="Arial"/>
          <w:sz w:val="17"/>
          <w:szCs w:val="17"/>
          <w:color w:val="auto"/>
        </w:rPr>
      </w:pPr>
    </w:p>
    <w:p>
      <w:pPr>
        <w:jc w:val="both"/>
        <w:ind w:firstLine="8"/>
        <w:spacing w:after="0" w:line="286" w:lineRule="auto"/>
        <w:tabs>
          <w:tab w:leader="none" w:pos="2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6"/>
          <w:szCs w:val="16"/>
          <w:u w:val="single" w:color="auto"/>
          <w:color w:val="auto"/>
        </w:rPr>
        <w:t>Certificate</w:t>
      </w:r>
      <w:r>
        <w:rPr>
          <w:rFonts w:ascii="Arial" w:cs="Arial" w:eastAsia="Arial" w:hAnsi="Arial"/>
          <w:sz w:val="16"/>
          <w:szCs w:val="16"/>
          <w:color w:val="auto"/>
        </w:rPr>
        <w:t>”) or these By-laws, is entitled to such notice.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48"/>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w:t>
      </w:r>
    </w:p>
    <w:p>
      <w:pPr>
        <w:jc w:val="both"/>
        <w:ind w:firstLine="8"/>
        <w:spacing w:after="0" w:line="287" w:lineRule="auto"/>
        <w:tabs>
          <w:tab w:leader="none" w:pos="29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648"/>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w:t>
      </w:r>
      <w:r>
        <w:rPr>
          <w:rFonts w:ascii="Arial" w:cs="Arial" w:eastAsia="Arial" w:hAnsi="Arial"/>
          <w:sz w:val="17"/>
          <w:szCs w:val="17"/>
          <w:color w:val="auto"/>
        </w:rPr>
        <w:t>. The order of business and all other matters of procedure at any meeting of the stockholders shall be determined by the presiding officer.</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 the Registration and Shareholder Rights Agreement and the Voting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 the Registration and Shareholder Rights Agreement and the Voting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Resignation</w:t>
      </w:r>
      <w:r>
        <w:rPr>
          <w:rFonts w:ascii="Arial" w:cs="Arial" w:eastAsia="Arial" w:hAnsi="Arial"/>
          <w:sz w:val="17"/>
          <w:szCs w:val="17"/>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648"/>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Committees</w:t>
      </w:r>
      <w:r>
        <w:rPr>
          <w:rFonts w:ascii="Arial" w:cs="Arial" w:eastAsia="Arial" w:hAnsi="Arial"/>
          <w:sz w:val="16"/>
          <w:szCs w:val="16"/>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648"/>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48"/>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Arial" w:cs="Arial" w:eastAsia="Arial" w:hAnsi="Arial"/>
          <w:sz w:val="16"/>
          <w:szCs w:val="16"/>
          <w:b w:val="1"/>
          <w:bCs w:val="1"/>
          <w:color w:val="auto"/>
        </w:rPr>
        <w:t>Notwithstanding anything to</w:t>
      </w:r>
      <w:r>
        <w:rPr>
          <w:rFonts w:ascii="Arial" w:cs="Arial" w:eastAsia="Arial" w:hAnsi="Arial"/>
          <w:sz w:val="16"/>
          <w:szCs w:val="16"/>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firstLine="648"/>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225" w:lineRule="exact"/>
        <w:rPr>
          <w:sz w:val="20"/>
          <w:szCs w:val="20"/>
          <w:color w:val="auto"/>
        </w:rPr>
      </w:pPr>
    </w:p>
    <w:p>
      <w:pPr>
        <w:jc w:val="both"/>
        <w:ind w:firstLine="656"/>
        <w:spacing w:after="0" w:line="290" w:lineRule="auto"/>
        <w:tabs>
          <w:tab w:leader="none" w:pos="89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Arial" w:cs="Arial" w:eastAsia="Arial" w:hAnsi="Arial"/>
          <w:sz w:val="16"/>
          <w:szCs w:val="16"/>
          <w:u w:val="single" w:color="auto"/>
          <w:color w:val="auto"/>
        </w:rPr>
        <w:t>Section 1(a)</w:t>
      </w:r>
      <w:r>
        <w:rPr>
          <w:rFonts w:ascii="Arial" w:cs="Arial" w:eastAsia="Arial" w:hAnsi="Arial"/>
          <w:sz w:val="16"/>
          <w:szCs w:val="16"/>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65" w:lineRule="exact"/>
        <w:rPr>
          <w:rFonts w:ascii="Arial" w:cs="Arial" w:eastAsia="Arial" w:hAnsi="Arial"/>
          <w:sz w:val="16"/>
          <w:szCs w:val="16"/>
          <w:color w:val="auto"/>
        </w:rPr>
      </w:pPr>
    </w:p>
    <w:p>
      <w:pPr>
        <w:ind w:firstLine="656"/>
        <w:spacing w:after="0" w:line="277" w:lineRule="auto"/>
        <w:tabs>
          <w:tab w:leader="none" w:pos="90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70" w:lineRule="exact"/>
        <w:rPr>
          <w:rFonts w:ascii="Arial" w:cs="Arial" w:eastAsia="Arial" w:hAnsi="Arial"/>
          <w:sz w:val="18"/>
          <w:szCs w:val="18"/>
          <w:color w:val="auto"/>
        </w:rPr>
      </w:pPr>
    </w:p>
    <w:p>
      <w:pPr>
        <w:ind w:firstLine="656"/>
        <w:spacing w:after="0" w:line="277" w:lineRule="auto"/>
        <w:tabs>
          <w:tab w:leader="none" w:pos="90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each Proceeding in respect of which indemnification is sought hereunder, a Director of the Corporation who is not and was not a party to such Proceeding;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94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ind w:left="900" w:hanging="244"/>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judgments, damages, liabilities, losses, penalties, excise taxes, fines and amounts paid in settlement;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96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Non-Officer Employee</w:t>
      </w:r>
      <w:r>
        <w:rPr>
          <w:rFonts w:ascii="Arial" w:cs="Arial" w:eastAsia="Arial" w:hAnsi="Arial"/>
          <w:sz w:val="18"/>
          <w:szCs w:val="18"/>
          <w:color w:val="auto"/>
        </w:rPr>
        <w:t>” means any person who serves or has served as an employee or agent of the Corporation, but who is not or was not a Director or Officer;</w:t>
      </w:r>
    </w:p>
    <w:p>
      <w:pPr>
        <w:spacing w:after="0" w:line="170"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70" w:lineRule="exact"/>
        <w:rPr>
          <w:rFonts w:ascii="Arial" w:cs="Arial" w:eastAsia="Arial" w:hAnsi="Arial"/>
          <w:sz w:val="18"/>
          <w:szCs w:val="18"/>
          <w:color w:val="auto"/>
        </w:rPr>
      </w:pPr>
    </w:p>
    <w:p>
      <w:pPr>
        <w:ind w:firstLine="656"/>
        <w:spacing w:after="0" w:line="277" w:lineRule="auto"/>
        <w:tabs>
          <w:tab w:leader="none" w:pos="95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0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Subject to the operation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firstLine="644"/>
        <w:spacing w:after="0" w:line="254" w:lineRule="auto"/>
        <w:tabs>
          <w:tab w:leader="none" w:pos="1563"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Other than By or In the Right of the Corporation</w:t>
      </w:r>
      <w:r>
        <w:rPr>
          <w:rFonts w:ascii="Arial" w:cs="Arial" w:eastAsia="Arial" w:hAnsi="Arial"/>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94" w:lineRule="exact"/>
        <w:rPr>
          <w:rFonts w:ascii="Arial" w:cs="Arial" w:eastAsia="Arial" w:hAnsi="Arial"/>
          <w:sz w:val="18"/>
          <w:szCs w:val="18"/>
          <w:color w:val="auto"/>
        </w:rPr>
      </w:pPr>
    </w:p>
    <w:p>
      <w:pPr>
        <w:jc w:val="both"/>
        <w:ind w:left="660" w:firstLine="644"/>
        <w:spacing w:after="0" w:line="253" w:lineRule="auto"/>
        <w:tabs>
          <w:tab w:leader="none" w:pos="159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Actions, Suits and Proceedings By or In the Right of the Corporation</w:t>
      </w:r>
      <w:r>
        <w:rPr>
          <w:rFonts w:ascii="Arial" w:cs="Arial" w:eastAsia="Arial" w:hAnsi="Arial"/>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Arial" w:cs="Arial" w:eastAsia="Arial" w:hAnsi="Arial"/>
          <w:sz w:val="18"/>
          <w:szCs w:val="18"/>
          <w:u w:val="single" w:color="auto"/>
          <w:color w:val="auto"/>
        </w:rPr>
        <w:t>Section 2(a)(2)</w:t>
      </w:r>
      <w:r>
        <w:rPr>
          <w:rFonts w:ascii="Arial" w:cs="Arial" w:eastAsia="Arial" w:hAnsi="Arial"/>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660" w:right="20" w:firstLine="644"/>
        <w:spacing w:after="0" w:line="342" w:lineRule="auto"/>
        <w:tabs>
          <w:tab w:leader="none" w:pos="1563"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xml:space="preserve">. The rights of indemnification provided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123" w:lineRule="exact"/>
        <w:rPr>
          <w:rFonts w:ascii="Arial" w:cs="Arial" w:eastAsia="Arial" w:hAnsi="Arial"/>
          <w:sz w:val="16"/>
          <w:szCs w:val="16"/>
          <w:color w:val="auto"/>
        </w:rPr>
      </w:pPr>
    </w:p>
    <w:p>
      <w:pPr>
        <w:jc w:val="both"/>
        <w:ind w:left="660" w:firstLine="644"/>
        <w:spacing w:after="0" w:line="257" w:lineRule="auto"/>
        <w:tabs>
          <w:tab w:leader="none" w:pos="157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xml:space="preserve">. Subject to the operation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xml:space="preserve">. Unless ordered by a court, no indemnification shall be provided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89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96" w:lineRule="exact"/>
        <w:rPr>
          <w:rFonts w:ascii="Arial" w:cs="Arial" w:eastAsia="Arial" w:hAnsi="Arial"/>
          <w:sz w:val="18"/>
          <w:szCs w:val="18"/>
          <w:color w:val="auto"/>
        </w:rPr>
      </w:pPr>
    </w:p>
    <w:p>
      <w:pPr>
        <w:jc w:val="both"/>
        <w:ind w:firstLine="656"/>
        <w:spacing w:after="0" w:line="291" w:lineRule="auto"/>
        <w:tabs>
          <w:tab w:leader="none" w:pos="91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66" w:lineRule="exact"/>
        <w:rPr>
          <w:rFonts w:ascii="Arial" w:cs="Arial" w:eastAsia="Arial" w:hAnsi="Arial"/>
          <w:sz w:val="16"/>
          <w:szCs w:val="16"/>
          <w:color w:val="auto"/>
        </w:rPr>
      </w:pPr>
    </w:p>
    <w:p>
      <w:pPr>
        <w:jc w:val="both"/>
        <w:ind w:firstLine="656"/>
        <w:spacing w:after="0" w:line="342" w:lineRule="auto"/>
        <w:tabs>
          <w:tab w:leader="none" w:pos="89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89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94"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8" w:lineRule="auto"/>
        <w:tabs>
          <w:tab w:leader="none" w:pos="88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deemed to be a contract between the Corporation and each Director and Officer entitled to the benefits hereof at any time while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in effect, in consideration of such person’s past or current and any future performance of services for the Corporation. Neither amendment, repeal or modification of any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nor the adoption of any provision of the Certificate of Incorporation inconsistent with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any right conferred by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56"/>
        <w:spacing w:after="0" w:line="290" w:lineRule="auto"/>
        <w:tabs>
          <w:tab w:leader="none" w:pos="90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65" w:lineRule="exact"/>
        <w:rPr>
          <w:rFonts w:ascii="Arial" w:cs="Arial" w:eastAsia="Arial" w:hAnsi="Arial"/>
          <w:sz w:val="16"/>
          <w:szCs w:val="16"/>
          <w:color w:val="auto"/>
        </w:rPr>
      </w:pPr>
    </w:p>
    <w:p>
      <w:pPr>
        <w:ind w:firstLine="656"/>
        <w:spacing w:after="0" w:line="277" w:lineRule="auto"/>
        <w:tabs>
          <w:tab w:leader="none" w:pos="90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to indemnification and to advancement of Expenses set forth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Other Indemnification</w:t>
      </w:r>
      <w:r>
        <w:rPr>
          <w:rFonts w:ascii="Arial" w:cs="Arial" w:eastAsia="Arial" w:hAnsi="Arial"/>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6"/>
          <w:szCs w:val="16"/>
          <w:u w:val="single" w:color="auto"/>
          <w:color w:val="auto"/>
        </w:rPr>
        <w:t>Primary Indemnitor</w:t>
      </w:r>
      <w:r>
        <w:rPr>
          <w:rFonts w:ascii="Arial" w:cs="Arial" w:eastAsia="Arial" w:hAnsi="Arial"/>
          <w:sz w:val="16"/>
          <w:szCs w:val="16"/>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Instruments</w:t>
      </w:r>
      <w:r>
        <w:rPr>
          <w:rFonts w:ascii="Arial" w:cs="Arial" w:eastAsia="Arial" w:hAnsi="Arial"/>
          <w:sz w:val="17"/>
          <w:szCs w:val="17"/>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w:t>
      </w:r>
      <w:r>
        <w:rPr>
          <w:rFonts w:ascii="Arial" w:cs="Arial" w:eastAsia="Arial" w:hAnsi="Arial"/>
          <w:sz w:val="17"/>
          <w:szCs w:val="17"/>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16"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0360"/>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2020 STOCK OPTION AND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not less than two Non-Employee Directors who are independent.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the closing of the transactions contemplated by that certain Merger Agreement, dated as of October 15, 2020, by and among the Company and the other parties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means an Award of stock units subject to such restrictions and conditions as the Administrator may determine at the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means (i) the sale of all or substantially all of the assets of the Company on a consolidated basis to an unrelated person or entity, (ii)</w:t>
      </w:r>
      <w:r>
        <w:rPr>
          <w:rFonts w:ascii="Arial" w:cs="Arial" w:eastAsia="Arial" w:hAnsi="Arial"/>
          <w:sz w:val="17"/>
          <w:szCs w:val="17"/>
          <w:i w:val="1"/>
          <w:iCs w:val="1"/>
          <w:color w:val="auto"/>
        </w:rPr>
        <w:t xml:space="preserve"> </w:t>
      </w:r>
      <w:r>
        <w:rPr>
          <w:rFonts w:ascii="Arial" w:cs="Arial" w:eastAsia="Arial" w:hAnsi="Arial"/>
          <w:sz w:val="17"/>
          <w:szCs w:val="17"/>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 rules of Section 424(d) of the Code)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10 percent of the combined voting power of all classes of stock of the Company or any parent or subsidiary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ADMINISTRATION OF PLAN; ADMINISTRATOR AUTHORITY TO SELECT GRANTEES AND DETERMINE AWARDS</w:t>
      </w:r>
    </w:p>
    <w:p>
      <w:pPr>
        <w:spacing w:after="0" w:line="225" w:lineRule="exact"/>
        <w:rPr>
          <w:sz w:val="20"/>
          <w:szCs w:val="20"/>
          <w:color w:val="auto"/>
        </w:rPr>
      </w:pPr>
    </w:p>
    <w:p>
      <w:pPr>
        <w:ind w:left="900" w:hanging="244"/>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225" w:lineRule="exact"/>
        <w:rPr>
          <w:rFonts w:ascii="Arial" w:cs="Arial" w:eastAsia="Arial" w:hAnsi="Arial"/>
          <w:sz w:val="18"/>
          <w:szCs w:val="18"/>
          <w:color w:val="auto"/>
        </w:rPr>
      </w:pPr>
    </w:p>
    <w:p>
      <w:pPr>
        <w:ind w:right="20" w:firstLine="656"/>
        <w:spacing w:after="0" w:line="277" w:lineRule="auto"/>
        <w:tabs>
          <w:tab w:leader="none" w:pos="93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8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ind w:firstLine="1304"/>
        <w:spacing w:after="0" w:line="308" w:lineRule="auto"/>
        <w:tabs>
          <w:tab w:leader="none" w:pos="161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78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jc w:val="both"/>
        <w:ind w:firstLine="656"/>
        <w:spacing w:after="0" w:line="272" w:lineRule="auto"/>
        <w:tabs>
          <w:tab w:leader="none" w:pos="892"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7" w:lineRule="exact"/>
        <w:rPr>
          <w:rFonts w:ascii="Arial" w:cs="Arial" w:eastAsia="Arial" w:hAnsi="Arial"/>
          <w:sz w:val="17"/>
          <w:szCs w:val="17"/>
          <w:color w:val="auto"/>
        </w:rPr>
      </w:pPr>
    </w:p>
    <w:p>
      <w:pPr>
        <w:ind w:right="20" w:firstLine="656"/>
        <w:spacing w:after="0" w:line="308" w:lineRule="auto"/>
        <w:tabs>
          <w:tab w:leader="none" w:pos="903"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Award Certificate</w:t>
      </w:r>
      <w:r>
        <w:rPr>
          <w:rFonts w:ascii="Arial" w:cs="Arial" w:eastAsia="Arial" w:hAnsi="Arial"/>
          <w:sz w:val="17"/>
          <w:szCs w:val="17"/>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46" w:lineRule="exact"/>
        <w:rPr>
          <w:rFonts w:ascii="Arial" w:cs="Arial" w:eastAsia="Arial" w:hAnsi="Arial"/>
          <w:sz w:val="17"/>
          <w:szCs w:val="17"/>
          <w:color w:val="auto"/>
        </w:rPr>
      </w:pPr>
    </w:p>
    <w:p>
      <w:pPr>
        <w:jc w:val="both"/>
        <w:ind w:firstLine="656"/>
        <w:spacing w:after="0" w:line="255" w:lineRule="auto"/>
        <w:tabs>
          <w:tab w:leader="none" w:pos="919"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2" w:lineRule="exact"/>
        <w:rPr>
          <w:rFonts w:ascii="Arial" w:cs="Arial" w:eastAsia="Arial" w:hAnsi="Arial"/>
          <w:sz w:val="18"/>
          <w:szCs w:val="18"/>
          <w:color w:val="auto"/>
        </w:rPr>
      </w:pPr>
    </w:p>
    <w:p>
      <w:pPr>
        <w:jc w:val="both"/>
        <w:ind w:firstLine="656"/>
        <w:spacing w:after="0" w:line="288" w:lineRule="auto"/>
        <w:tabs>
          <w:tab w:leader="none" w:pos="99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SECTION 3. STOCK ISSUABLE UNDER THE PLAN; MERGERS; SUBSTITUTION</w:t>
      </w:r>
    </w:p>
    <w:p>
      <w:pPr>
        <w:spacing w:after="0" w:line="229" w:lineRule="exact"/>
        <w:rPr>
          <w:sz w:val="20"/>
          <w:szCs w:val="20"/>
          <w:color w:val="auto"/>
        </w:rPr>
      </w:pPr>
    </w:p>
    <w:p>
      <w:pPr>
        <w:jc w:val="both"/>
        <w:ind w:firstLine="656"/>
        <w:spacing w:after="0" w:line="258" w:lineRule="auto"/>
        <w:tabs>
          <w:tab w:leader="none" w:pos="892"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of Stock reserved and available for issuance under the Plan shall be _____</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3" w:lineRule="exact"/>
        <w:rPr>
          <w:rFonts w:ascii="Arial" w:cs="Arial" w:eastAsia="Arial" w:hAnsi="Arial"/>
          <w:sz w:val="17"/>
          <w:szCs w:val="17"/>
          <w:color w:val="auto"/>
        </w:rPr>
      </w:pPr>
    </w:p>
    <w:p>
      <w:pPr>
        <w:jc w:val="both"/>
        <w:ind w:firstLine="656"/>
        <w:spacing w:after="0" w:line="284" w:lineRule="auto"/>
        <w:tabs>
          <w:tab w:leader="none" w:pos="903"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2" w:lineRule="exact"/>
        <w:rPr>
          <w:rFonts w:ascii="Arial" w:cs="Arial" w:eastAsia="Arial" w:hAnsi="Arial"/>
          <w:sz w:val="16"/>
          <w:szCs w:val="16"/>
          <w:color w:val="auto"/>
        </w:rPr>
      </w:pPr>
    </w:p>
    <w:p>
      <w:pPr>
        <w:jc w:val="both"/>
        <w:ind w:firstLine="8"/>
        <w:spacing w:after="0" w:line="268" w:lineRule="auto"/>
        <w:tabs>
          <w:tab w:leader="none" w:pos="28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2" w:lineRule="exact"/>
        <w:rPr>
          <w:sz w:val="20"/>
          <w:szCs w:val="20"/>
          <w:color w:val="auto"/>
        </w:rPr>
      </w:pPr>
    </w:p>
    <w:p>
      <w:pPr>
        <w:ind w:left="340" w:hanging="332"/>
        <w:spacing w:after="0" w:line="277" w:lineRule="auto"/>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Size of initial share reserve to represent 9% of the fully-diluted pool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number of shares subject to rollover under the Company’s 2015 Employee, Director and Consultant Stock Option Plan and the Company’s 2017 Stock Option and Grant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firstLine="656"/>
        <w:spacing w:after="0" w:line="285" w:lineRule="auto"/>
        <w:tabs>
          <w:tab w:leader="none" w:pos="89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3"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4. ELIGIBILITY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5. STOCK OPTIONS</w:t>
      </w:r>
    </w:p>
    <w:p>
      <w:pPr>
        <w:spacing w:after="0" w:line="225" w:lineRule="exact"/>
        <w:rPr>
          <w:sz w:val="20"/>
          <w:szCs w:val="20"/>
          <w:color w:val="auto"/>
        </w:rPr>
      </w:pPr>
    </w:p>
    <w:p>
      <w:pPr>
        <w:ind w:firstLine="656"/>
        <w:spacing w:after="0" w:line="277" w:lineRule="auto"/>
        <w:tabs>
          <w:tab w:leader="none" w:pos="89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56"/>
        <w:spacing w:after="0" w:line="293" w:lineRule="auto"/>
        <w:tabs>
          <w:tab w:leader="none" w:pos="903"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64" w:lineRule="exact"/>
        <w:rPr>
          <w:rFonts w:ascii="Arial" w:cs="Arial" w:eastAsia="Arial" w:hAnsi="Arial"/>
          <w:sz w:val="16"/>
          <w:szCs w:val="16"/>
          <w:color w:val="auto"/>
        </w:rPr>
      </w:pPr>
    </w:p>
    <w:p>
      <w:pPr>
        <w:jc w:val="both"/>
        <w:ind w:firstLine="656"/>
        <w:spacing w:after="0" w:line="263" w:lineRule="auto"/>
        <w:tabs>
          <w:tab w:leader="none" w:pos="89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89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83" w:lineRule="exact"/>
        <w:rPr>
          <w:rFonts w:ascii="Arial" w:cs="Arial" w:eastAsia="Arial" w:hAnsi="Arial"/>
          <w:sz w:val="18"/>
          <w:szCs w:val="18"/>
          <w:color w:val="auto"/>
        </w:rPr>
      </w:pPr>
    </w:p>
    <w:p>
      <w:pPr>
        <w:ind w:left="1600" w:hanging="296"/>
        <w:spacing w:after="0"/>
        <w:tabs>
          <w:tab w:leader="none" w:pos="16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right="20" w:firstLine="1304"/>
        <w:spacing w:after="0" w:line="342" w:lineRule="auto"/>
        <w:tabs>
          <w:tab w:leader="none" w:pos="157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0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right="20" w:firstLine="656"/>
        <w:spacing w:after="0" w:line="301" w:lineRule="auto"/>
        <w:tabs>
          <w:tab w:leader="none" w:pos="99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6. STOCK APPRECIATION RIGHTS</w:t>
      </w:r>
    </w:p>
    <w:p>
      <w:pPr>
        <w:spacing w:after="0" w:line="225" w:lineRule="exact"/>
        <w:rPr>
          <w:sz w:val="20"/>
          <w:szCs w:val="20"/>
          <w:color w:val="auto"/>
        </w:rPr>
      </w:pPr>
    </w:p>
    <w:p>
      <w:pPr>
        <w:jc w:val="both"/>
        <w:ind w:firstLine="656"/>
        <w:spacing w:after="0" w:line="279" w:lineRule="auto"/>
        <w:tabs>
          <w:tab w:leader="none" w:pos="892"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Award of Stock Appreciation Rights</w:t>
      </w:r>
      <w:r>
        <w:rPr>
          <w:rFonts w:ascii="Arial" w:cs="Arial" w:eastAsia="Arial" w:hAnsi="Arial"/>
          <w:sz w:val="17"/>
          <w:szCs w:val="17"/>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1" w:lineRule="exact"/>
        <w:rPr>
          <w:rFonts w:ascii="Arial" w:cs="Arial" w:eastAsia="Arial" w:hAnsi="Arial"/>
          <w:sz w:val="17"/>
          <w:szCs w:val="17"/>
          <w:color w:val="auto"/>
        </w:rPr>
      </w:pPr>
    </w:p>
    <w:p>
      <w:pPr>
        <w:ind w:firstLine="656"/>
        <w:spacing w:after="0" w:line="277" w:lineRule="auto"/>
        <w:tabs>
          <w:tab w:leader="none" w:pos="90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170" w:lineRule="exact"/>
        <w:rPr>
          <w:rFonts w:ascii="Arial" w:cs="Arial" w:eastAsia="Arial" w:hAnsi="Arial"/>
          <w:sz w:val="18"/>
          <w:szCs w:val="18"/>
          <w:color w:val="auto"/>
        </w:rPr>
      </w:pPr>
    </w:p>
    <w:p>
      <w:pPr>
        <w:ind w:firstLine="656"/>
        <w:spacing w:after="0" w:line="277" w:lineRule="auto"/>
        <w:tabs>
          <w:tab w:leader="none" w:pos="89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Appreciation Rights</w:t>
      </w:r>
      <w:r>
        <w:rPr>
          <w:rFonts w:ascii="Arial" w:cs="Arial" w:eastAsia="Arial" w:hAnsi="Arial"/>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7. RESTRICTED STOCK AWARDS</w:t>
      </w:r>
    </w:p>
    <w:p>
      <w:pPr>
        <w:spacing w:after="0" w:line="225" w:lineRule="exact"/>
        <w:rPr>
          <w:sz w:val="20"/>
          <w:szCs w:val="20"/>
          <w:color w:val="auto"/>
        </w:rPr>
      </w:pPr>
    </w:p>
    <w:p>
      <w:pPr>
        <w:jc w:val="both"/>
        <w:ind w:firstLine="656"/>
        <w:spacing w:after="0" w:line="286" w:lineRule="auto"/>
        <w:tabs>
          <w:tab w:leader="none" w:pos="90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65" w:lineRule="exact"/>
        <w:rPr>
          <w:rFonts w:ascii="Arial" w:cs="Arial" w:eastAsia="Arial" w:hAnsi="Arial"/>
          <w:sz w:val="17"/>
          <w:szCs w:val="17"/>
          <w:color w:val="auto"/>
        </w:rPr>
      </w:pPr>
    </w:p>
    <w:p>
      <w:pPr>
        <w:jc w:val="both"/>
        <w:ind w:firstLine="656"/>
        <w:spacing w:after="0" w:line="290" w:lineRule="auto"/>
        <w:tabs>
          <w:tab w:leader="none" w:pos="90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656"/>
        <w:spacing w:after="0" w:line="270" w:lineRule="auto"/>
        <w:tabs>
          <w:tab w:leader="none" w:pos="892"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0" w:lineRule="exact"/>
        <w:rPr>
          <w:rFonts w:ascii="Arial" w:cs="Arial" w:eastAsia="Arial" w:hAnsi="Arial"/>
          <w:sz w:val="17"/>
          <w:szCs w:val="17"/>
          <w:color w:val="auto"/>
        </w:rPr>
      </w:pPr>
    </w:p>
    <w:p>
      <w:pPr>
        <w:jc w:val="both"/>
        <w:ind w:firstLine="656"/>
        <w:spacing w:after="0" w:line="279" w:lineRule="auto"/>
        <w:tabs>
          <w:tab w:leader="none" w:pos="91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8. RESTRICTED STOCK UNITS</w:t>
      </w:r>
    </w:p>
    <w:p>
      <w:pPr>
        <w:spacing w:after="0" w:line="225" w:lineRule="exact"/>
        <w:rPr>
          <w:sz w:val="20"/>
          <w:szCs w:val="20"/>
          <w:color w:val="auto"/>
        </w:rPr>
      </w:pPr>
    </w:p>
    <w:p>
      <w:pPr>
        <w:jc w:val="both"/>
        <w:ind w:firstLine="656"/>
        <w:spacing w:after="0" w:line="271" w:lineRule="auto"/>
        <w:tabs>
          <w:tab w:leader="none" w:pos="892"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78" w:lineRule="exact"/>
        <w:rPr>
          <w:rFonts w:ascii="Arial" w:cs="Arial" w:eastAsia="Arial" w:hAnsi="Arial"/>
          <w:sz w:val="17"/>
          <w:szCs w:val="17"/>
          <w:color w:val="auto"/>
        </w:rPr>
      </w:pPr>
    </w:p>
    <w:p>
      <w:pPr>
        <w:jc w:val="both"/>
        <w:ind w:firstLine="656"/>
        <w:spacing w:after="0" w:line="290" w:lineRule="auto"/>
        <w:tabs>
          <w:tab w:leader="none" w:pos="903"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656"/>
        <w:spacing w:after="0" w:line="311" w:lineRule="auto"/>
        <w:tabs>
          <w:tab w:leader="none" w:pos="892"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48" w:lineRule="exact"/>
        <w:rPr>
          <w:rFonts w:ascii="Arial" w:cs="Arial" w:eastAsia="Arial" w:hAnsi="Arial"/>
          <w:sz w:val="16"/>
          <w:szCs w:val="16"/>
          <w:color w:val="auto"/>
        </w:rPr>
      </w:pPr>
    </w:p>
    <w:p>
      <w:pPr>
        <w:jc w:val="both"/>
        <w:ind w:firstLine="656"/>
        <w:spacing w:after="0" w:line="263" w:lineRule="auto"/>
        <w:tabs>
          <w:tab w:leader="none" w:pos="91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9. UNRESTRICTED STOCK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10. CASH-BASED AWARDS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11. DIVIDEND EQUIVALENT RIGHTS</w:t>
      </w:r>
    </w:p>
    <w:p>
      <w:pPr>
        <w:spacing w:after="0" w:line="225" w:lineRule="exact"/>
        <w:rPr>
          <w:sz w:val="20"/>
          <w:szCs w:val="20"/>
          <w:color w:val="auto"/>
        </w:rPr>
      </w:pPr>
    </w:p>
    <w:p>
      <w:pPr>
        <w:jc w:val="both"/>
        <w:ind w:firstLine="656"/>
        <w:spacing w:after="0" w:line="269" w:lineRule="auto"/>
        <w:tabs>
          <w:tab w:leader="none" w:pos="90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1"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225" w:lineRule="exact"/>
        <w:rPr>
          <w:sz w:val="20"/>
          <w:szCs w:val="20"/>
          <w:color w:val="auto"/>
        </w:rPr>
      </w:pPr>
    </w:p>
    <w:p>
      <w:pPr>
        <w:jc w:val="both"/>
        <w:ind w:firstLine="656"/>
        <w:spacing w:after="0" w:line="257" w:lineRule="auto"/>
        <w:tabs>
          <w:tab w:leader="none" w:pos="90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7" w:lineRule="exact"/>
        <w:rPr>
          <w:rFonts w:ascii="Arial" w:cs="Arial" w:eastAsia="Arial" w:hAnsi="Arial"/>
          <w:sz w:val="18"/>
          <w:szCs w:val="18"/>
          <w:color w:val="auto"/>
        </w:rPr>
      </w:pPr>
    </w:p>
    <w:p>
      <w:pPr>
        <w:jc w:val="both"/>
        <w:ind w:firstLine="656"/>
        <w:spacing w:after="0" w:line="257" w:lineRule="auto"/>
        <w:tabs>
          <w:tab w:leader="none" w:pos="94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7" w:lineRule="exact"/>
        <w:rPr>
          <w:rFonts w:ascii="Arial" w:cs="Arial" w:eastAsia="Arial" w:hAnsi="Arial"/>
          <w:sz w:val="18"/>
          <w:szCs w:val="18"/>
          <w:color w:val="auto"/>
        </w:rPr>
      </w:pPr>
    </w:p>
    <w:p>
      <w:pPr>
        <w:jc w:val="both"/>
        <w:ind w:firstLine="656"/>
        <w:spacing w:after="0" w:line="275" w:lineRule="auto"/>
        <w:tabs>
          <w:tab w:leader="none" w:pos="919"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6"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jc w:val="both"/>
        <w:ind w:firstLine="656"/>
        <w:spacing w:after="0" w:line="255" w:lineRule="auto"/>
        <w:tabs>
          <w:tab w:leader="none" w:pos="89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92" w:lineRule="exact"/>
        <w:rPr>
          <w:rFonts w:ascii="Arial" w:cs="Arial" w:eastAsia="Arial" w:hAnsi="Arial"/>
          <w:sz w:val="18"/>
          <w:szCs w:val="18"/>
          <w:color w:val="auto"/>
        </w:rPr>
      </w:pPr>
    </w:p>
    <w:p>
      <w:pPr>
        <w:jc w:val="both"/>
        <w:ind w:firstLine="656"/>
        <w:spacing w:after="0" w:line="291" w:lineRule="auto"/>
        <w:tabs>
          <w:tab w:leader="none" w:pos="93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TERMINATION OF SERVICE RELATIONSHIP, TRANSFER, LEAVE OF ABSENCE, ETC.</w:t>
      </w:r>
    </w:p>
    <w:p>
      <w:pPr>
        <w:spacing w:after="0" w:line="225" w:lineRule="exact"/>
        <w:rPr>
          <w:sz w:val="20"/>
          <w:szCs w:val="20"/>
          <w:color w:val="auto"/>
        </w:rPr>
      </w:pPr>
    </w:p>
    <w:p>
      <w:pPr>
        <w:ind w:right="20" w:firstLine="656"/>
        <w:spacing w:after="0" w:line="277" w:lineRule="auto"/>
        <w:tabs>
          <w:tab w:leader="none" w:pos="89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56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656"/>
        <w:spacing w:after="0" w:line="277" w:lineRule="auto"/>
        <w:tabs>
          <w:tab w:leader="none" w:pos="89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70" w:lineRule="exact"/>
        <w:rPr>
          <w:rFonts w:ascii="Arial" w:cs="Arial" w:eastAsia="Arial" w:hAnsi="Arial"/>
          <w:sz w:val="18"/>
          <w:szCs w:val="18"/>
          <w:color w:val="auto"/>
        </w:rPr>
      </w:pPr>
    </w:p>
    <w:p>
      <w:pPr>
        <w:jc w:val="both"/>
        <w:ind w:firstLine="656"/>
        <w:spacing w:after="0" w:line="285" w:lineRule="auto"/>
        <w:tabs>
          <w:tab w:leader="none" w:pos="903"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6" w:lineRule="exact"/>
        <w:rPr>
          <w:rFonts w:ascii="Arial" w:cs="Arial" w:eastAsia="Arial" w:hAnsi="Arial"/>
          <w:sz w:val="16"/>
          <w:szCs w:val="16"/>
          <w:color w:val="auto"/>
        </w:rPr>
      </w:pPr>
    </w:p>
    <w:p>
      <w:pPr>
        <w:jc w:val="both"/>
        <w:ind w:firstLine="656"/>
        <w:spacing w:after="0" w:line="263" w:lineRule="auto"/>
        <w:tabs>
          <w:tab w:leader="none" w:pos="89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16"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8" w:lineRule="exact"/>
        <w:rPr>
          <w:rFonts w:ascii="Arial" w:cs="Arial" w:eastAsia="Arial" w:hAnsi="Arial"/>
          <w:sz w:val="16"/>
          <w:szCs w:val="16"/>
          <w:color w:val="auto"/>
        </w:rPr>
      </w:pPr>
    </w:p>
    <w:p>
      <w:pPr>
        <w:ind w:right="20" w:firstLine="656"/>
        <w:spacing w:after="0" w:line="277" w:lineRule="auto"/>
        <w:tabs>
          <w:tab w:leader="none" w:pos="89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ind w:left="10340"/>
        <w:spacing w:after="0"/>
        <w:rPr>
          <w:sz w:val="20"/>
          <w:szCs w:val="20"/>
          <w:color w:val="auto"/>
        </w:rPr>
      </w:pPr>
      <w:r>
        <w:rPr>
          <w:rFonts w:ascii="Arial" w:cs="Arial" w:eastAsia="Arial" w:hAnsi="Arial"/>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FIRPTA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Treasury Regulations Section 1.1445-2(c)(3) and Section 1.897-2(h)</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170" w:lineRule="exact"/>
        <w:rPr>
          <w:sz w:val="20"/>
          <w:szCs w:val="20"/>
          <w:color w:val="auto"/>
        </w:rPr>
      </w:pPr>
    </w:p>
    <w:p>
      <w:pPr>
        <w:ind w:left="840" w:hanging="184"/>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is a corporation and is treated as a corporation for U.S. federal income tax purposes.</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Company’s U.S. employer identification number is [●].</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Company’s address is: 300 One Kendall Square, 3rd Floor, Cambridge, MA 02139.</w:t>
      </w:r>
    </w:p>
    <w:p>
      <w:pPr>
        <w:spacing w:after="0" w:line="225" w:lineRule="exact"/>
        <w:rPr>
          <w:rFonts w:ascii="Arial" w:cs="Arial" w:eastAsia="Arial" w:hAnsi="Arial"/>
          <w:sz w:val="18"/>
          <w:szCs w:val="18"/>
          <w:color w:val="auto"/>
        </w:rPr>
      </w:pPr>
    </w:p>
    <w:p>
      <w:pPr>
        <w:jc w:val="both"/>
        <w:ind w:firstLine="656"/>
        <w:spacing w:after="0" w:line="301" w:lineRule="auto"/>
        <w:tabs>
          <w:tab w:leader="none" w:pos="82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57" w:lineRule="exact"/>
        <w:rPr>
          <w:rFonts w:ascii="Arial" w:cs="Arial" w:eastAsia="Arial" w:hAnsi="Arial"/>
          <w:sz w:val="16"/>
          <w:szCs w:val="16"/>
          <w:color w:val="auto"/>
        </w:rPr>
      </w:pPr>
    </w:p>
    <w:p>
      <w:pPr>
        <w:ind w:firstLine="656"/>
        <w:spacing w:after="0" w:line="277" w:lineRule="auto"/>
        <w:tabs>
          <w:tab w:leader="none" w:pos="84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Dated: [date]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GEMINI THERAPEUTICS, INC.,</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CERTIFIED 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RETURN RECEIPT REQUESTED]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409101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Ogden, UT 84409</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Notice Required Under Treasury Regulations Section 1.897-2(h)(2)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notice is provided pursuant to the requirements of Treasury Regulations Section 1.897-2(h)(2).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information relates to the corporation providing the notice: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rPr>
              <w:t>Gemini Therapeutics, Inc.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w w:val="90"/>
              </w:rPr>
              <w:t>300 One Kendall Square, 3rd Floor</w:t>
            </w:r>
          </w:p>
        </w:tc>
      </w:tr>
      <w:tr>
        <w:trPr>
          <w:trHeight w:val="216"/>
        </w:trPr>
        <w:tc>
          <w:tcPr>
            <w:tcW w:w="960" w:type="dxa"/>
            <w:vAlign w:val="bottom"/>
          </w:tcPr>
          <w:p>
            <w:pPr>
              <w:spacing w:after="0"/>
              <w:rPr>
                <w:sz w:val="18"/>
                <w:szCs w:val="18"/>
                <w:color w:val="auto"/>
              </w:rPr>
            </w:pP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rPr>
              <w:t>Cambridge, MA 02139</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EIN:</w:t>
            </w:r>
          </w:p>
        </w:tc>
        <w:tc>
          <w:tcPr>
            <w:tcW w:w="800" w:type="dxa"/>
            <w:vAlign w:val="bottom"/>
          </w:tcPr>
          <w:p>
            <w:pPr>
              <w:ind w:left="34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5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11240"/>
          </w:cols>
          <w:pgMar w:left="320" w:top="904" w:right="33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Address: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600 Montgomery Street, Suite 4500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00" w:space="660"/>
            <w:col w:w="9280"/>
          </w:cols>
          <w:pgMar w:left="320" w:top="904" w:right="339" w:bottom="1440" w:gutter="0" w:footer="0" w:header="0"/>
          <w:type w:val="continuous"/>
        </w:sectPr>
      </w:pPr>
    </w:p>
    <w:p>
      <w:pPr>
        <w:spacing w:after="0" w:line="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interests in question (equity interests in the Company) are not “U.S. real property interests,” as that term is defined in section 897(c)(1)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6" w:name="page197"/>
    <w:bookmarkEnd w:id="196"/>
    <w:p>
      <w:pPr>
        <w:spacing w:after="0" w:line="342" w:lineRule="auto"/>
        <w:rPr>
          <w:sz w:val="20"/>
          <w:szCs w:val="20"/>
          <w:color w:val="auto"/>
        </w:rPr>
      </w:pPr>
      <w:r>
        <w:rPr>
          <w:rFonts w:ascii="Arial" w:cs="Arial" w:eastAsia="Arial" w:hAnsi="Arial"/>
          <w:sz w:val="16"/>
          <w:szCs w:val="16"/>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10280"/>
        <w:spacing w:after="0"/>
        <w:rPr>
          <w:sz w:val="20"/>
          <w:szCs w:val="20"/>
          <w:color w:val="auto"/>
        </w:rPr>
      </w:pPr>
      <w:r>
        <w:rPr>
          <w:rFonts w:ascii="Arial" w:cs="Arial" w:eastAsia="Arial" w:hAnsi="Arial"/>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This Lockup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dated as of October [●], 2020 and is between FS Development Corp., a Delaware corporation (“</w:t>
      </w:r>
      <w:r>
        <w:rPr>
          <w:rFonts w:ascii="Arial" w:cs="Arial" w:eastAsia="Arial" w:hAnsi="Arial"/>
          <w:sz w:val="17"/>
          <w:szCs w:val="17"/>
          <w:b w:val="1"/>
          <w:bCs w:val="1"/>
          <w:u w:val="single" w:color="auto"/>
          <w:color w:val="auto"/>
        </w:rPr>
        <w:t>FSD</w:t>
      </w:r>
      <w:r>
        <w:rPr>
          <w:rFonts w:ascii="Arial" w:cs="Arial" w:eastAsia="Arial" w:hAnsi="Arial"/>
          <w:sz w:val="17"/>
          <w:szCs w:val="17"/>
          <w:color w:val="auto"/>
        </w:rPr>
        <w:t xml:space="preserve">”), and each of the stockholder parties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the other persons who enter into a joinder to this Agreement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with FSD in order to become a “Stockholder Party” for purposes of this Agreement (collectively, the “</w:t>
      </w:r>
      <w:r>
        <w:rPr>
          <w:rFonts w:ascii="Arial" w:cs="Arial" w:eastAsia="Arial" w:hAnsi="Arial"/>
          <w:sz w:val="17"/>
          <w:szCs w:val="17"/>
          <w:b w:val="1"/>
          <w:bCs w:val="1"/>
          <w:u w:val="single" w:color="auto"/>
          <w:color w:val="auto"/>
        </w:rPr>
        <w:t>Stockholder Parties</w:t>
      </w:r>
      <w:r>
        <w:rPr>
          <w:rFonts w:ascii="Arial" w:cs="Arial" w:eastAsia="Arial" w:hAnsi="Arial"/>
          <w:sz w:val="17"/>
          <w:szCs w:val="17"/>
          <w:color w:val="auto"/>
        </w:rPr>
        <w:t>”). Capitalized terms used but not defined herein shall have the meanings assigned to them in the Merger Agreement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Agreement and Plan of Merger, dated as of October [●], 2020 (the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FSG Merger Sub</w:t>
      </w:r>
      <w:r>
        <w:rPr>
          <w:rFonts w:ascii="Arial" w:cs="Arial" w:eastAsia="Arial" w:hAnsi="Arial"/>
          <w:sz w:val="18"/>
          <w:szCs w:val="18"/>
          <w:b w:val="1"/>
          <w:bCs w:val="1"/>
          <w:color w:val="auto"/>
        </w:rPr>
        <w:t xml:space="preserve"> </w:t>
      </w:r>
      <w:r>
        <w:rPr>
          <w:rFonts w:ascii="Arial" w:cs="Arial" w:eastAsia="Arial" w:hAnsi="Arial"/>
          <w:sz w:val="18"/>
          <w:szCs w:val="18"/>
          <w:color w:val="auto"/>
        </w:rPr>
        <w:t>Inc., a Delaware corporation and a direct, wholly owned subsidiary of FSD, will merge (the “</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with and into Gemini Therapeutics, Inc., a Delaware corporation (“</w:t>
      </w:r>
      <w:r>
        <w:rPr>
          <w:rFonts w:ascii="Arial" w:cs="Arial" w:eastAsia="Arial" w:hAnsi="Arial"/>
          <w:sz w:val="18"/>
          <w:szCs w:val="18"/>
          <w:b w:val="1"/>
          <w:bCs w:val="1"/>
          <w:u w:val="single" w:color="auto"/>
          <w:color w:val="auto"/>
        </w:rPr>
        <w:t>Gemini</w:t>
      </w:r>
      <w:r>
        <w:rPr>
          <w:rFonts w:ascii="Arial" w:cs="Arial" w:eastAsia="Arial" w:hAnsi="Arial"/>
          <w:sz w:val="18"/>
          <w:szCs w:val="18"/>
          <w:color w:val="auto"/>
        </w:rPr>
        <w:t>”), with Gemini surviving the Merger as a wholly owned subsidiary of FSD;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Stockholder Parties owns the number and type of Equity Interest in Gemini set forth opposite of such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Equity Interests, the “</w:t>
      </w:r>
      <w:r>
        <w:rPr>
          <w:rFonts w:ascii="Arial" w:cs="Arial" w:eastAsia="Arial" w:hAnsi="Arial"/>
          <w:sz w:val="18"/>
          <w:szCs w:val="18"/>
          <w:b w:val="1"/>
          <w:bCs w:val="1"/>
          <w:u w:val="single" w:color="auto"/>
          <w:color w:val="auto"/>
        </w:rPr>
        <w:t>Gemini Equity Interests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of the Stockholder Parties will receive a certain number of shares of Class A common stock, $0.0001 par value per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FSD and/or options to purchase such shares of Class A common stock (the “</w:t>
      </w:r>
      <w:r>
        <w:rPr>
          <w:rFonts w:ascii="Arial" w:cs="Arial" w:eastAsia="Arial" w:hAnsi="Arial"/>
          <w:sz w:val="17"/>
          <w:szCs w:val="17"/>
          <w:b w:val="1"/>
          <w:bCs w:val="1"/>
          <w:u w:val="single" w:color="auto"/>
          <w:color w:val="auto"/>
        </w:rPr>
        <w:t>FSD Equity Interests</w:t>
      </w:r>
      <w:r>
        <w:rPr>
          <w:rFonts w:ascii="Arial" w:cs="Arial" w:eastAsia="Arial" w:hAnsi="Arial"/>
          <w:sz w:val="17"/>
          <w:szCs w:val="17"/>
          <w:color w:val="auto"/>
        </w:rPr>
        <w:t>”, together with the Gemini Equity Interests, and together with any of the foregoing acquired after the date hereof, the “</w:t>
      </w:r>
      <w:r>
        <w:rPr>
          <w:rFonts w:ascii="Arial" w:cs="Arial" w:eastAsia="Arial" w:hAnsi="Arial"/>
          <w:sz w:val="17"/>
          <w:szCs w:val="17"/>
          <w:b w:val="1"/>
          <w:bCs w:val="1"/>
          <w:u w:val="single" w:color="auto"/>
          <w:color w:val="auto"/>
        </w:rPr>
        <w:t>Covered Equity Interest</w:t>
      </w:r>
      <w:r>
        <w:rPr>
          <w:rFonts w:ascii="Arial" w:cs="Arial" w:eastAsia="Arial" w:hAnsi="Arial"/>
          <w:sz w:val="17"/>
          <w:szCs w:val="17"/>
          <w:color w:val="auto"/>
        </w:rPr>
        <w:t>”), pursuant to the terms of the Merger Agreement;</w:t>
      </w:r>
    </w:p>
    <w:p>
      <w:pPr>
        <w:spacing w:after="0" w:line="1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consideration for the benefits to be received by each Stockholder Party under the terms of the Merger Agreement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acknowledge and agree that FSD would not have entered into and agreed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the Merger Agreement without each Stockholder Party entering into this Agreement and agreeing to be bound by the agreements, covenants and obligations contained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FSD entering into the Merger Agreement, the parties hereto wish to set forth herein certain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such parties with respect to restrictions on transfer of the Covered Equity Interest.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the parties hereto, each intending to be legally bound, hereby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MATTERS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addition to the terms defined elsewhere herein, the following terms have the following meanings when used herein with</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capital letters: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Lockup Agreement, as the same may be amended, supplemented, restated or otherwise modified from time to time in accordance with the terms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 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w:t>
      </w:r>
      <w:r>
        <w:rPr>
          <w:rFonts w:ascii="Arial" w:cs="Arial" w:eastAsia="Arial" w:hAnsi="Arial"/>
          <w:sz w:val="18"/>
          <w:szCs w:val="18"/>
          <w:b w:val="1"/>
          <w:bCs w:val="1"/>
          <w:color w:val="auto"/>
        </w:rPr>
        <w:t xml:space="preserve"> </w:t>
      </w:r>
      <w:r>
        <w:rPr>
          <w:rFonts w:ascii="Arial" w:cs="Arial" w:eastAsia="Arial" w:hAnsi="Arial"/>
          <w:sz w:val="18"/>
          <w:szCs w:val="18"/>
          <w:color w:val="auto"/>
        </w:rPr>
        <w:t>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center"/>
        <w:ind w:right="636"/>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LOCKUP</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Lockup</w:t>
      </w:r>
      <w:r>
        <w:rPr>
          <w:rFonts w:ascii="Arial" w:cs="Arial" w:eastAsia="Arial" w:hAnsi="Arial"/>
          <w:sz w:val="18"/>
          <w:szCs w:val="18"/>
          <w:color w:val="auto"/>
        </w:rPr>
        <w:t>.</w:t>
      </w:r>
    </w:p>
    <w:p>
      <w:pPr>
        <w:spacing w:after="0" w:line="229" w:lineRule="exact"/>
        <w:rPr>
          <w:sz w:val="20"/>
          <w:szCs w:val="20"/>
          <w:color w:val="auto"/>
        </w:rPr>
      </w:pPr>
    </w:p>
    <w:p>
      <w:pPr>
        <w:jc w:val="both"/>
        <w:ind w:left="644" w:hanging="644"/>
        <w:spacing w:after="0" w:line="267" w:lineRule="auto"/>
        <w:tabs>
          <w:tab w:leader="none" w:pos="64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Arial" w:cs="Arial" w:eastAsia="Arial" w:hAnsi="Arial"/>
          <w:sz w:val="17"/>
          <w:szCs w:val="17"/>
          <w:b w:val="1"/>
          <w:bCs w:val="1"/>
          <w:u w:val="single" w:color="auto"/>
          <w:color w:val="auto"/>
        </w:rPr>
        <w:t>Lock-Up Period</w:t>
      </w:r>
      <w:r>
        <w:rPr>
          <w:rFonts w:ascii="Arial" w:cs="Arial" w:eastAsia="Arial" w:hAnsi="Arial"/>
          <w:sz w:val="17"/>
          <w:szCs w:val="17"/>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82"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8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REPRESENTATIONS AND WARRANTIES OF THE STOCKHOLDER PARTIES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Stockholder Representations and Warranties</w:t>
      </w:r>
      <w:r>
        <w:rPr>
          <w:rFonts w:ascii="Arial" w:cs="Arial" w:eastAsia="Arial" w:hAnsi="Arial"/>
          <w:sz w:val="18"/>
          <w:szCs w:val="18"/>
          <w:color w:val="auto"/>
        </w:rPr>
        <w:t>. Each Stockholder Party represents and warrants to FSD as follows:</w:t>
      </w:r>
    </w:p>
    <w:p>
      <w:pPr>
        <w:spacing w:after="0" w:line="229" w:lineRule="exact"/>
        <w:rPr>
          <w:sz w:val="20"/>
          <w:szCs w:val="20"/>
          <w:color w:val="auto"/>
        </w:rPr>
      </w:pPr>
    </w:p>
    <w:p>
      <w:pPr>
        <w:jc w:val="both"/>
        <w:ind w:left="644" w:hanging="644"/>
        <w:spacing w:after="0" w:line="259" w:lineRule="auto"/>
        <w:tabs>
          <w:tab w:leader="none" w:pos="64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86" w:lineRule="exact"/>
        <w:rPr>
          <w:rFonts w:ascii="Arial" w:cs="Arial" w:eastAsia="Arial" w:hAnsi="Arial"/>
          <w:sz w:val="18"/>
          <w:szCs w:val="18"/>
          <w:color w:val="auto"/>
        </w:rPr>
      </w:pPr>
    </w:p>
    <w:p>
      <w:pPr>
        <w:jc w:val="both"/>
        <w:ind w:left="644" w:hanging="644"/>
        <w:spacing w:after="0" w:line="270" w:lineRule="auto"/>
        <w:tabs>
          <w:tab w:leader="none" w:pos="64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0" w:name="page201"/>
    <w:bookmarkEnd w:id="200"/>
    <w:p>
      <w:pPr>
        <w:jc w:val="both"/>
        <w:ind w:left="1300" w:hanging="644"/>
        <w:spacing w:after="0" w:line="293" w:lineRule="auto"/>
        <w:tabs>
          <w:tab w:leader="none" w:pos="13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Each Stockholder Party is the record and beneficial owner of the Gemini Equity Interests set forth opposite such Stockholder Party’s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and the obligations of each Stockholder Party hereunder shall automatically terminate upon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FSD’s address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Dennis Ryan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docs-Investments@foresitecapital.com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address as such Stockholder Party shall furnish to FSD in writing.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Amendment; Waiver</w:t>
      </w:r>
      <w:r>
        <w:rPr>
          <w:rFonts w:ascii="Arial" w:cs="Arial" w:eastAsia="Arial" w:hAnsi="Arial"/>
          <w:sz w:val="18"/>
          <w:szCs w:val="18"/>
          <w:color w:val="auto"/>
        </w:rPr>
        <w:t>.</w:t>
      </w:r>
    </w:p>
    <w:p>
      <w:pPr>
        <w:spacing w:after="0" w:line="229" w:lineRule="exact"/>
        <w:rPr>
          <w:sz w:val="20"/>
          <w:szCs w:val="20"/>
          <w:color w:val="auto"/>
        </w:rPr>
      </w:pPr>
    </w:p>
    <w:p>
      <w:pPr>
        <w:jc w:val="both"/>
        <w:ind w:left="1300" w:hanging="644"/>
        <w:spacing w:after="0" w:line="259" w:lineRule="auto"/>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left="1300" w:hanging="644"/>
        <w:spacing w:after="0" w:line="25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The parties hereto will sign such further documents, cause such meetings to be held, resolutions passed, exercise their</w:t>
      </w:r>
      <w:r>
        <w:rPr>
          <w:rFonts w:ascii="Arial" w:cs="Arial" w:eastAsia="Arial" w:hAnsi="Arial"/>
          <w:sz w:val="18"/>
          <w:szCs w:val="18"/>
          <w:b w:val="1"/>
          <w:bCs w:val="1"/>
          <w:color w:val="auto"/>
        </w:rPr>
        <w:t xml:space="preserve"> </w:t>
      </w:r>
      <w:r>
        <w:rPr>
          <w:rFonts w:ascii="Arial" w:cs="Arial" w:eastAsia="Arial" w:hAnsi="Arial"/>
          <w:sz w:val="18"/>
          <w:szCs w:val="18"/>
          <w:color w:val="auto"/>
        </w:rPr>
        <w:t>votes and do and perform and cause to be done such further acts and things necessary, proper or advisable in order to give full effect to this Agreement and every provision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may not be assigned without the express prior written consent of the other parties hereto, and any attempted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without such consents, will be null and void. This Agreement will inure to the benefit of and be binding on the parties hereto and their respective successors and permitted assigns.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Except with respect to any Non-Recourse Party, this Agreement does not create any rights, claims or benefits inuring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that is not a party hereto nor create or establish any third party beneficiary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 PARTIES ARISING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INTERPRETED IN ACCORDANCE WITH THE LAWS OF THE STATE OF DELAWARE WITHOUT REFERENCE TO ITS CONFLICTS OF LAW PROVISIONS.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Jurisdiction; Waiver of Jury Trial</w:t>
      </w:r>
      <w:r>
        <w:rPr>
          <w:rFonts w:ascii="Arial" w:cs="Arial" w:eastAsia="Arial" w:hAnsi="Arial"/>
          <w:sz w:val="17"/>
          <w:szCs w:val="17"/>
          <w:color w:val="auto"/>
        </w:rPr>
        <w:t>. All Actions arising out of or relating to this Agreement shall be heard and determined exclusively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Each party hereto acknowledges and agrees that in the event of any breach of this Agreement by any of them,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of such provision to any Person or circumstance or in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for convenience of reference only, and in no way define, limit or describe the scope of this Agreement or the intent of any provision hereof.</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of which taken together shall constitute one agreement (or amendment,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4.14. </w:t>
      </w:r>
      <w:r>
        <w:rPr>
          <w:rFonts w:ascii="Arial" w:cs="Arial" w:eastAsia="Arial" w:hAnsi="Arial"/>
          <w:sz w:val="16"/>
          <w:szCs w:val="16"/>
          <w:b w:val="1"/>
          <w:bCs w:val="1"/>
          <w:u w:val="single" w:color="auto"/>
          <w:color w:val="auto"/>
        </w:rPr>
        <w:t>Effectiveness</w:t>
      </w:r>
      <w:r>
        <w:rPr>
          <w:rFonts w:ascii="Arial" w:cs="Arial" w:eastAsia="Arial" w:hAnsi="Arial"/>
          <w:sz w:val="16"/>
          <w:szCs w:val="16"/>
          <w:color w:val="auto"/>
        </w:rPr>
        <w:t>. This Agreement shall be valid and enforceable as of the date of this Agreement and may not be revoked by any party hereto.</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4.15. </w:t>
      </w:r>
      <w:r>
        <w:rPr>
          <w:rFonts w:ascii="Arial" w:cs="Arial" w:eastAsia="Arial" w:hAnsi="Arial"/>
          <w:sz w:val="16"/>
          <w:szCs w:val="16"/>
          <w:b w:val="1"/>
          <w:bCs w:val="1"/>
          <w:u w:val="single" w:color="auto"/>
          <w:color w:val="auto"/>
        </w:rPr>
        <w:t>No Recourse</w:t>
      </w:r>
      <w:r>
        <w:rPr>
          <w:rFonts w:ascii="Arial" w:cs="Arial" w:eastAsia="Arial" w:hAnsi="Arial"/>
          <w:sz w:val="16"/>
          <w:szCs w:val="16"/>
          <w:color w:val="auto"/>
        </w:rPr>
        <w:t>. This Agreement may only be enforced against, and any claim or cause of action that may be based upon, arise out of or relate</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IN WITNESS WHEREOF, the parties hereto have executed this Lockup Agreement on the day and year first 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04" w:name="page205"/>
    <w:bookmarkEnd w:id="204"/>
    <w:p>
      <w:pPr>
        <w:ind w:left="5640"/>
        <w:spacing w:after="0"/>
        <w:rPr>
          <w:sz w:val="20"/>
          <w:szCs w:val="20"/>
          <w:color w:val="auto"/>
        </w:rPr>
      </w:pPr>
      <w:r>
        <w:rPr>
          <w:rFonts w:ascii="Arial" w:cs="Arial" w:eastAsia="Arial" w:hAnsi="Arial"/>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LIGHTSTONE VENTURES,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5" w:name="page206"/>
    <w:bookmarkEnd w:id="205"/>
    <w:p>
      <w:pPr>
        <w:ind w:left="5640"/>
        <w:spacing w:after="0"/>
        <w:rPr>
          <w:sz w:val="20"/>
          <w:szCs w:val="20"/>
          <w:color w:val="auto"/>
        </w:rPr>
      </w:pPr>
      <w:r>
        <w:rPr>
          <w:rFonts w:ascii="Arial" w:cs="Arial" w:eastAsia="Arial" w:hAnsi="Arial"/>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LIGHTSTONE VENTURES (A),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6" w:name="page207"/>
    <w:bookmarkEnd w:id="206"/>
    <w:p>
      <w:pPr>
        <w:ind w:left="5640"/>
        <w:spacing w:after="0"/>
        <w:rPr>
          <w:sz w:val="20"/>
          <w:szCs w:val="20"/>
          <w:color w:val="auto"/>
        </w:rPr>
      </w:pPr>
      <w:r>
        <w:rPr>
          <w:rFonts w:ascii="Arial" w:cs="Arial" w:eastAsia="Arial" w:hAnsi="Arial"/>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LIGHSTONE SINGAPORE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7" w:name="page208"/>
    <w:bookmarkEnd w:id="207"/>
    <w:p>
      <w:pPr>
        <w:ind w:left="5640"/>
        <w:spacing w:after="0"/>
        <w:rPr>
          <w:sz w:val="20"/>
          <w:szCs w:val="20"/>
          <w:color w:val="auto"/>
        </w:rPr>
      </w:pPr>
      <w:r>
        <w:rPr>
          <w:rFonts w:ascii="Arial" w:cs="Arial" w:eastAsia="Arial" w:hAnsi="Arial"/>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208" w:name="page209"/>
    <w:bookmarkEnd w:id="208"/>
    <w:p>
      <w:pPr>
        <w:ind w:left="5640"/>
        <w:spacing w:after="0"/>
        <w:rPr>
          <w:sz w:val="20"/>
          <w:szCs w:val="20"/>
          <w:color w:val="auto"/>
        </w:rPr>
      </w:pPr>
      <w:r>
        <w:rPr>
          <w:rFonts w:ascii="Arial" w:cs="Arial" w:eastAsia="Arial" w:hAnsi="Arial"/>
          <w:sz w:val="18"/>
          <w:szCs w:val="18"/>
          <w:b w:val="1"/>
          <w:bCs w:val="1"/>
          <w:color w:val="auto"/>
        </w:rPr>
        <w:t>STOCKHOLDER PARTY: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ATLAS VENTURE FUND X,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9" w:name="page210"/>
    <w:bookmarkEnd w:id="209"/>
    <w:p>
      <w:pPr>
        <w:ind w:left="5640"/>
        <w:spacing w:after="0"/>
        <w:rPr>
          <w:sz w:val="20"/>
          <w:szCs w:val="20"/>
          <w:color w:val="auto"/>
        </w:rPr>
      </w:pPr>
      <w:r>
        <w:rPr>
          <w:rFonts w:ascii="Arial" w:cs="Arial" w:eastAsia="Arial" w:hAnsi="Arial"/>
          <w:sz w:val="17"/>
          <w:szCs w:val="17"/>
          <w:b w:val="1"/>
          <w:bCs w:val="1"/>
          <w:color w:val="auto"/>
        </w:rPr>
        <w:t>STOCKHOLDER PARTY: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WU CAPITAL</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0" w:name="page211"/>
    <w:bookmarkEnd w:id="210"/>
    <w:p>
      <w:pPr>
        <w:ind w:left="5640"/>
        <w:spacing w:after="0"/>
        <w:rPr>
          <w:sz w:val="20"/>
          <w:szCs w:val="20"/>
          <w:color w:val="auto"/>
        </w:rPr>
      </w:pPr>
      <w:r>
        <w:rPr>
          <w:rFonts w:ascii="Arial" w:cs="Arial" w:eastAsia="Arial" w:hAnsi="Arial"/>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1" w:name="page212"/>
    <w:bookmarkEnd w:id="211"/>
    <w:p>
      <w:pPr>
        <w:ind w:left="5640"/>
        <w:spacing w:after="0"/>
        <w:rPr>
          <w:sz w:val="20"/>
          <w:szCs w:val="20"/>
          <w:color w:val="auto"/>
        </w:rPr>
      </w:pPr>
      <w:r>
        <w:rPr>
          <w:rFonts w:ascii="Arial" w:cs="Arial" w:eastAsia="Arial" w:hAnsi="Arial"/>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2" w:name="page213"/>
    <w:bookmarkEnd w:id="212"/>
    <w:p>
      <w:pPr>
        <w:ind w:left="5640"/>
        <w:spacing w:after="0"/>
        <w:rPr>
          <w:sz w:val="20"/>
          <w:szCs w:val="20"/>
          <w:color w:val="auto"/>
        </w:rPr>
      </w:pPr>
      <w:r>
        <w:rPr>
          <w:rFonts w:ascii="Arial" w:cs="Arial" w:eastAsia="Arial" w:hAnsi="Arial"/>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3" w:name="page214"/>
    <w:bookmarkEnd w:id="213"/>
    <w:p>
      <w:pPr>
        <w:ind w:left="5640"/>
        <w:spacing w:after="0"/>
        <w:rPr>
          <w:sz w:val="20"/>
          <w:szCs w:val="20"/>
          <w:color w:val="auto"/>
        </w:rPr>
      </w:pPr>
      <w:r>
        <w:rPr>
          <w:rFonts w:ascii="Arial" w:cs="Arial" w:eastAsia="Arial" w:hAnsi="Arial"/>
          <w:sz w:val="17"/>
          <w:szCs w:val="17"/>
          <w:b w:val="1"/>
          <w:bCs w:val="1"/>
          <w:color w:val="auto"/>
        </w:rPr>
        <w:t>STOCKHOLDER PARTY: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4174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7360" w:type="dxa"/>
            <w:vAlign w:val="bottom"/>
            <w:gridSpan w:val="3"/>
          </w:tcPr>
          <w:p>
            <w:pPr>
              <w:ind w:left="5160"/>
              <w:spacing w:after="0"/>
              <w:rPr>
                <w:sz w:val="20"/>
                <w:szCs w:val="20"/>
                <w:color w:val="auto"/>
              </w:rPr>
            </w:pPr>
            <w:r>
              <w:rPr>
                <w:rFonts w:ascii="Arial" w:cs="Arial" w:eastAsia="Arial" w:hAnsi="Arial"/>
                <w:sz w:val="18"/>
                <w:szCs w:val="18"/>
                <w:b w:val="1"/>
                <w:bCs w:val="1"/>
                <w:color w:val="auto"/>
              </w:rPr>
              <w:t>EXHIBIT 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5"/>
        </w:trPr>
        <w:tc>
          <w:tcPr>
            <w:tcW w:w="7360" w:type="dxa"/>
            <w:vAlign w:val="bottom"/>
            <w:gridSpan w:val="3"/>
          </w:tcPr>
          <w:p>
            <w:pPr>
              <w:ind w:left="4400"/>
              <w:spacing w:after="0"/>
              <w:rPr>
                <w:sz w:val="20"/>
                <w:szCs w:val="20"/>
                <w:color w:val="auto"/>
              </w:rPr>
            </w:pPr>
            <w:r>
              <w:rPr>
                <w:rFonts w:ascii="Arial" w:cs="Arial" w:eastAsia="Arial" w:hAnsi="Arial"/>
                <w:sz w:val="18"/>
                <w:szCs w:val="18"/>
                <w:b w:val="1"/>
                <w:bCs w:val="1"/>
                <w:color w:val="auto"/>
              </w:rPr>
              <w:t>STOCKHOLDER PARTIES</w:t>
            </w:r>
            <w:r>
              <w:rPr>
                <w:rFonts w:ascii="Arial" w:cs="Arial" w:eastAsia="Arial" w:hAnsi="Arial"/>
                <w:sz w:val="29"/>
                <w:szCs w:val="29"/>
                <w:b w:val="1"/>
                <w:bCs w:val="1"/>
                <w:color w:val="auto"/>
                <w:vertAlign w:val="superscript"/>
              </w:rPr>
              <w:t>[10]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59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Common</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Series A</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Series B</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Options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11,653,137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Lightstone Ventures (A), L.P.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1,587,559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133,112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Lighstone Singapore L.P.</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3,700,139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OrbiMed Private Investments VI, L.P.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13,240,696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13,240,696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5,180,196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Wu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7,400,280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Scott Lauder</w:t>
            </w:r>
          </w:p>
        </w:tc>
        <w:tc>
          <w:tcPr>
            <w:tcW w:w="48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rPr>
              <w:t>480,000</w:t>
            </w:r>
          </w:p>
        </w:tc>
        <w:tc>
          <w:tcPr>
            <w:tcW w:w="2480" w:type="dxa"/>
            <w:vAlign w:val="bottom"/>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James McLaughlin</w:t>
            </w:r>
          </w:p>
        </w:tc>
        <w:tc>
          <w:tcPr>
            <w:tcW w:w="4880" w:type="dxa"/>
            <w:vAlign w:val="bottom"/>
          </w:tcPr>
          <w:p>
            <w:pPr>
              <w:jc w:val="right"/>
              <w:ind w:right="1570"/>
              <w:spacing w:after="0"/>
              <w:rPr>
                <w:sz w:val="20"/>
                <w:szCs w:val="20"/>
                <w:color w:val="auto"/>
              </w:rPr>
            </w:pPr>
            <w:r>
              <w:rPr>
                <w:rFonts w:ascii="Arial" w:cs="Arial" w:eastAsia="Arial" w:hAnsi="Arial"/>
                <w:sz w:val="18"/>
                <w:szCs w:val="18"/>
                <w:color w:val="auto"/>
              </w:rPr>
              <w:t>4,500,000</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Phil Reilly</w:t>
            </w:r>
          </w:p>
        </w:tc>
        <w:tc>
          <w:tcPr>
            <w:tcW w:w="48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rPr>
              <w:t>185,175</w:t>
            </w: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Steve Squinto</w:t>
            </w:r>
          </w:p>
        </w:tc>
        <w:tc>
          <w:tcPr>
            <w:tcW w:w="4880" w:type="dxa"/>
            <w:vAlign w:val="bottom"/>
          </w:tcPr>
          <w:p>
            <w:pPr>
              <w:jc w:val="right"/>
              <w:ind w:right="1570"/>
              <w:spacing w:after="0"/>
              <w:rPr>
                <w:sz w:val="20"/>
                <w:szCs w:val="20"/>
                <w:color w:val="auto"/>
              </w:rPr>
            </w:pPr>
            <w:r>
              <w:rPr>
                <w:rFonts w:ascii="Arial" w:cs="Arial" w:eastAsia="Arial" w:hAnsi="Arial"/>
                <w:sz w:val="18"/>
                <w:szCs w:val="18"/>
                <w:color w:val="auto"/>
              </w:rPr>
              <w:t>396,803</w:t>
            </w: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Jason Meyenburg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3,285,939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Gregg Beloff</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Marc Uknis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Suresh Katti</w:t>
            </w:r>
          </w:p>
        </w:tc>
        <w:tc>
          <w:tcPr>
            <w:tcW w:w="4880" w:type="dxa"/>
            <w:vAlign w:val="bottom"/>
          </w:tcPr>
          <w:p>
            <w:pPr>
              <w:spacing w:after="0"/>
              <w:rPr>
                <w:sz w:val="18"/>
                <w:szCs w:val="18"/>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319,535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Walter Strapps</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319,535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David Lubner</w:t>
            </w:r>
          </w:p>
        </w:tc>
        <w:tc>
          <w:tcPr>
            <w:tcW w:w="48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Tuyen Ong</w:t>
            </w:r>
          </w:p>
        </w:tc>
        <w:tc>
          <w:tcPr>
            <w:tcW w:w="48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Phil Reilly</w:t>
            </w:r>
          </w:p>
        </w:tc>
        <w:tc>
          <w:tcPr>
            <w:tcW w:w="4880" w:type="dxa"/>
            <w:vAlign w:val="bottom"/>
          </w:tcPr>
          <w:p>
            <w:pPr>
              <w:jc w:val="right"/>
              <w:ind w:right="1570"/>
              <w:spacing w:after="0"/>
              <w:rPr>
                <w:sz w:val="20"/>
                <w:szCs w:val="20"/>
                <w:color w:val="auto"/>
              </w:rPr>
            </w:pPr>
            <w:r>
              <w:rPr>
                <w:rFonts w:ascii="Arial" w:cs="Arial" w:eastAsia="Arial" w:hAnsi="Arial"/>
                <w:sz w:val="18"/>
                <w:szCs w:val="18"/>
                <w:color w:val="auto"/>
              </w:rPr>
              <w:t>185,175</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30"/>
          <w:szCs w:val="30"/>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To be confirmed whether any other members of Gemini management owns shares of Gemini.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TO LOCKUP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 Capitalized terms used but not otherwise defined herein shall have the meanings ascribed to such terms in the Lockup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FSD and each undersigned holder of shares of FSD (each, a “</w:t>
      </w:r>
      <w:r>
        <w:rPr>
          <w:rFonts w:ascii="Arial" w:cs="Arial" w:eastAsia="Arial" w:hAnsi="Arial"/>
          <w:sz w:val="18"/>
          <w:szCs w:val="18"/>
          <w:u w:val="single" w:color="auto"/>
          <w:color w:val="auto"/>
        </w:rPr>
        <w:t>New Stockholder Party</w:t>
      </w:r>
      <w:r>
        <w:rPr>
          <w:rFonts w:ascii="Arial" w:cs="Arial" w:eastAsia="Arial" w:hAnsi="Arial"/>
          <w:sz w:val="18"/>
          <w:szCs w:val="18"/>
          <w:color w:val="auto"/>
        </w:rPr>
        <w:t>”) agrees that this Joinder to the Lockup Agreement (this “</w:t>
      </w:r>
      <w:r>
        <w:rPr>
          <w:rFonts w:ascii="Arial" w:cs="Arial" w:eastAsia="Arial" w:hAnsi="Arial"/>
          <w:sz w:val="18"/>
          <w:szCs w:val="18"/>
          <w:u w:val="single" w:color="auto"/>
          <w:color w:val="auto"/>
        </w:rPr>
        <w:t>Joinder</w:t>
      </w:r>
      <w:r>
        <w:rPr>
          <w:rFonts w:ascii="Arial" w:cs="Arial" w:eastAsia="Arial" w:hAnsi="Arial"/>
          <w:sz w:val="18"/>
          <w:szCs w:val="18"/>
          <w:color w:val="auto"/>
        </w:rPr>
        <w:t>”) is being executed and delivered for good and valuable consideration.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IN WITNESS WHEREOF, the undersigned have duly executed this joinder as of the date first set forth above.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[NEW STOCKHOLDER PARTY]</w:t>
      </w: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u w:val="single" w:color="auto"/>
          <w:color w:val="auto"/>
        </w:rPr>
        <w:t>EXHIBIT 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provisions of Section 251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Gemini Therapeutics, Inc., a corporation organized and existing under the laws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the following information relating to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FSG Merger Sub, Inc., a corporation organized and existing under the laws of Delaware (“</w:t>
      </w:r>
      <w:r>
        <w:rPr>
          <w:rFonts w:ascii="Arial" w:cs="Arial" w:eastAsia="Arial" w:hAnsi="Arial"/>
          <w:sz w:val="18"/>
          <w:szCs w:val="18"/>
          <w:u w:val="single" w:color="auto"/>
          <w:color w:val="auto"/>
        </w:rPr>
        <w:t>Merger Sub</w:t>
      </w:r>
      <w:r>
        <w:rPr>
          <w:rFonts w:ascii="Arial" w:cs="Arial" w:eastAsia="Arial" w:hAnsi="Arial"/>
          <w:sz w:val="18"/>
          <w:szCs w:val="18"/>
          <w:color w:val="auto"/>
        </w:rPr>
        <w:t>”), with and into the Company, with the Company as the surviving corporation of the Merger: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The names and states of incorporation of the constituent corporations to the Merger (the “</w:t>
      </w:r>
      <w:r>
        <w:rPr>
          <w:rFonts w:ascii="Arial" w:cs="Arial" w:eastAsia="Arial" w:hAnsi="Arial"/>
          <w:sz w:val="17"/>
          <w:szCs w:val="17"/>
          <w:u w:val="single" w:color="auto"/>
          <w:color w:val="auto"/>
        </w:rPr>
        <w:t>Constituent Corporations</w:t>
      </w:r>
      <w:r>
        <w:rPr>
          <w:rFonts w:ascii="Arial" w:cs="Arial" w:eastAsia="Arial" w:hAnsi="Arial"/>
          <w:sz w:val="17"/>
          <w:szCs w:val="17"/>
          <w:color w:val="auto"/>
        </w:rPr>
        <w:t>”) are as follows: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60" w:type="dxa"/>
            <w:vAlign w:val="bottom"/>
            <w:gridSpan w:val="3"/>
          </w:tcPr>
          <w:p>
            <w:pPr>
              <w:spacing w:after="0"/>
              <w:rPr>
                <w:sz w:val="20"/>
                <w:szCs w:val="20"/>
                <w:color w:val="auto"/>
              </w:rPr>
            </w:pPr>
            <w:r>
              <w:rPr>
                <w:rFonts w:ascii="Arial" w:cs="Arial" w:eastAsia="Arial" w:hAnsi="Arial"/>
                <w:sz w:val="18"/>
                <w:szCs w:val="18"/>
                <w:color w:val="auto"/>
              </w:rPr>
              <w:t>Name</w:t>
            </w:r>
          </w:p>
        </w:tc>
        <w:tc>
          <w:tcPr>
            <w:tcW w:w="532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r>
      <w:tr>
        <w:trPr>
          <w:trHeight w:val="28"/>
        </w:trPr>
        <w:tc>
          <w:tcPr>
            <w:tcW w:w="420" w:type="dxa"/>
            <w:vAlign w:val="bottom"/>
            <w:tcBorders>
              <w:top w:val="single" w:sz="8" w:color="auto"/>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Gemini Therapeutics, Inc.</w:t>
            </w:r>
          </w:p>
        </w:tc>
        <w:tc>
          <w:tcPr>
            <w:tcW w:w="100" w:type="dxa"/>
            <w:vAlign w:val="bottom"/>
          </w:tcPr>
          <w:p>
            <w:pPr>
              <w:spacing w:after="0"/>
              <w:rPr>
                <w:sz w:val="17"/>
                <w:szCs w:val="17"/>
                <w:color w:val="auto"/>
              </w:rPr>
            </w:pPr>
          </w:p>
        </w:tc>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rPr>
              <w:t>Delaware</w:t>
            </w:r>
          </w:p>
        </w:tc>
      </w:tr>
      <w:tr>
        <w:trPr>
          <w:trHeight w:val="230"/>
        </w:trPr>
        <w:tc>
          <w:tcPr>
            <w:tcW w:w="5260" w:type="dxa"/>
            <w:vAlign w:val="bottom"/>
            <w:gridSpan w:val="3"/>
          </w:tcPr>
          <w:p>
            <w:pPr>
              <w:spacing w:after="0"/>
              <w:rPr>
                <w:sz w:val="20"/>
                <w:szCs w:val="20"/>
                <w:color w:val="auto"/>
              </w:rPr>
            </w:pPr>
            <w:r>
              <w:rPr>
                <w:rFonts w:ascii="Arial" w:cs="Arial" w:eastAsia="Arial" w:hAnsi="Arial"/>
                <w:sz w:val="18"/>
                <w:szCs w:val="18"/>
                <w:color w:val="auto"/>
              </w:rPr>
              <w:t>FSG Merger Sub, Inc.</w:t>
            </w:r>
          </w:p>
        </w:tc>
        <w:tc>
          <w:tcPr>
            <w:tcW w:w="532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285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-325120</wp:posOffset>
            </wp:positionV>
            <wp:extent cx="28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Agreement and Plan of Merger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October [●], 2020, by and among the Company, FS Development Corp.,</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The name of the surviving corporation, upon the effectiveness of the Merger, shall be Gemini Therapeutics, Inc., a Delaware corporation.</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Certificate of Incorporation of the Company, as in effect prior to the filing of this Certificate of Merger, shall be amended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filing of this Certificate of Merger so as to contain the provisions, and only the provisions, contained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and, as so amended, shall be the Certificate of Incorporation of the surviving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Certificate of Merger and the Merger shall become effective immediately upon the filing of this Certificate of Merger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The executed Agreement is on file at the principal place of business of the surviving corporation. The address of the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the surviving corporation is 300 One Kendall Square, 3rd Floor, Cambridge, MA 02139.</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A copy of the Agreement will be furnished by the surviving corporation on request, without cost, to any stockholder of either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Constituent Corporations.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BLANK INTENTIONALLY]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said surviving corporation has caused this certificate to be signed by an authorized officer on the _____ day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 2020.</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GEMINI THERAPEUTICS,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Delaware Certificate of Merger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proposed business combination (the “</w:t>
      </w:r>
      <w:r>
        <w:rPr>
          <w:rFonts w:ascii="Arial" w:cs="Arial" w:eastAsia="Arial" w:hAnsi="Arial"/>
          <w:sz w:val="17"/>
          <w:szCs w:val="17"/>
          <w:u w:val="single" w:color="auto"/>
          <w:color w:val="auto"/>
        </w:rPr>
        <w:t>Transaction</w:t>
      </w:r>
      <w:r>
        <w:rPr>
          <w:rFonts w:ascii="Arial" w:cs="Arial" w:eastAsia="Arial" w:hAnsi="Arial"/>
          <w:sz w:val="17"/>
          <w:szCs w:val="17"/>
          <w:color w:val="auto"/>
        </w:rPr>
        <w:t>”) between FS Development Corp., a Delaware corporation (“</w:t>
      </w:r>
      <w:r>
        <w:rPr>
          <w:rFonts w:ascii="Arial" w:cs="Arial" w:eastAsia="Arial" w:hAnsi="Arial"/>
          <w:sz w:val="17"/>
          <w:szCs w:val="17"/>
          <w:u w:val="single" w:color="auto"/>
          <w:color w:val="auto"/>
        </w:rPr>
        <w:t>FSD</w:t>
      </w:r>
      <w:r>
        <w:rPr>
          <w:rFonts w:ascii="Arial" w:cs="Arial" w:eastAsia="Arial" w:hAnsi="Arial"/>
          <w:sz w:val="17"/>
          <w:szCs w:val="17"/>
          <w:color w:val="auto"/>
        </w:rPr>
        <w:t>”), and Gemini Therapeutics, Inc., a Delaware corporation (“</w:t>
      </w:r>
      <w:r>
        <w:rPr>
          <w:rFonts w:ascii="Arial" w:cs="Arial" w:eastAsia="Arial" w:hAnsi="Arial"/>
          <w:sz w:val="17"/>
          <w:szCs w:val="17"/>
          <w:u w:val="single" w:color="auto"/>
          <w:color w:val="auto"/>
        </w:rPr>
        <w:t>Target</w:t>
      </w:r>
      <w:r>
        <w:rPr>
          <w:rFonts w:ascii="Arial" w:cs="Arial" w:eastAsia="Arial" w:hAnsi="Arial"/>
          <w:sz w:val="17"/>
          <w:szCs w:val="17"/>
          <w:color w:val="auto"/>
        </w:rPr>
        <w:t>”), pursuant to a merger agreement to be entered into among FSD, Target, and the other parties thereto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FSD is seeking commitments from interested investors to purchase shares of Class A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FSD, for a purchase price of $10.00 per share (the “</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The aggregate purchase price to be paid by the undersigned (the “</w:t>
      </w:r>
      <w:r>
        <w:rPr>
          <w:rFonts w:ascii="Arial" w:cs="Arial" w:eastAsia="Arial" w:hAnsi="Arial"/>
          <w:sz w:val="17"/>
          <w:szCs w:val="17"/>
          <w:u w:val="single" w:color="auto"/>
          <w:color w:val="auto"/>
        </w:rPr>
        <w:t>Investor</w:t>
      </w:r>
      <w:r>
        <w:rPr>
          <w:rFonts w:ascii="Arial" w:cs="Arial" w:eastAsia="Arial" w:hAnsi="Arial"/>
          <w:sz w:val="17"/>
          <w:szCs w:val="17"/>
          <w:color w:val="auto"/>
        </w:rPr>
        <w:t>”) for the subscribed Shares (as set forth on the signature page hereto) is referred to herein as the “</w:t>
      </w:r>
      <w:r>
        <w:rPr>
          <w:rFonts w:ascii="Arial" w:cs="Arial" w:eastAsia="Arial" w:hAnsi="Arial"/>
          <w:sz w:val="17"/>
          <w:szCs w:val="17"/>
          <w:u w:val="single" w:color="auto"/>
          <w:color w:val="auto"/>
        </w:rPr>
        <w:t>Subscription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On or about the date of this Subscription Agreement, FSD is entering into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 Subscription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other investors (the “</w:t>
      </w:r>
      <w:r>
        <w:rPr>
          <w:rFonts w:ascii="Arial" w:cs="Arial" w:eastAsia="Arial" w:hAnsi="Arial"/>
          <w:sz w:val="17"/>
          <w:szCs w:val="17"/>
          <w:u w:val="single" w:color="auto"/>
          <w:color w:val="auto"/>
        </w:rPr>
        <w:t>Other Investors</w:t>
      </w:r>
      <w:r>
        <w:rPr>
          <w:rFonts w:ascii="Arial" w:cs="Arial" w:eastAsia="Arial" w:hAnsi="Arial"/>
          <w:sz w:val="17"/>
          <w:szCs w:val="17"/>
          <w:color w:val="auto"/>
        </w:rPr>
        <w:t>” and together with the Investor, the “</w:t>
      </w:r>
      <w:r>
        <w:rPr>
          <w:rFonts w:ascii="Arial" w:cs="Arial" w:eastAsia="Arial" w:hAnsi="Arial"/>
          <w:sz w:val="17"/>
          <w:szCs w:val="17"/>
          <w:u w:val="single" w:color="auto"/>
          <w:color w:val="auto"/>
        </w:rPr>
        <w:t>Investors</w:t>
      </w:r>
      <w:r>
        <w:rPr>
          <w:rFonts w:ascii="Arial" w:cs="Arial" w:eastAsia="Arial" w:hAnsi="Arial"/>
          <w:sz w:val="17"/>
          <w:szCs w:val="17"/>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70" w:lineRule="exact"/>
        <w:rPr>
          <w:sz w:val="20"/>
          <w:szCs w:val="20"/>
          <w:color w:val="auto"/>
        </w:rPr>
      </w:pPr>
    </w:p>
    <w:p>
      <w:pPr>
        <w:ind w:firstLine="656"/>
        <w:spacing w:after="0" w:line="277" w:lineRule="auto"/>
        <w:tabs>
          <w:tab w:leader="none" w:pos="82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82"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of the Shares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and (ii) delivery of written notice from (or on behalf of) FSD to the Investor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ind w:left="840" w:hanging="184"/>
        <w:spacing w:after="0"/>
        <w:tabs>
          <w:tab w:leader="none" w:pos="8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77" w:lineRule="auto"/>
        <w:tabs>
          <w:tab w:leader="none" w:pos="159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purchase and sale of the Shares pursuant to this Subscription Agreement is subject to the following conditions:</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163" w:val="left"/>
        </w:tabs>
        <w:numPr>
          <w:ilvl w:val="2"/>
          <w:numId w:val="211"/>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186" w:lineRule="exact"/>
        <w:rPr>
          <w:rFonts w:ascii="Arial" w:cs="Arial" w:eastAsia="Arial" w:hAnsi="Arial"/>
          <w:sz w:val="18"/>
          <w:szCs w:val="18"/>
          <w:color w:val="auto"/>
        </w:rPr>
      </w:pPr>
    </w:p>
    <w:p>
      <w:pPr>
        <w:ind w:left="1300" w:right="20" w:firstLine="652"/>
        <w:spacing w:after="0" w:line="308" w:lineRule="auto"/>
        <w:tabs>
          <w:tab w:leader="none" w:pos="2213" w:val="left"/>
        </w:tabs>
        <w:numPr>
          <w:ilvl w:val="2"/>
          <w:numId w:val="211"/>
        </w:numPr>
        <w:rPr>
          <w:rFonts w:ascii="Arial" w:cs="Arial" w:eastAsia="Arial" w:hAnsi="Arial"/>
          <w:sz w:val="17"/>
          <w:szCs w:val="17"/>
          <w:color w:val="auto"/>
        </w:rPr>
      </w:pPr>
      <w:r>
        <w:rPr>
          <w:rFonts w:ascii="Arial" w:cs="Arial" w:eastAsia="Arial" w:hAnsi="Arial"/>
          <w:sz w:val="17"/>
          <w:szCs w:val="17"/>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276"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83" w:lineRule="exact"/>
        <w:rPr>
          <w:rFonts w:ascii="Arial" w:cs="Arial" w:eastAsia="Arial" w:hAnsi="Arial"/>
          <w:sz w:val="18"/>
          <w:szCs w:val="18"/>
          <w:color w:val="auto"/>
        </w:rPr>
      </w:pPr>
    </w:p>
    <w:p>
      <w:pPr>
        <w:ind w:left="2340" w:hanging="388"/>
        <w:spacing w:after="0"/>
        <w:tabs>
          <w:tab w:leader="none" w:pos="234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Shares shall have been approved for listing on the Nasdaq Capital Market.</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1476"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61" w:lineRule="exact"/>
        <w:rPr>
          <w:rFonts w:ascii="Arial" w:cs="Arial" w:eastAsia="Arial" w:hAnsi="Arial"/>
          <w:sz w:val="16"/>
          <w:szCs w:val="16"/>
          <w:color w:val="auto"/>
        </w:rPr>
      </w:pPr>
    </w:p>
    <w:p>
      <w:pPr>
        <w:ind w:firstLine="1304"/>
        <w:spacing w:after="0" w:line="277" w:lineRule="auto"/>
        <w:tabs>
          <w:tab w:leader="none" w:pos="156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obligation of the Investor to consummate the purchase of the Shares pursuant to this Subscription Agreement shall be subject to the following conditions:</w:t>
      </w:r>
    </w:p>
    <w:p>
      <w:pPr>
        <w:spacing w:after="0" w:line="170" w:lineRule="exact"/>
        <w:rPr>
          <w:rFonts w:ascii="Arial" w:cs="Arial" w:eastAsia="Arial" w:hAnsi="Arial"/>
          <w:sz w:val="18"/>
          <w:szCs w:val="18"/>
          <w:color w:val="auto"/>
        </w:rPr>
      </w:pPr>
    </w:p>
    <w:p>
      <w:pPr>
        <w:jc w:val="both"/>
        <w:ind w:left="1300" w:firstLine="652"/>
        <w:spacing w:after="0" w:line="257" w:lineRule="auto"/>
        <w:tabs>
          <w:tab w:leader="none" w:pos="2163"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87" w:lineRule="exact"/>
        <w:rPr>
          <w:rFonts w:ascii="Arial" w:cs="Arial" w:eastAsia="Arial" w:hAnsi="Arial"/>
          <w:sz w:val="18"/>
          <w:szCs w:val="18"/>
          <w:color w:val="auto"/>
        </w:rPr>
      </w:pPr>
    </w:p>
    <w:p>
      <w:pPr>
        <w:ind w:left="1300" w:right="20" w:firstLine="652"/>
        <w:spacing w:after="0" w:line="277" w:lineRule="auto"/>
        <w:tabs>
          <w:tab w:leader="none" w:pos="2226" w:val="left"/>
        </w:tabs>
        <w:numPr>
          <w:ilvl w:val="2"/>
          <w:numId w:val="211"/>
        </w:numPr>
        <w:rPr>
          <w:rFonts w:ascii="Arial" w:cs="Arial" w:eastAsia="Arial" w:hAnsi="Arial"/>
          <w:sz w:val="18"/>
          <w:szCs w:val="18"/>
          <w:color w:val="auto"/>
        </w:rPr>
      </w:pPr>
      <w:r>
        <w:rPr>
          <w:rFonts w:ascii="Arial" w:cs="Arial" w:eastAsia="Arial" w:hAnsi="Arial"/>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276"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83" w:lineRule="exact"/>
        <w:rPr>
          <w:rFonts w:ascii="Arial" w:cs="Arial" w:eastAsia="Arial" w:hAnsi="Arial"/>
          <w:sz w:val="18"/>
          <w:szCs w:val="18"/>
          <w:color w:val="auto"/>
        </w:rPr>
      </w:pPr>
    </w:p>
    <w:p>
      <w:pPr>
        <w:ind w:left="1300" w:firstLine="652"/>
        <w:spacing w:after="0" w:line="308" w:lineRule="auto"/>
        <w:tabs>
          <w:tab w:leader="none" w:pos="2450" w:val="left"/>
        </w:tabs>
        <w:numPr>
          <w:ilvl w:val="2"/>
          <w:numId w:val="211"/>
        </w:numPr>
        <w:rPr>
          <w:rFonts w:ascii="Arial" w:cs="Arial" w:eastAsia="Arial" w:hAnsi="Arial"/>
          <w:sz w:val="17"/>
          <w:szCs w:val="17"/>
          <w:color w:val="auto"/>
        </w:rPr>
      </w:pPr>
      <w:r>
        <w:rPr>
          <w:rFonts w:ascii="Arial" w:cs="Arial" w:eastAsia="Arial" w:hAnsi="Arial"/>
          <w:sz w:val="17"/>
          <w:szCs w:val="17"/>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46" w:lineRule="exact"/>
        <w:rPr>
          <w:rFonts w:ascii="Arial" w:cs="Arial" w:eastAsia="Arial" w:hAnsi="Arial"/>
          <w:sz w:val="17"/>
          <w:szCs w:val="17"/>
          <w:color w:val="auto"/>
        </w:rPr>
      </w:pPr>
    </w:p>
    <w:p>
      <w:pPr>
        <w:ind w:firstLine="656"/>
        <w:spacing w:after="0" w:line="342" w:lineRule="auto"/>
        <w:tabs>
          <w:tab w:leader="none" w:pos="828"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23" w:lineRule="exact"/>
        <w:rPr>
          <w:rFonts w:ascii="Arial" w:cs="Arial" w:eastAsia="Arial" w:hAnsi="Arial"/>
          <w:sz w:val="16"/>
          <w:szCs w:val="16"/>
          <w:color w:val="auto"/>
        </w:rPr>
      </w:pPr>
    </w:p>
    <w:p>
      <w:pPr>
        <w:ind w:left="840" w:hanging="184"/>
        <w:spacing w:after="0"/>
        <w:tabs>
          <w:tab w:leader="none" w:pos="84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FSD Representations and Warranties</w:t>
      </w:r>
      <w:r>
        <w:rPr>
          <w:rFonts w:ascii="Arial" w:cs="Arial" w:eastAsia="Arial" w:hAnsi="Arial"/>
          <w:sz w:val="17"/>
          <w:szCs w:val="17"/>
          <w:color w:val="auto"/>
        </w:rPr>
        <w:t>. FSD represents and warrants to the Investor, as of the date hereof and as of the Closing Date that:</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155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1296"/>
        <w:spacing w:after="0" w:line="259" w:lineRule="auto"/>
        <w:rPr>
          <w:sz w:val="20"/>
          <w:szCs w:val="20"/>
          <w:color w:val="auto"/>
        </w:rPr>
      </w:pPr>
      <w:r>
        <w:rPr>
          <w:rFonts w:ascii="Arial" w:cs="Arial" w:eastAsia="Arial" w:hAnsi="Arial"/>
          <w:sz w:val="18"/>
          <w:szCs w:val="18"/>
          <w:color w:val="auto"/>
        </w:rPr>
        <w:t>b. 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87" w:lineRule="exact"/>
        <w:rPr>
          <w:sz w:val="20"/>
          <w:szCs w:val="20"/>
          <w:color w:val="auto"/>
        </w:rPr>
      </w:pPr>
    </w:p>
    <w:p>
      <w:pPr>
        <w:jc w:val="both"/>
        <w:ind w:firstLine="1304"/>
        <w:spacing w:after="0" w:line="301" w:lineRule="auto"/>
        <w:tabs>
          <w:tab w:leader="none" w:pos="1663"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57" w:lineRule="exact"/>
        <w:rPr>
          <w:rFonts w:ascii="Arial" w:cs="Arial" w:eastAsia="Arial" w:hAnsi="Arial"/>
          <w:sz w:val="16"/>
          <w:szCs w:val="16"/>
          <w:color w:val="auto"/>
        </w:rPr>
      </w:pPr>
    </w:p>
    <w:p>
      <w:pPr>
        <w:jc w:val="both"/>
        <w:ind w:firstLine="1304"/>
        <w:spacing w:after="0" w:line="284" w:lineRule="auto"/>
        <w:tabs>
          <w:tab w:leader="none" w:pos="147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w:t>
      </w:r>
    </w:p>
    <w:p>
      <w:pPr>
        <w:spacing w:after="0" w:line="2" w:lineRule="exact"/>
        <w:rPr>
          <w:rFonts w:ascii="Arial" w:cs="Arial" w:eastAsia="Arial" w:hAnsi="Arial"/>
          <w:sz w:val="16"/>
          <w:szCs w:val="16"/>
          <w:color w:val="auto"/>
        </w:rPr>
      </w:pPr>
    </w:p>
    <w:p>
      <w:pPr>
        <w:jc w:val="both"/>
        <w:ind w:firstLine="8"/>
        <w:spacing w:after="0" w:line="253" w:lineRule="auto"/>
        <w:tabs>
          <w:tab w:leader="none" w:pos="3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validity of the Shares; or (C) the legal authority of FSD to comply in all material respects with the terms of this Subscription Agreement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90" w:lineRule="exact"/>
        <w:rPr>
          <w:rFonts w:ascii="Arial" w:cs="Arial" w:eastAsia="Arial" w:hAnsi="Arial"/>
          <w:sz w:val="18"/>
          <w:szCs w:val="18"/>
          <w:color w:val="auto"/>
        </w:rPr>
      </w:pPr>
    </w:p>
    <w:p>
      <w:pPr>
        <w:jc w:val="both"/>
        <w:ind w:firstLine="1304"/>
        <w:spacing w:after="0" w:line="269" w:lineRule="auto"/>
        <w:tabs>
          <w:tab w:leader="none" w:pos="162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FSD has made all filings required to be filed by it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As of their respective dates, all reports, the Registration Statement of FSD filed on Form S-1 dated July 24, 2020 (as amended), and the prospectus of FSD dated August 11, 2020 (the “</w:t>
      </w:r>
      <w:r>
        <w:rPr>
          <w:rFonts w:ascii="Arial" w:cs="Arial" w:eastAsia="Arial" w:hAnsi="Arial"/>
          <w:sz w:val="17"/>
          <w:szCs w:val="17"/>
          <w:u w:val="single" w:color="auto"/>
          <w:color w:val="auto"/>
        </w:rPr>
        <w:t>SEC Reports</w:t>
      </w:r>
      <w:r>
        <w:rPr>
          <w:rFonts w:ascii="Arial" w:cs="Arial" w:eastAsia="Arial" w:hAnsi="Arial"/>
          <w:sz w:val="17"/>
          <w:szCs w:val="17"/>
          <w:color w:val="auto"/>
        </w:rPr>
        <w:t>”) required to be filed or actually filed by FSD with the SEC complied in all material respects with the applicable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156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1296"/>
        <w:spacing w:after="0" w:line="293" w:lineRule="auto"/>
        <w:rPr>
          <w:sz w:val="20"/>
          <w:szCs w:val="20"/>
          <w:color w:val="auto"/>
        </w:rPr>
      </w:pPr>
      <w:r>
        <w:rPr>
          <w:rFonts w:ascii="Arial" w:cs="Arial" w:eastAsia="Arial" w:hAnsi="Arial"/>
          <w:sz w:val="16"/>
          <w:szCs w:val="16"/>
          <w:color w:val="auto"/>
        </w:rPr>
        <w:t>g. 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Arial" w:cs="Arial" w:eastAsia="Arial" w:hAnsi="Arial"/>
          <w:sz w:val="16"/>
          <w:szCs w:val="16"/>
          <w:u w:val="single" w:color="auto"/>
          <w:color w:val="auto"/>
        </w:rPr>
        <w:t>Stock Exchange</w:t>
      </w:r>
      <w:r>
        <w:rPr>
          <w:rFonts w:ascii="Arial" w:cs="Arial" w:eastAsia="Arial" w:hAnsi="Arial"/>
          <w:sz w:val="16"/>
          <w:szCs w:val="16"/>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6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h. 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8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 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j. Assuming the accuracy of the Investor’s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k. 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 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84" w:lineRule="exact"/>
        <w:rPr>
          <w:sz w:val="20"/>
          <w:szCs w:val="20"/>
          <w:color w:val="auto"/>
        </w:rPr>
      </w:pPr>
    </w:p>
    <w:p>
      <w:pPr>
        <w:ind w:right="20" w:firstLine="1304"/>
        <w:spacing w:after="0" w:line="277" w:lineRule="auto"/>
        <w:tabs>
          <w:tab w:leader="none" w:pos="161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FSD is not under any obligation to pay any broker’s fee or commission in connection with the sale of the Shares hereunder other than to the Placement Agents (as defined herein).</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0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ind w:left="840" w:hanging="184"/>
        <w:spacing w:after="0"/>
        <w:tabs>
          <w:tab w:leader="none" w:pos="8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FSD that: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9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6"/>
          <w:szCs w:val="16"/>
          <w:u w:val="single" w:color="auto"/>
          <w:color w:val="auto"/>
        </w:rPr>
        <w:t>Schedule A</w:t>
      </w:r>
      <w:r>
        <w:rPr>
          <w:rFonts w:ascii="Arial" w:cs="Arial" w:eastAsia="Arial" w:hAnsi="Arial"/>
          <w:sz w:val="16"/>
          <w:szCs w:val="16"/>
          <w:color w:val="auto"/>
        </w:rPr>
        <w:t>). The Investor is not an entity formed for the specific purpose of acquiring the Shares.</w:t>
      </w:r>
    </w:p>
    <w:p>
      <w:pPr>
        <w:spacing w:after="0" w:line="165" w:lineRule="exact"/>
        <w:rPr>
          <w:rFonts w:ascii="Arial" w:cs="Arial" w:eastAsia="Arial" w:hAnsi="Arial"/>
          <w:sz w:val="16"/>
          <w:szCs w:val="16"/>
          <w:color w:val="auto"/>
        </w:rPr>
      </w:pPr>
    </w:p>
    <w:p>
      <w:pPr>
        <w:jc w:val="both"/>
        <w:ind w:firstLine="1304"/>
        <w:spacing w:after="0" w:line="287" w:lineRule="auto"/>
        <w:tabs>
          <w:tab w:leader="none" w:pos="147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71" w:lineRule="exact"/>
        <w:rPr>
          <w:rFonts w:ascii="Arial" w:cs="Arial" w:eastAsia="Arial" w:hAnsi="Arial"/>
          <w:sz w:val="16"/>
          <w:szCs w:val="16"/>
          <w:color w:val="auto"/>
        </w:rPr>
      </w:pPr>
    </w:p>
    <w:p>
      <w:pPr>
        <w:jc w:val="both"/>
        <w:ind w:firstLine="1304"/>
        <w:spacing w:after="0" w:line="311" w:lineRule="auto"/>
        <w:tabs>
          <w:tab w:leader="none" w:pos="159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47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9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64" w:lineRule="exact"/>
        <w:rPr>
          <w:rFonts w:ascii="Arial" w:cs="Arial" w:eastAsia="Arial" w:hAnsi="Arial"/>
          <w:sz w:val="16"/>
          <w:szCs w:val="16"/>
          <w:color w:val="auto"/>
        </w:rPr>
      </w:pPr>
    </w:p>
    <w:p>
      <w:pPr>
        <w:jc w:val="both"/>
        <w:ind w:firstLine="1304"/>
        <w:spacing w:after="0" w:line="289" w:lineRule="auto"/>
        <w:tabs>
          <w:tab w:leader="none" w:pos="153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1296"/>
        <w:spacing w:after="0" w:line="259" w:lineRule="auto"/>
        <w:rPr>
          <w:sz w:val="20"/>
          <w:szCs w:val="20"/>
          <w:color w:val="auto"/>
        </w:rPr>
      </w:pPr>
      <w:r>
        <w:rPr>
          <w:rFonts w:ascii="Arial" w:cs="Arial" w:eastAsia="Arial" w:hAnsi="Arial"/>
          <w:sz w:val="18"/>
          <w:szCs w:val="18"/>
          <w:color w:val="auto"/>
        </w:rPr>
        <w:t>g. 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h. 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 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j. The Investor understands and agrees that no federal or state agency has passed upon or endorsed the merits of the offering of the Shares or made any findings or determination as to the fairness of this investment.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k. 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7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l. 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68" w:lineRule="exact"/>
        <w:rPr>
          <w:sz w:val="20"/>
          <w:szCs w:val="20"/>
          <w:color w:val="auto"/>
        </w:rPr>
      </w:pPr>
    </w:p>
    <w:p>
      <w:pPr>
        <w:jc w:val="both"/>
        <w:ind w:firstLine="1304"/>
        <w:spacing w:after="0" w:line="287" w:lineRule="auto"/>
        <w:tabs>
          <w:tab w:leader="none" w:pos="161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undersigned is not (i) a person or entity named on the List of Specially Designated Nationals and Blocked Persons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u w:val="single" w:color="auto"/>
          <w:color w:val="auto"/>
        </w:rPr>
        <w:t>OFAC List</w:t>
      </w:r>
      <w:r>
        <w:rPr>
          <w:rFonts w:ascii="Arial" w:cs="Arial" w:eastAsia="Arial" w:hAnsi="Arial"/>
          <w:sz w:val="16"/>
          <w:szCs w:val="16"/>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6"/>
          <w:szCs w:val="16"/>
          <w:u w:val="single" w:color="auto"/>
          <w:color w:val="auto"/>
        </w:rPr>
        <w:t>Prohibited Investor</w:t>
      </w:r>
      <w:r>
        <w:rPr>
          <w:rFonts w:ascii="Arial" w:cs="Arial" w:eastAsia="Arial" w:hAnsi="Arial"/>
          <w:sz w:val="16"/>
          <w:szCs w:val="16"/>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and its implementing regulations (collectively, the “</w:t>
      </w:r>
      <w:r>
        <w:rPr>
          <w:rFonts w:ascii="Arial" w:cs="Arial" w:eastAsia="Arial" w:hAnsi="Arial"/>
          <w:sz w:val="16"/>
          <w:szCs w:val="16"/>
          <w:u w:val="single" w:color="auto"/>
          <w:color w:val="auto"/>
        </w:rPr>
        <w:t>BSA/PATRIOT Act</w:t>
      </w:r>
      <w:r>
        <w:rPr>
          <w:rFonts w:ascii="Arial" w:cs="Arial" w:eastAsia="Arial" w:hAnsi="Arial"/>
          <w:sz w:val="16"/>
          <w:szCs w:val="16"/>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both"/>
        <w:ind w:right="20" w:firstLine="1296"/>
        <w:spacing w:after="0" w:line="277" w:lineRule="auto"/>
        <w:rPr>
          <w:sz w:val="20"/>
          <w:szCs w:val="20"/>
          <w:color w:val="auto"/>
        </w:rPr>
      </w:pPr>
      <w:r>
        <w:rPr>
          <w:rFonts w:ascii="Arial" w:cs="Arial" w:eastAsia="Arial" w:hAnsi="Arial"/>
          <w:sz w:val="18"/>
          <w:szCs w:val="18"/>
          <w:color w:val="auto"/>
        </w:rPr>
        <w:t>n. No disclosure or offering document has been prepared by either of the Placement Agents or any of their respective affiliates in connection with the offer and sale of the Shares.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o. 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 In connection with the issue and purchase of the Shares, the Placement Agents have not acted as the Investor’s financial advisor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fiduciary.</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q. When required to deliver payment to FSD pursuant to Section 2 above, the Investor will have sufficient funds to pay the Subscription Amount and consummate the purchase and sale of the Shares pursuant to this Subscription Agreement.</w:t>
      </w:r>
    </w:p>
    <w:p>
      <w:pPr>
        <w:spacing w:after="0" w:line="170" w:lineRule="exact"/>
        <w:rPr>
          <w:sz w:val="20"/>
          <w:szCs w:val="20"/>
          <w:color w:val="auto"/>
        </w:rPr>
      </w:pPr>
    </w:p>
    <w:p>
      <w:pPr>
        <w:ind w:firstLine="1304"/>
        <w:spacing w:after="0" w:line="277" w:lineRule="auto"/>
        <w:tabs>
          <w:tab w:leader="none" w:pos="1539"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In the event that the Shares are not registered in connection with the consummation of the Transaction, FSD agrees that, within thirty</w:t>
      </w:r>
    </w:p>
    <w:p>
      <w:pPr>
        <w:spacing w:after="0" w:line="46" w:lineRule="exact"/>
        <w:rPr>
          <w:rFonts w:ascii="Arial" w:cs="Arial" w:eastAsia="Arial" w:hAnsi="Arial"/>
          <w:sz w:val="16"/>
          <w:szCs w:val="16"/>
          <w:color w:val="auto"/>
        </w:rPr>
      </w:pPr>
    </w:p>
    <w:p>
      <w:pPr>
        <w:jc w:val="both"/>
        <w:ind w:firstLine="8"/>
        <w:spacing w:after="0" w:line="281" w:lineRule="auto"/>
        <w:tabs>
          <w:tab w:leader="none" w:pos="37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calendar days after the consummation of the Transaction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it will file with the SEC (at the its sole cost and expense) a registration statement registering the resale of such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it shall use its commercially reasonable efforts to have the Registration Statement declared effective as soon as practicable after the filing thereof, but no later than the earlier of (1) the 90th calendar day after the</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consummation of the Transaction (or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1296"/>
        <w:spacing w:after="0" w:line="268" w:lineRule="auto"/>
        <w:rPr>
          <w:sz w:val="20"/>
          <w:szCs w:val="20"/>
          <w:color w:val="auto"/>
        </w:rPr>
      </w:pPr>
      <w:r>
        <w:rPr>
          <w:rFonts w:ascii="Arial" w:cs="Arial" w:eastAsia="Arial" w:hAnsi="Arial"/>
          <w:sz w:val="17"/>
          <w:szCs w:val="17"/>
          <w:color w:val="auto"/>
        </w:rPr>
        <w:t>b. 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Arial" w:cs="Arial" w:eastAsia="Arial" w:hAnsi="Arial"/>
          <w:sz w:val="17"/>
          <w:szCs w:val="17"/>
          <w:u w:val="single" w:color="auto"/>
          <w:color w:val="auto"/>
        </w:rPr>
        <w:t>Suspension Event</w:t>
      </w:r>
      <w:r>
        <w:rPr>
          <w:rFonts w:ascii="Arial" w:cs="Arial" w:eastAsia="Arial" w:hAnsi="Arial"/>
          <w:sz w:val="17"/>
          <w:szCs w:val="17"/>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86" w:lineRule="exact"/>
        <w:rPr>
          <w:sz w:val="20"/>
          <w:szCs w:val="20"/>
          <w:color w:val="auto"/>
        </w:rPr>
      </w:pPr>
    </w:p>
    <w:p>
      <w:pPr>
        <w:jc w:val="both"/>
        <w:ind w:firstLine="1304"/>
        <w:spacing w:after="0" w:line="284" w:lineRule="auto"/>
        <w:tabs>
          <w:tab w:leader="none" w:pos="159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1296"/>
        <w:spacing w:after="0" w:line="259" w:lineRule="auto"/>
        <w:rPr>
          <w:sz w:val="20"/>
          <w:szCs w:val="20"/>
          <w:color w:val="auto"/>
        </w:rPr>
      </w:pPr>
      <w:r>
        <w:rPr>
          <w:rFonts w:ascii="Arial" w:cs="Arial" w:eastAsia="Arial" w:hAnsi="Arial"/>
          <w:sz w:val="18"/>
          <w:szCs w:val="18"/>
          <w:color w:val="auto"/>
        </w:rPr>
        <w:t>d. 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87" w:lineRule="exact"/>
        <w:rPr>
          <w:sz w:val="20"/>
          <w:szCs w:val="20"/>
          <w:color w:val="auto"/>
        </w:rPr>
      </w:pPr>
    </w:p>
    <w:p>
      <w:pPr>
        <w:jc w:val="both"/>
        <w:ind w:firstLine="1304"/>
        <w:spacing w:after="0" w:line="288" w:lineRule="auto"/>
        <w:tabs>
          <w:tab w:leader="none" w:pos="158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68" w:lineRule="exact"/>
        <w:rPr>
          <w:rFonts w:ascii="Arial" w:cs="Arial" w:eastAsia="Arial" w:hAnsi="Arial"/>
          <w:sz w:val="16"/>
          <w:szCs w:val="16"/>
          <w:color w:val="auto"/>
        </w:rPr>
      </w:pPr>
    </w:p>
    <w:p>
      <w:pPr>
        <w:jc w:val="both"/>
        <w:ind w:firstLine="1304"/>
        <w:spacing w:after="0" w:line="288" w:lineRule="auto"/>
        <w:tabs>
          <w:tab w:leader="none" w:pos="157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68" w:lineRule="exact"/>
        <w:rPr>
          <w:rFonts w:ascii="Arial" w:cs="Arial" w:eastAsia="Arial" w:hAnsi="Arial"/>
          <w:sz w:val="16"/>
          <w:szCs w:val="16"/>
          <w:color w:val="auto"/>
        </w:rPr>
      </w:pPr>
    </w:p>
    <w:p>
      <w:pPr>
        <w:jc w:val="both"/>
        <w:ind w:firstLine="1304"/>
        <w:spacing w:after="0" w:line="268" w:lineRule="auto"/>
        <w:tabs>
          <w:tab w:leader="none" w:pos="149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firstLine="656"/>
        <w:spacing w:after="0" w:line="270" w:lineRule="auto"/>
        <w:tabs>
          <w:tab w:leader="none" w:pos="828"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80" w:lineRule="exact"/>
        <w:rPr>
          <w:rFonts w:ascii="Arial" w:cs="Arial" w:eastAsia="Arial" w:hAnsi="Arial"/>
          <w:sz w:val="17"/>
          <w:szCs w:val="17"/>
          <w:color w:val="auto"/>
        </w:rPr>
      </w:pPr>
    </w:p>
    <w:p>
      <w:pPr>
        <w:jc w:val="both"/>
        <w:ind w:firstLine="656"/>
        <w:spacing w:after="0" w:line="286" w:lineRule="auto"/>
        <w:tabs>
          <w:tab w:leader="none" w:pos="855"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Investor hereby acknowledges that FSD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67" w:lineRule="exact"/>
        <w:rPr>
          <w:rFonts w:ascii="Arial" w:cs="Arial" w:eastAsia="Arial" w:hAnsi="Arial"/>
          <w:sz w:val="16"/>
          <w:szCs w:val="16"/>
          <w:color w:val="auto"/>
        </w:rPr>
      </w:pPr>
    </w:p>
    <w:p>
      <w:pPr>
        <w:ind w:left="920" w:hanging="264"/>
        <w:spacing w:after="0"/>
        <w:tabs>
          <w:tab w:leader="none" w:pos="9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5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47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691"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firstLine="1296"/>
        <w:spacing w:after="0" w:line="263" w:lineRule="auto"/>
        <w:rPr>
          <w:sz w:val="20"/>
          <w:szCs w:val="20"/>
          <w:color w:val="auto"/>
        </w:rPr>
      </w:pPr>
      <w:r>
        <w:rPr>
          <w:rFonts w:ascii="Arial" w:cs="Arial" w:eastAsia="Arial" w:hAnsi="Arial"/>
          <w:sz w:val="18"/>
          <w:szCs w:val="18"/>
          <w:color w:val="auto"/>
        </w:rPr>
        <w:t>d. 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84" w:lineRule="exact"/>
        <w:rPr>
          <w:sz w:val="20"/>
          <w:szCs w:val="20"/>
          <w:color w:val="auto"/>
        </w:rPr>
      </w:pPr>
    </w:p>
    <w:p>
      <w:pPr>
        <w:ind w:left="1620" w:hanging="316"/>
        <w:spacing w:after="0"/>
        <w:tabs>
          <w:tab w:leader="none" w:pos="16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All of the agreements, representations and warranties made by each party hereto in this Subscription Agreement shall survive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1304"/>
        <w:spacing w:after="0" w:line="257" w:lineRule="auto"/>
        <w:tabs>
          <w:tab w:leader="none" w:pos="156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151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Arial" w:cs="Arial" w:eastAsia="Arial" w:hAnsi="Arial"/>
          <w:sz w:val="17"/>
          <w:szCs w:val="17"/>
          <w:u w:val="single" w:color="auto"/>
          <w:color w:val="auto"/>
        </w:rPr>
        <w:t>Sections 10(c)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10(d)</w:t>
      </w:r>
      <w:r>
        <w:rPr>
          <w:rFonts w:ascii="Arial" w:cs="Arial" w:eastAsia="Arial" w:hAnsi="Arial"/>
          <w:sz w:val="17"/>
          <w:szCs w:val="17"/>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47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46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43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48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firstLine="1296"/>
        <w:spacing w:after="0" w:line="268" w:lineRule="auto"/>
        <w:rPr>
          <w:sz w:val="20"/>
          <w:szCs w:val="20"/>
          <w:color w:val="auto"/>
        </w:rPr>
      </w:pPr>
      <w:r>
        <w:rPr>
          <w:rFonts w:ascii="Arial" w:cs="Arial" w:eastAsia="Arial" w:hAnsi="Arial"/>
          <w:sz w:val="17"/>
          <w:szCs w:val="17"/>
          <w:color w:val="auto"/>
        </w:rPr>
        <w:t xml:space="preserve">l. 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10(m)</w:t>
      </w:r>
      <w:r>
        <w:rPr>
          <w:rFonts w:ascii="Arial" w:cs="Arial" w:eastAsia="Arial" w:hAnsi="Arial"/>
          <w:sz w:val="17"/>
          <w:szCs w:val="17"/>
          <w:color w:val="auto"/>
        </w:rPr>
        <w:t xml:space="preserve"> OF THIS SUBSCRIPTION AGREEMENT OR IN SUCH OTHER MANNER AS MAY BE PERMITTED BY LAW SHALL BE VALID AND SUFFICIENT SERVICE THEREOF.</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7"/>
          <w:szCs w:val="17"/>
          <w:u w:val="single" w:color="auto"/>
          <w:color w:val="auto"/>
        </w:rPr>
        <w:t>SECTION 10(l)</w:t>
      </w:r>
      <w:r>
        <w:rPr>
          <w:rFonts w:ascii="Arial" w:cs="Arial" w:eastAsia="Arial" w:hAnsi="Arial"/>
          <w:sz w:val="17"/>
          <w:szCs w:val="17"/>
          <w:color w:val="auto"/>
        </w:rPr>
        <w:t>.</w:t>
      </w:r>
    </w:p>
    <w:p>
      <w:pPr>
        <w:spacing w:after="0" w:line="185" w:lineRule="exact"/>
        <w:rPr>
          <w:sz w:val="20"/>
          <w:szCs w:val="20"/>
          <w:color w:val="auto"/>
        </w:rPr>
      </w:pPr>
    </w:p>
    <w:p>
      <w:pPr>
        <w:jc w:val="both"/>
        <w:ind w:firstLine="1304"/>
        <w:spacing w:after="0" w:line="289" w:lineRule="auto"/>
        <w:tabs>
          <w:tab w:leader="none" w:pos="161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request, demand, claim or other communication is also sent to the recipient pursuant to clauses (i), (iii) or (iv) of this </w:t>
      </w:r>
      <w:r>
        <w:rPr>
          <w:rFonts w:ascii="Arial" w:cs="Arial" w:eastAsia="Arial" w:hAnsi="Arial"/>
          <w:sz w:val="16"/>
          <w:szCs w:val="16"/>
          <w:u w:val="single" w:color="auto"/>
          <w:color w:val="auto"/>
        </w:rPr>
        <w:t>Section 10(m)</w:t>
      </w:r>
      <w:r>
        <w:rPr>
          <w:rFonts w:ascii="Arial" w:cs="Arial" w:eastAsia="Arial" w:hAnsi="Arial"/>
          <w:sz w:val="16"/>
          <w:szCs w:val="16"/>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6"/>
          <w:szCs w:val="16"/>
          <w:u w:val="single" w:color="auto"/>
          <w:color w:val="auto"/>
        </w:rPr>
        <w:t>Section 10(m)</w:t>
      </w:r>
      <w:r>
        <w:rPr>
          <w:rFonts w:ascii="Arial" w:cs="Arial" w:eastAsia="Arial" w:hAnsi="Arial"/>
          <w:sz w:val="16"/>
          <w:szCs w:val="16"/>
          <w:color w:val="auto"/>
        </w:rPr>
        <w:t>.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joel.rubinstein@whitecase.com.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56"/>
        <w:spacing w:after="0" w:line="287" w:lineRule="auto"/>
        <w:tabs>
          <w:tab w:leader="none" w:pos="938"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71" w:lineRule="exact"/>
        <w:rPr>
          <w:rFonts w:ascii="Arial" w:cs="Arial" w:eastAsia="Arial" w:hAnsi="Arial"/>
          <w:sz w:val="16"/>
          <w:szCs w:val="16"/>
          <w:color w:val="auto"/>
        </w:rPr>
      </w:pPr>
    </w:p>
    <w:p>
      <w:pPr>
        <w:jc w:val="both"/>
        <w:ind w:firstLine="656"/>
        <w:spacing w:after="0" w:line="259" w:lineRule="auto"/>
        <w:tabs>
          <w:tab w:leader="none" w:pos="918"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 executed by its duly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Name of Investor:</w:t>
            </w:r>
          </w:p>
        </w:tc>
        <w:tc>
          <w:tcPr>
            <w:tcW w:w="4440" w:type="dxa"/>
            <w:vAlign w:val="bottom"/>
          </w:tcPr>
          <w:p>
            <w:pPr>
              <w:ind w:left="780"/>
              <w:spacing w:after="0"/>
              <w:rPr>
                <w:sz w:val="20"/>
                <w:szCs w:val="20"/>
                <w:color w:val="auto"/>
              </w:rPr>
            </w:pPr>
            <w:r>
              <w:rPr>
                <w:rFonts w:ascii="Arial" w:cs="Arial" w:eastAsia="Arial" w:hAnsi="Arial"/>
                <w:sz w:val="18"/>
                <w:szCs w:val="18"/>
                <w:color w:val="auto"/>
              </w:rPr>
              <w:t>State/Country of Formation or Domicile:</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By: _____________________________________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Name: 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Title: ___________________________________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4440" w:type="dxa"/>
            <w:vAlign w:val="bottom"/>
          </w:tcPr>
          <w:p>
            <w:pPr>
              <w:ind w:left="780"/>
              <w:spacing w:after="0"/>
              <w:rPr>
                <w:sz w:val="20"/>
                <w:szCs w:val="20"/>
                <w:color w:val="auto"/>
              </w:rPr>
            </w:pPr>
            <w:r>
              <w:rPr>
                <w:rFonts w:ascii="Arial" w:cs="Arial" w:eastAsia="Arial" w:hAnsi="Arial"/>
                <w:sz w:val="18"/>
                <w:szCs w:val="18"/>
                <w:color w:val="auto"/>
              </w:rPr>
              <w:t>Date: ________, 2020</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Investor’s EIN:</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Business Address-Street:</w:t>
            </w:r>
          </w:p>
        </w:tc>
        <w:tc>
          <w:tcPr>
            <w:tcW w:w="4440" w:type="dxa"/>
            <w:vAlign w:val="bottom"/>
          </w:tcPr>
          <w:p>
            <w:pPr>
              <w:ind w:left="780"/>
              <w:spacing w:after="0"/>
              <w:rPr>
                <w:sz w:val="20"/>
                <w:szCs w:val="20"/>
                <w:color w:val="auto"/>
              </w:rPr>
            </w:pPr>
            <w:r>
              <w:rPr>
                <w:rFonts w:ascii="Arial" w:cs="Arial" w:eastAsia="Arial" w:hAnsi="Arial"/>
                <w:sz w:val="18"/>
                <w:szCs w:val="18"/>
                <w:color w:val="auto"/>
              </w:rPr>
              <w:t>Mailing Address-Street (if different):</w:t>
            </w:r>
          </w:p>
        </w:tc>
        <w:tc>
          <w:tcPr>
            <w:tcW w:w="0" w:type="dxa"/>
            <w:vAlign w:val="bottom"/>
          </w:tcPr>
          <w:p>
            <w:pPr>
              <w:spacing w:after="0"/>
              <w:rPr>
                <w:sz w:val="1"/>
                <w:szCs w:val="1"/>
                <w:color w:val="auto"/>
              </w:rPr>
            </w:pPr>
          </w:p>
        </w:tc>
      </w:tr>
      <w:tr>
        <w:trPr>
          <w:trHeight w:val="432"/>
        </w:trPr>
        <w:tc>
          <w:tcPr>
            <w:tcW w:w="4840" w:type="dxa"/>
            <w:vAlign w:val="bottom"/>
            <w:vMerge w:val="restart"/>
          </w:tcPr>
          <w:p>
            <w:pPr>
              <w:spacing w:after="0"/>
              <w:rPr>
                <w:sz w:val="20"/>
                <w:szCs w:val="20"/>
                <w:color w:val="auto"/>
              </w:rPr>
            </w:pPr>
            <w:r>
              <w:rPr>
                <w:rFonts w:ascii="Arial" w:cs="Arial" w:eastAsia="Arial" w:hAnsi="Arial"/>
                <w:sz w:val="18"/>
                <w:szCs w:val="18"/>
                <w:color w:val="auto"/>
              </w:rPr>
              <w:t>City, State, Zip:</w:t>
            </w:r>
          </w:p>
        </w:tc>
        <w:tc>
          <w:tcPr>
            <w:tcW w:w="4440" w:type="dxa"/>
            <w:vAlign w:val="bottom"/>
          </w:tcPr>
          <w:p>
            <w:pPr>
              <w:ind w:left="780"/>
              <w:spacing w:after="0"/>
              <w:rPr>
                <w:sz w:val="20"/>
                <w:szCs w:val="20"/>
                <w:color w:val="auto"/>
              </w:rPr>
            </w:pPr>
            <w:r>
              <w:rPr>
                <w:rFonts w:ascii="Arial" w:cs="Arial" w:eastAsia="Arial" w:hAnsi="Arial"/>
                <w:sz w:val="18"/>
                <w:szCs w:val="18"/>
                <w:color w:val="auto"/>
              </w:rPr>
              <w:t>City, State, Zip:</w:t>
            </w: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Attn: ____________________________________</w:t>
            </w:r>
          </w:p>
        </w:tc>
        <w:tc>
          <w:tcPr>
            <w:tcW w:w="4440" w:type="dxa"/>
            <w:vAlign w:val="bottom"/>
          </w:tcPr>
          <w:p>
            <w:pPr>
              <w:ind w:left="780"/>
              <w:spacing w:after="0"/>
              <w:rPr>
                <w:sz w:val="20"/>
                <w:szCs w:val="20"/>
                <w:color w:val="auto"/>
              </w:rPr>
            </w:pPr>
            <w:r>
              <w:rPr>
                <w:rFonts w:ascii="Arial" w:cs="Arial" w:eastAsia="Arial" w:hAnsi="Arial"/>
                <w:sz w:val="18"/>
                <w:szCs w:val="18"/>
                <w:color w:val="auto"/>
                <w:w w:val="90"/>
              </w:rPr>
              <w:t>Attn: ____________________________________</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Telephone No.:</w:t>
            </w:r>
          </w:p>
        </w:tc>
        <w:tc>
          <w:tcPr>
            <w:tcW w:w="4440" w:type="dxa"/>
            <w:vAlign w:val="bottom"/>
          </w:tcPr>
          <w:p>
            <w:pPr>
              <w:ind w:left="780"/>
              <w:spacing w:after="0"/>
              <w:rPr>
                <w:sz w:val="20"/>
                <w:szCs w:val="20"/>
                <w:color w:val="auto"/>
              </w:rPr>
            </w:pPr>
            <w:r>
              <w:rPr>
                <w:rFonts w:ascii="Arial" w:cs="Arial" w:eastAsia="Arial" w:hAnsi="Arial"/>
                <w:sz w:val="18"/>
                <w:szCs w:val="18"/>
                <w:color w:val="auto"/>
              </w:rPr>
              <w:t>Telephone No.:</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Facsimile No.:</w:t>
            </w:r>
          </w:p>
        </w:tc>
        <w:tc>
          <w:tcPr>
            <w:tcW w:w="4440" w:type="dxa"/>
            <w:vAlign w:val="bottom"/>
          </w:tcPr>
          <w:p>
            <w:pPr>
              <w:ind w:left="780"/>
              <w:spacing w:after="0"/>
              <w:rPr>
                <w:sz w:val="20"/>
                <w:szCs w:val="20"/>
                <w:color w:val="auto"/>
              </w:rPr>
            </w:pPr>
            <w:r>
              <w:rPr>
                <w:rFonts w:ascii="Arial" w:cs="Arial" w:eastAsia="Arial" w:hAnsi="Arial"/>
                <w:sz w:val="18"/>
                <w:szCs w:val="18"/>
                <w:color w:val="auto"/>
              </w:rPr>
              <w:t>Facsimile No.:</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Number of Shares subscribed for:</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Aggregate Subscription Amount: $</w:t>
            </w:r>
          </w:p>
        </w:tc>
        <w:tc>
          <w:tcPr>
            <w:tcW w:w="4440" w:type="dxa"/>
            <w:vAlign w:val="bottom"/>
          </w:tcPr>
          <w:p>
            <w:pPr>
              <w:ind w:left="780"/>
              <w:spacing w:after="0"/>
              <w:rPr>
                <w:sz w:val="20"/>
                <w:szCs w:val="20"/>
                <w:color w:val="auto"/>
              </w:rPr>
            </w:pPr>
            <w:r>
              <w:rPr>
                <w:rFonts w:ascii="Arial" w:cs="Arial" w:eastAsia="Arial" w:hAnsi="Arial"/>
                <w:sz w:val="18"/>
                <w:szCs w:val="18"/>
                <w:color w:val="auto"/>
              </w:rPr>
              <w:t>Price Per Share: $10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FSD in the Closing Notice.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left="660"/>
        <w:spacing w:after="0"/>
        <w:rPr>
          <w:sz w:val="20"/>
          <w:szCs w:val="20"/>
          <w:color w:val="auto"/>
        </w:rPr>
      </w:pPr>
      <w:r>
        <w:rPr>
          <w:rFonts w:ascii="Arial" w:cs="Arial" w:eastAsia="Arial" w:hAnsi="Arial"/>
          <w:sz w:val="16"/>
          <w:szCs w:val="16"/>
          <w:color w:val="auto"/>
        </w:rPr>
        <w:t>IN WITNESS WHEREOF, FSD has accepted this Subscription Agreement as of the date set forth below.</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174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2020</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229" w:lineRule="exact"/>
        <w:rPr>
          <w:sz w:val="20"/>
          <w:szCs w:val="20"/>
          <w:color w:val="auto"/>
        </w:rPr>
      </w:pPr>
    </w:p>
    <w:p>
      <w:pPr>
        <w:ind w:left="460" w:right="7060" w:hanging="452"/>
        <w:spacing w:after="0" w:line="308"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46" w:lineRule="exact"/>
        <w:rPr>
          <w:rFonts w:ascii="Arial" w:cs="Arial" w:eastAsia="Arial" w:hAnsi="Arial"/>
          <w:sz w:val="17"/>
          <w:szCs w:val="17"/>
          <w:color w:val="auto"/>
        </w:rPr>
      </w:pPr>
    </w:p>
    <w:p>
      <w:pPr>
        <w:ind w:left="540" w:hanging="208"/>
        <w:spacing w:after="0"/>
        <w:tabs>
          <w:tab w:leader="none" w:pos="540" w:val="left"/>
        </w:tabs>
        <w:numPr>
          <w:ilvl w:val="1"/>
          <w:numId w:val="227"/>
        </w:numPr>
        <w:rPr>
          <w:rFonts w:ascii="MS PGothic" w:cs="MS PGothic" w:eastAsia="MS PGothic" w:hAnsi="MS PGothic"/>
          <w:sz w:val="18"/>
          <w:szCs w:val="18"/>
          <w:color w:val="auto"/>
        </w:rPr>
      </w:pPr>
      <w:r>
        <w:rPr>
          <w:rFonts w:ascii="Arial" w:cs="Arial" w:eastAsia="Arial" w:hAnsi="Arial"/>
          <w:sz w:val="18"/>
          <w:szCs w:val="18"/>
          <w:color w:val="auto"/>
        </w:rPr>
        <w:t>We are a “qualified institutional buyer” (as defined in Rule 144A under the Securities Act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460" w:right="6620" w:hanging="452"/>
        <w:spacing w:after="0" w:line="308"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113" w:lineRule="exact"/>
        <w:rPr>
          <w:rFonts w:ascii="Arial" w:cs="Arial" w:eastAsia="Arial" w:hAnsi="Arial"/>
          <w:sz w:val="17"/>
          <w:szCs w:val="17"/>
          <w:color w:val="auto"/>
        </w:rPr>
      </w:pPr>
    </w:p>
    <w:p>
      <w:pPr>
        <w:jc w:val="both"/>
        <w:ind w:left="900" w:hanging="447"/>
        <w:spacing w:after="0" w:line="232" w:lineRule="exact"/>
        <w:tabs>
          <w:tab w:leader="none" w:pos="900" w:val="left"/>
        </w:tabs>
        <w:numPr>
          <w:ilvl w:val="2"/>
          <w:numId w:val="2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Arial" w:cs="Arial" w:eastAsia="Arial" w:hAnsi="Arial"/>
          <w:sz w:val="18"/>
          <w:szCs w:val="18"/>
          <w:color w:val="auto"/>
        </w:rPr>
      </w:pPr>
    </w:p>
    <w:p>
      <w:pPr>
        <w:ind w:left="640" w:hanging="187"/>
        <w:spacing w:after="0" w:line="207" w:lineRule="exact"/>
        <w:tabs>
          <w:tab w:leader="none" w:pos="640" w:val="left"/>
        </w:tabs>
        <w:numPr>
          <w:ilvl w:val="2"/>
          <w:numId w:val="2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7" w:lineRule="exact"/>
        <w:rPr>
          <w:sz w:val="20"/>
          <w:szCs w:val="20"/>
          <w:color w:val="auto"/>
        </w:rPr>
      </w:pPr>
    </w:p>
    <w:p>
      <w:pPr>
        <w:ind w:left="440" w:firstLine="9"/>
        <w:spacing w:after="0" w:line="277" w:lineRule="auto"/>
        <w:tabs>
          <w:tab w:leader="none" w:pos="670" w:val="left"/>
        </w:tabs>
        <w:numPr>
          <w:ilvl w:val="1"/>
          <w:numId w:val="228"/>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58" w:val="left"/>
        </w:tabs>
        <w:numPr>
          <w:ilvl w:val="1"/>
          <w:numId w:val="228"/>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70" w:val="left"/>
        </w:tabs>
        <w:numPr>
          <w:ilvl w:val="1"/>
          <w:numId w:val="228"/>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70" w:lineRule="exact"/>
        <w:rPr>
          <w:rFonts w:ascii="MS PGothic" w:cs="MS PGothic" w:eastAsia="MS PGothic" w:hAnsi="MS PGothic"/>
          <w:sz w:val="18"/>
          <w:szCs w:val="18"/>
          <w:color w:val="auto"/>
        </w:rPr>
      </w:pPr>
    </w:p>
    <w:p>
      <w:pPr>
        <w:ind w:left="440" w:firstLine="9"/>
        <w:spacing w:after="0" w:line="277" w:lineRule="auto"/>
        <w:tabs>
          <w:tab w:leader="none" w:pos="656" w:val="left"/>
        </w:tabs>
        <w:numPr>
          <w:ilvl w:val="1"/>
          <w:numId w:val="228"/>
        </w:numPr>
        <w:rPr>
          <w:rFonts w:ascii="MS PGothic" w:cs="MS PGothic" w:eastAsia="MS PGothic" w:hAnsi="MS PGothic"/>
          <w:sz w:val="18"/>
          <w:szCs w:val="18"/>
          <w:color w:val="auto"/>
        </w:rPr>
      </w:pPr>
      <w:r>
        <w:rPr>
          <w:rFonts w:ascii="Arial" w:cs="Arial" w:eastAsia="Arial" w:hAnsi="Arial"/>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70" w:lineRule="exact"/>
        <w:rPr>
          <w:rFonts w:ascii="MS PGothic" w:cs="MS PGothic" w:eastAsia="MS PGothic" w:hAnsi="MS PGothic"/>
          <w:sz w:val="18"/>
          <w:szCs w:val="18"/>
          <w:color w:val="auto"/>
        </w:rPr>
      </w:pPr>
    </w:p>
    <w:p>
      <w:pPr>
        <w:ind w:left="660" w:hanging="211"/>
        <w:spacing w:after="0"/>
        <w:tabs>
          <w:tab w:leader="none" w:pos="660" w:val="left"/>
        </w:tabs>
        <w:numPr>
          <w:ilvl w:val="1"/>
          <w:numId w:val="228"/>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248" w:lineRule="exact"/>
        <w:rPr>
          <w:rFonts w:ascii="MS PGothic" w:cs="MS PGothic" w:eastAsia="MS PGothic" w:hAnsi="MS PGothic"/>
          <w:sz w:val="16"/>
          <w:szCs w:val="16"/>
          <w:color w:val="auto"/>
        </w:rPr>
      </w:pPr>
    </w:p>
    <w:p>
      <w:pPr>
        <w:ind w:left="640" w:hanging="191"/>
        <w:spacing w:after="0"/>
        <w:tabs>
          <w:tab w:leader="none" w:pos="640" w:val="left"/>
        </w:tabs>
        <w:numPr>
          <w:ilvl w:val="1"/>
          <w:numId w:val="228"/>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INSTITUTIONAL ACCOUNTS STATUS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2"/>
          <w:numId w:val="228"/>
        </w:numPr>
        <w:rPr>
          <w:rFonts w:ascii="MS PGothic" w:cs="MS PGothic" w:eastAsia="MS PGothic" w:hAnsi="MS PGothic"/>
          <w:sz w:val="18"/>
          <w:szCs w:val="18"/>
          <w:color w:val="auto"/>
        </w:rPr>
      </w:pPr>
      <w:r>
        <w:rPr>
          <w:rFonts w:ascii="Arial" w:cs="Arial" w:eastAsia="Arial" w:hAnsi="Arial"/>
          <w:sz w:val="18"/>
          <w:szCs w:val="18"/>
          <w:color w:val="auto"/>
        </w:rPr>
        <w:t>We are an “institutional account” (as defined in FINRA RULE 4512(c)).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ACCREDITED INVESTOR STATUS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check the applicable subparagraphs):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left="900" w:hanging="447"/>
        <w:spacing w:after="0" w:line="232" w:lineRule="exact"/>
        <w:tabs>
          <w:tab w:leader="none" w:pos="900" w:val="left"/>
        </w:tabs>
        <w:numPr>
          <w:ilvl w:val="0"/>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70" w:lineRule="exact"/>
        <w:rPr>
          <w:rFonts w:ascii="Arial" w:cs="Arial" w:eastAsia="Arial" w:hAnsi="Arial"/>
          <w:sz w:val="18"/>
          <w:szCs w:val="18"/>
          <w:color w:val="auto"/>
        </w:rPr>
      </w:pPr>
    </w:p>
    <w:p>
      <w:pPr>
        <w:ind w:left="640" w:hanging="187"/>
        <w:spacing w:after="0" w:line="207" w:lineRule="exact"/>
        <w:tabs>
          <w:tab w:leader="none" w:pos="640" w:val="left"/>
        </w:tabs>
        <w:numPr>
          <w:ilvl w:val="0"/>
          <w:numId w:val="22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am a natural person.</w:t>
      </w:r>
    </w:p>
    <w:p>
      <w:pPr>
        <w:spacing w:after="0" w:line="2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87" w:lineRule="exact"/>
        <w:rPr>
          <w:sz w:val="20"/>
          <w:szCs w:val="20"/>
          <w:color w:val="auto"/>
        </w:rPr>
      </w:pPr>
    </w:p>
    <w:p>
      <w:pPr>
        <w:ind w:left="440" w:right="120" w:firstLine="9"/>
        <w:spacing w:after="0" w:line="277" w:lineRule="auto"/>
        <w:tabs>
          <w:tab w:leader="none" w:pos="647" w:val="left"/>
        </w:tabs>
        <w:numPr>
          <w:ilvl w:val="0"/>
          <w:numId w:val="230"/>
        </w:numPr>
        <w:rPr>
          <w:rFonts w:ascii="MS PGothic" w:cs="MS PGothic" w:eastAsia="MS PGothic" w:hAnsi="MS PGothic"/>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70" w:lineRule="exact"/>
        <w:rPr>
          <w:rFonts w:ascii="MS PGothic" w:cs="MS PGothic" w:eastAsia="MS PGothic" w:hAnsi="MS PGothic"/>
          <w:sz w:val="18"/>
          <w:szCs w:val="18"/>
          <w:color w:val="auto"/>
        </w:rPr>
      </w:pPr>
    </w:p>
    <w:p>
      <w:pPr>
        <w:jc w:val="both"/>
        <w:ind w:left="440" w:firstLine="9"/>
        <w:spacing w:after="0" w:line="293" w:lineRule="auto"/>
        <w:tabs>
          <w:tab w:leader="none" w:pos="647" w:val="left"/>
        </w:tabs>
        <w:numPr>
          <w:ilvl w:val="0"/>
          <w:numId w:val="230"/>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64" w:lineRule="exact"/>
        <w:rPr>
          <w:rFonts w:ascii="MS PGothic" w:cs="MS PGothic" w:eastAsia="MS PGothic" w:hAnsi="MS PGothic"/>
          <w:sz w:val="16"/>
          <w:szCs w:val="16"/>
          <w:color w:val="auto"/>
        </w:rPr>
      </w:pPr>
    </w:p>
    <w:p>
      <w:pPr>
        <w:ind w:left="440" w:firstLine="9"/>
        <w:spacing w:after="0" w:line="342" w:lineRule="auto"/>
        <w:tabs>
          <w:tab w:leader="none" w:pos="647" w:val="left"/>
        </w:tabs>
        <w:numPr>
          <w:ilvl w:val="0"/>
          <w:numId w:val="230"/>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SUPPORT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COMPANY SUPPORT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October 15, 2020, by and among FS Development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the persons set forth on Schedule I attached hereto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Stockholders</w:t>
      </w:r>
      <w:r>
        <w:rPr>
          <w:rFonts w:ascii="Arial" w:cs="Arial" w:eastAsia="Arial" w:hAnsi="Arial"/>
          <w:sz w:val="17"/>
          <w:szCs w:val="17"/>
          <w:color w:val="auto"/>
        </w:rPr>
        <w:t>”). Each of Parent and each Stockholder are sometimes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ascribed to them in the Merger Agreement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herewith, Parent, FSG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FS Development Holdings, LLC,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limited liability company, Shareholder Representative Services LLC, as the Stockholders’ Representative, and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are entering into that certain Agreement and Plan of Merger (as amended, supplemented or otherwise modified from time to time in accordance with its terms,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Stockholder is the record and beneficial owner of the number and type of Company Securities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any other Company Securities or other eqiuty interest (including anything convertible into such equity interests) of the Company that each Stockholder acquires record or beneficial ownership after the date hereof, collectively, the “</w:t>
      </w:r>
      <w:r>
        <w:rPr>
          <w:rFonts w:ascii="Arial" w:cs="Arial" w:eastAsia="Arial" w:hAnsi="Arial"/>
          <w:sz w:val="17"/>
          <w:szCs w:val="17"/>
          <w:u w:val="single" w:color="auto"/>
          <w:color w:val="auto"/>
        </w:rPr>
        <w:t>Subject Company Shares</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consideration for the benefits to be received by each Stockholder under the terms of the Merger Agreement and as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acknowledge and agree that Parent and the other Parent Parties would not have entered into and agreed to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the Merger Agreement without each Stockholder entering into this Agreement and agreeing to be bound by the agreements, covenants and obligations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the Parties, each intending to be legally bound, hereby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840" w:hanging="184"/>
        <w:spacing w:after="0"/>
        <w:tabs>
          <w:tab w:leader="none" w:pos="8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Company Stockholder Consent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573"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Arial" w:cs="Arial" w:eastAsia="Arial" w:hAnsi="Arial"/>
          <w:sz w:val="17"/>
          <w:szCs w:val="17"/>
          <w:u w:val="single" w:color="auto"/>
          <w:color w:val="auto"/>
        </w:rPr>
        <w:t>Section 1(a)</w:t>
      </w:r>
      <w:r>
        <w:rPr>
          <w:rFonts w:ascii="Arial" w:cs="Arial" w:eastAsia="Arial" w:hAnsi="Arial"/>
          <w:sz w:val="17"/>
          <w:szCs w:val="17"/>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80" w:lineRule="exact"/>
        <w:rPr>
          <w:rFonts w:ascii="Arial" w:cs="Arial" w:eastAsia="Arial" w:hAnsi="Arial"/>
          <w:sz w:val="17"/>
          <w:szCs w:val="17"/>
          <w:color w:val="auto"/>
        </w:rPr>
      </w:pPr>
    </w:p>
    <w:p>
      <w:pPr>
        <w:ind w:left="2820" w:hanging="220"/>
        <w:spacing w:after="0"/>
        <w:tabs>
          <w:tab w:leader="none" w:pos="282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to approve and adopt the Merger Agreement and the transactions contemplated thereby, including the Merger;</w:t>
      </w:r>
    </w:p>
    <w:p>
      <w:pPr>
        <w:spacing w:after="0" w:line="236" w:lineRule="exact"/>
        <w:rPr>
          <w:rFonts w:ascii="Arial" w:cs="Arial" w:eastAsia="Arial" w:hAnsi="Arial"/>
          <w:sz w:val="17"/>
          <w:szCs w:val="17"/>
          <w:color w:val="auto"/>
        </w:rPr>
      </w:pPr>
    </w:p>
    <w:p>
      <w:pPr>
        <w:jc w:val="both"/>
        <w:ind w:left="1300" w:firstLine="1300"/>
        <w:spacing w:after="0" w:line="259" w:lineRule="auto"/>
        <w:tabs>
          <w:tab w:leader="none" w:pos="2868"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86" w:lineRule="exact"/>
        <w:rPr>
          <w:rFonts w:ascii="Arial" w:cs="Arial" w:eastAsia="Arial" w:hAnsi="Arial"/>
          <w:sz w:val="18"/>
          <w:szCs w:val="18"/>
          <w:color w:val="auto"/>
        </w:rPr>
      </w:pPr>
    </w:p>
    <w:p>
      <w:pPr>
        <w:jc w:val="both"/>
        <w:ind w:left="1300" w:firstLine="1300"/>
        <w:spacing w:after="0" w:line="263" w:lineRule="auto"/>
        <w:tabs>
          <w:tab w:leader="none" w:pos="2929"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83" w:lineRule="exact"/>
        <w:rPr>
          <w:rFonts w:ascii="Arial" w:cs="Arial" w:eastAsia="Arial" w:hAnsi="Arial"/>
          <w:sz w:val="18"/>
          <w:szCs w:val="18"/>
          <w:color w:val="auto"/>
        </w:rPr>
      </w:pPr>
    </w:p>
    <w:p>
      <w:pPr>
        <w:jc w:val="both"/>
        <w:ind w:left="1300" w:firstLine="1300"/>
        <w:spacing w:after="0" w:line="259" w:lineRule="auto"/>
        <w:tabs>
          <w:tab w:leader="none" w:pos="2905"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8"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4"/>
        <w:spacing w:after="0" w:line="269" w:lineRule="auto"/>
        <w:tabs>
          <w:tab w:leader="none" w:pos="154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The proxy granted by each Stockholder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and with respect to the matters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The proxyholder may not exercise the proxy granted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on any matter except those provided in </w:t>
      </w:r>
      <w:r>
        <w:rPr>
          <w:rFonts w:ascii="Arial" w:cs="Arial" w:eastAsia="Arial" w:hAnsi="Arial"/>
          <w:sz w:val="17"/>
          <w:szCs w:val="17"/>
          <w:u w:val="single" w:color="auto"/>
          <w:color w:val="auto"/>
        </w:rPr>
        <w:t>Section 1(a)</w:t>
      </w:r>
      <w:r>
        <w:rPr>
          <w:rFonts w:ascii="Arial" w:cs="Arial" w:eastAsia="Arial" w:hAnsi="Arial"/>
          <w:sz w:val="17"/>
          <w:szCs w:val="17"/>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1304"/>
        <w:spacing w:after="0" w:line="271" w:lineRule="auto"/>
        <w:tabs>
          <w:tab w:leader="none" w:pos="1561" w:val="left"/>
        </w:tabs>
        <w:numPr>
          <w:ilvl w:val="2"/>
          <w:numId w:val="232"/>
        </w:numPr>
        <w:rPr>
          <w:rFonts w:ascii="Arial" w:cs="Arial" w:eastAsia="Arial" w:hAnsi="Arial"/>
          <w:sz w:val="17"/>
          <w:szCs w:val="17"/>
          <w:color w:val="auto"/>
        </w:rPr>
      </w:pPr>
      <w:r>
        <w:rPr>
          <w:rFonts w:ascii="Arial" w:cs="Arial" w:eastAsia="Arial" w:hAnsi="Arial"/>
          <w:sz w:val="17"/>
          <w:szCs w:val="17"/>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78" w:lineRule="exact"/>
        <w:rPr>
          <w:rFonts w:ascii="Arial" w:cs="Arial" w:eastAsia="Arial" w:hAnsi="Arial"/>
          <w:sz w:val="17"/>
          <w:szCs w:val="17"/>
          <w:color w:val="auto"/>
        </w:rPr>
      </w:pPr>
    </w:p>
    <w:p>
      <w:pPr>
        <w:ind w:right="20" w:firstLine="1304"/>
        <w:spacing w:after="0" w:line="308" w:lineRule="auto"/>
        <w:tabs>
          <w:tab w:leader="none" w:pos="1547" w:val="left"/>
        </w:tabs>
        <w:numPr>
          <w:ilvl w:val="2"/>
          <w:numId w:val="232"/>
        </w:numPr>
        <w:rPr>
          <w:rFonts w:ascii="Arial" w:cs="Arial" w:eastAsia="Arial" w:hAnsi="Arial"/>
          <w:sz w:val="17"/>
          <w:szCs w:val="17"/>
          <w:color w:val="auto"/>
        </w:rPr>
      </w:pPr>
      <w:r>
        <w:rPr>
          <w:rFonts w:ascii="Arial" w:cs="Arial" w:eastAsia="Arial" w:hAnsi="Arial"/>
          <w:sz w:val="17"/>
          <w:szCs w:val="17"/>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9" w:val="left"/>
        </w:tabs>
        <w:numPr>
          <w:ilvl w:val="2"/>
          <w:numId w:val="233"/>
        </w:numPr>
        <w:rPr>
          <w:rFonts w:ascii="Arial" w:cs="Arial" w:eastAsia="Arial" w:hAnsi="Arial"/>
          <w:sz w:val="16"/>
          <w:szCs w:val="16"/>
          <w:color w:val="auto"/>
        </w:rPr>
      </w:pPr>
      <w:r>
        <w:rPr>
          <w:rFonts w:ascii="Arial" w:cs="Arial" w:eastAsia="Arial" w:hAnsi="Arial"/>
          <w:sz w:val="16"/>
          <w:szCs w:val="16"/>
          <w:color w:val="auto"/>
        </w:rPr>
        <w:t xml:space="preserve">Each Stockholder hereby agrees that, notwithstanding anything to the contrary in any such agreement, (i) each of the agreements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indemnification provisions that are contemplated to survive the agreement marked with an asterisk</w:t>
      </w:r>
    </w:p>
    <w:p>
      <w:pPr>
        <w:spacing w:after="0" w:line="1" w:lineRule="exact"/>
        <w:rPr>
          <w:rFonts w:ascii="Arial" w:cs="Arial" w:eastAsia="Arial" w:hAnsi="Arial"/>
          <w:sz w:val="16"/>
          <w:szCs w:val="16"/>
          <w:color w:val="auto"/>
        </w:rPr>
      </w:pPr>
    </w:p>
    <w:p>
      <w:pPr>
        <w:jc w:val="both"/>
        <w:ind w:firstLine="8"/>
        <w:spacing w:after="0" w:line="255" w:lineRule="auto"/>
        <w:tabs>
          <w:tab w:leader="none" w:pos="2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89" w:lineRule="exact"/>
        <w:rPr>
          <w:rFonts w:ascii="Arial" w:cs="Arial" w:eastAsia="Arial" w:hAnsi="Arial"/>
          <w:sz w:val="18"/>
          <w:szCs w:val="18"/>
          <w:color w:val="auto"/>
        </w:rPr>
      </w:pPr>
    </w:p>
    <w:p>
      <w:pPr>
        <w:jc w:val="both"/>
        <w:ind w:firstLine="1304"/>
        <w:spacing w:after="0" w:line="275" w:lineRule="auto"/>
        <w:tabs>
          <w:tab w:leader="none" w:pos="1582" w:val="left"/>
        </w:tabs>
        <w:numPr>
          <w:ilvl w:val="2"/>
          <w:numId w:val="234"/>
        </w:numPr>
        <w:rPr>
          <w:rFonts w:ascii="Arial" w:cs="Arial" w:eastAsia="Arial" w:hAnsi="Arial"/>
          <w:sz w:val="17"/>
          <w:szCs w:val="17"/>
          <w:color w:val="auto"/>
        </w:rPr>
      </w:pPr>
      <w:r>
        <w:rPr>
          <w:rFonts w:ascii="Arial" w:cs="Arial" w:eastAsia="Arial" w:hAnsi="Arial"/>
          <w:sz w:val="17"/>
          <w:szCs w:val="17"/>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45" w:val="left"/>
        </w:tabs>
        <w:numPr>
          <w:ilvl w:val="2"/>
          <w:numId w:val="234"/>
        </w:numPr>
        <w:rPr>
          <w:rFonts w:ascii="Arial" w:cs="Arial" w:eastAsia="Arial" w:hAnsi="Arial"/>
          <w:sz w:val="18"/>
          <w:szCs w:val="18"/>
          <w:color w:val="auto"/>
        </w:rPr>
      </w:pPr>
      <w:r>
        <w:rPr>
          <w:rFonts w:ascii="Arial" w:cs="Arial" w:eastAsia="Arial" w:hAnsi="Arial"/>
          <w:sz w:val="18"/>
          <w:szCs w:val="18"/>
          <w:color w:val="auto"/>
        </w:rPr>
        <w:t>On the Closing Date, each Stockholder shall deliver to Parent a duly executed copy of that (i) certain Registration Rights Agreement, by and among Parent, the Company and the Specified Company Securityholders party thereto, in substantially the form attached as Exhibit F to the Merger Agreement and (ii) certain Voting Agreement, by and among Parent, the Company and the Specified Company Securityholders party thereto, in substantially the form attached as Exhibit D to the Merger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840" w:hanging="184"/>
        <w:spacing w:after="0"/>
        <w:tabs>
          <w:tab w:leader="none" w:pos="8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Stockholder Representations and Warranties</w:t>
      </w:r>
      <w:r>
        <w:rPr>
          <w:rFonts w:ascii="Arial" w:cs="Arial" w:eastAsia="Arial" w:hAnsi="Arial"/>
          <w:sz w:val="18"/>
          <w:szCs w:val="18"/>
          <w:color w:val="auto"/>
        </w:rPr>
        <w:t>. Each Stockholder represents and warrants to Parent as follows: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4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54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92" w:lineRule="exact"/>
        <w:rPr>
          <w:rFonts w:ascii="Arial" w:cs="Arial" w:eastAsia="Arial" w:hAnsi="Arial"/>
          <w:sz w:val="18"/>
          <w:szCs w:val="18"/>
          <w:color w:val="auto"/>
        </w:rPr>
      </w:pPr>
    </w:p>
    <w:p>
      <w:pPr>
        <w:jc w:val="both"/>
        <w:ind w:firstLine="1304"/>
        <w:spacing w:after="0" w:line="289" w:lineRule="auto"/>
        <w:tabs>
          <w:tab w:leader="none" w:pos="158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 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directly above, as would not adversely affect the ability of such Stockholder to perform, or otherwise comply with, any of its covenants, agreements or obligations hereunder in any material respect.</w:t>
      </w:r>
    </w:p>
    <w:p>
      <w:pPr>
        <w:spacing w:after="0" w:line="166" w:lineRule="exact"/>
        <w:rPr>
          <w:rFonts w:ascii="Arial" w:cs="Arial" w:eastAsia="Arial" w:hAnsi="Arial"/>
          <w:sz w:val="16"/>
          <w:szCs w:val="16"/>
          <w:color w:val="auto"/>
        </w:rPr>
      </w:pPr>
    </w:p>
    <w:p>
      <w:pPr>
        <w:jc w:val="both"/>
        <w:ind w:firstLine="1304"/>
        <w:spacing w:after="0" w:line="270" w:lineRule="auto"/>
        <w:tabs>
          <w:tab w:leader="none" w:pos="155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 (ii) any voting trust, proxy or other Contract with respect to the voting or Transfer of any of the Subject Company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firstLine="1304"/>
        <w:spacing w:after="0" w:line="279" w:lineRule="auto"/>
        <w:tabs>
          <w:tab w:leader="none" w:pos="1524" w:val="left"/>
        </w:tabs>
        <w:numPr>
          <w:ilvl w:val="2"/>
          <w:numId w:val="236"/>
        </w:numPr>
        <w:rPr>
          <w:rFonts w:ascii="Arial" w:cs="Arial" w:eastAsia="Arial" w:hAnsi="Arial"/>
          <w:sz w:val="17"/>
          <w:szCs w:val="17"/>
          <w:color w:val="auto"/>
        </w:rPr>
      </w:pPr>
      <w:r>
        <w:rPr>
          <w:rFonts w:ascii="Arial" w:cs="Arial" w:eastAsia="Arial" w:hAnsi="Arial"/>
          <w:sz w:val="17"/>
          <w:szCs w:val="17"/>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71" w:lineRule="exact"/>
        <w:rPr>
          <w:rFonts w:ascii="Arial" w:cs="Arial" w:eastAsia="Arial" w:hAnsi="Arial"/>
          <w:sz w:val="17"/>
          <w:szCs w:val="17"/>
          <w:color w:val="auto"/>
        </w:rPr>
      </w:pPr>
    </w:p>
    <w:p>
      <w:pPr>
        <w:jc w:val="both"/>
        <w:ind w:firstLine="1304"/>
        <w:spacing w:after="0" w:line="293" w:lineRule="auto"/>
        <w:tabs>
          <w:tab w:leader="none" w:pos="1550" w:val="left"/>
        </w:tabs>
        <w:numPr>
          <w:ilvl w:val="2"/>
          <w:numId w:val="236"/>
        </w:numPr>
        <w:rPr>
          <w:rFonts w:ascii="Arial" w:cs="Arial" w:eastAsia="Arial" w:hAnsi="Arial"/>
          <w:sz w:val="16"/>
          <w:szCs w:val="16"/>
          <w:color w:val="auto"/>
        </w:rPr>
      </w:pPr>
      <w:r>
        <w:rPr>
          <w:rFonts w:ascii="Arial" w:cs="Arial" w:eastAsia="Arial" w:hAnsi="Arial"/>
          <w:sz w:val="16"/>
          <w:szCs w:val="16"/>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64" w:lineRule="exact"/>
        <w:rPr>
          <w:rFonts w:ascii="Arial" w:cs="Arial" w:eastAsia="Arial" w:hAnsi="Arial"/>
          <w:sz w:val="16"/>
          <w:szCs w:val="16"/>
          <w:color w:val="auto"/>
        </w:rPr>
      </w:pPr>
    </w:p>
    <w:p>
      <w:pPr>
        <w:jc w:val="both"/>
        <w:ind w:firstLine="1304"/>
        <w:spacing w:after="0" w:line="270" w:lineRule="auto"/>
        <w:tabs>
          <w:tab w:leader="none" w:pos="1559" w:val="left"/>
        </w:tabs>
        <w:numPr>
          <w:ilvl w:val="2"/>
          <w:numId w:val="236"/>
        </w:numPr>
        <w:rPr>
          <w:rFonts w:ascii="Arial" w:cs="Arial" w:eastAsia="Arial" w:hAnsi="Arial"/>
          <w:sz w:val="17"/>
          <w:szCs w:val="17"/>
          <w:color w:val="auto"/>
        </w:rPr>
      </w:pPr>
      <w:r>
        <w:rPr>
          <w:rFonts w:ascii="Arial" w:cs="Arial" w:eastAsia="Arial" w:hAnsi="Arial"/>
          <w:sz w:val="17"/>
          <w:szCs w:val="17"/>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80" w:lineRule="exact"/>
        <w:rPr>
          <w:rFonts w:ascii="Arial" w:cs="Arial" w:eastAsia="Arial" w:hAnsi="Arial"/>
          <w:sz w:val="17"/>
          <w:szCs w:val="17"/>
          <w:color w:val="auto"/>
        </w:rPr>
      </w:pPr>
    </w:p>
    <w:p>
      <w:pPr>
        <w:jc w:val="both"/>
        <w:ind w:firstLine="656"/>
        <w:spacing w:after="0" w:line="286" w:lineRule="auto"/>
        <w:tabs>
          <w:tab w:leader="none" w:pos="841"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Transfer of Subject Securities</w:t>
      </w:r>
      <w:r>
        <w:rPr>
          <w:rFonts w:ascii="Arial" w:cs="Arial" w:eastAsia="Arial" w:hAnsi="Arial"/>
          <w:sz w:val="16"/>
          <w:szCs w:val="16"/>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 (i) any option, warrant, purchase right, or other Contract that would (either alone or in connection with one or more events or developments (including the satisfaction or waiver of any conditions precedent)) require such Stockholder to Transfer the Subject Company Shares or</w:t>
      </w:r>
    </w:p>
    <w:p>
      <w:pPr>
        <w:spacing w:after="0" w:line="1" w:lineRule="exact"/>
        <w:rPr>
          <w:rFonts w:ascii="Arial" w:cs="Arial" w:eastAsia="Arial" w:hAnsi="Arial"/>
          <w:sz w:val="16"/>
          <w:szCs w:val="16"/>
          <w:color w:val="auto"/>
        </w:rPr>
      </w:pPr>
    </w:p>
    <w:p>
      <w:pPr>
        <w:jc w:val="both"/>
        <w:ind w:firstLine="8"/>
        <w:spacing w:after="0" w:line="253" w:lineRule="auto"/>
        <w:tabs>
          <w:tab w:leader="none" w:pos="27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Transfer</w:t>
      </w:r>
      <w:r>
        <w:rPr>
          <w:rFonts w:ascii="Arial" w:cs="Arial" w:eastAsia="Arial" w:hAnsi="Arial"/>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656"/>
        <w:spacing w:after="0" w:line="259" w:lineRule="auto"/>
        <w:tabs>
          <w:tab w:leader="none" w:pos="84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automatically terminate, without any notice or other action by any Party, and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86" w:lineRule="exact"/>
        <w:rPr>
          <w:rFonts w:ascii="Arial" w:cs="Arial" w:eastAsia="Arial" w:hAnsi="Arial"/>
          <w:sz w:val="18"/>
          <w:szCs w:val="18"/>
          <w:color w:val="auto"/>
        </w:rPr>
      </w:pPr>
    </w:p>
    <w:p>
      <w:pPr>
        <w:jc w:val="both"/>
        <w:ind w:firstLine="656"/>
        <w:spacing w:after="0" w:line="275" w:lineRule="auto"/>
        <w:tabs>
          <w:tab w:leader="none" w:pos="841"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76"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 FS Development Corp.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Jim Tananbaum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New York 10020-1095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Stockholder, to the address specified by such Stockholder in writing.</w:t>
      </w:r>
    </w:p>
    <w:p>
      <w:pPr>
        <w:spacing w:after="0" w:line="225" w:lineRule="exact"/>
        <w:rPr>
          <w:sz w:val="20"/>
          <w:szCs w:val="20"/>
          <w:color w:val="auto"/>
        </w:rPr>
      </w:pPr>
    </w:p>
    <w:p>
      <w:pPr>
        <w:jc w:val="center"/>
        <w:ind w:right="6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620"/>
        <w:spacing w:after="0"/>
        <w:tabs>
          <w:tab w:leader="none" w:pos="2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Mitchell S. Bloom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620"/>
        <w:spacing w:after="0"/>
        <w:tabs>
          <w:tab w:leader="none" w:pos="2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despinoza@goodwinlaw.com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color w:val="auto"/>
        </w:rPr>
        <w:t>or to such other address as the Party to whom notice is given may have previously furnished to the others in writing in the manner set forth above.</w:t>
      </w:r>
    </w:p>
    <w:p>
      <w:pPr>
        <w:spacing w:after="0" w:line="237" w:lineRule="exact"/>
        <w:rPr>
          <w:sz w:val="20"/>
          <w:szCs w:val="20"/>
          <w:color w:val="auto"/>
        </w:rPr>
      </w:pPr>
    </w:p>
    <w:p>
      <w:pPr>
        <w:jc w:val="both"/>
        <w:ind w:firstLine="656"/>
        <w:spacing w:after="0" w:line="286" w:lineRule="auto"/>
        <w:tabs>
          <w:tab w:leader="none" w:pos="828"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Amendments and Waivers; Assignment</w:t>
      </w:r>
      <w:r>
        <w:rPr>
          <w:rFonts w:ascii="Arial" w:cs="Arial" w:eastAsia="Arial" w:hAnsi="Arial"/>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83" w:lineRule="exact"/>
        <w:rPr>
          <w:rFonts w:ascii="Arial" w:cs="Arial" w:eastAsia="Arial" w:hAnsi="Arial"/>
          <w:sz w:val="18"/>
          <w:szCs w:val="18"/>
          <w:color w:val="auto"/>
        </w:rPr>
      </w:pPr>
    </w:p>
    <w:p>
      <w:pPr>
        <w:jc w:val="both"/>
        <w:ind w:firstLine="656"/>
        <w:spacing w:after="0" w:line="269" w:lineRule="auto"/>
        <w:tabs>
          <w:tab w:leader="none" w:pos="925"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5" w:lineRule="exact"/>
        <w:rPr>
          <w:rFonts w:ascii="Arial" w:cs="Arial" w:eastAsia="Arial" w:hAnsi="Arial"/>
          <w:sz w:val="17"/>
          <w:szCs w:val="17"/>
          <w:color w:val="auto"/>
        </w:rPr>
      </w:pPr>
    </w:p>
    <w:p>
      <w:pPr>
        <w:jc w:val="both"/>
        <w:ind w:firstLine="656"/>
        <w:spacing w:after="0" w:line="259" w:lineRule="auto"/>
        <w:tabs>
          <w:tab w:leader="none" w:pos="918"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86"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color w:val="auto"/>
        </w:rPr>
        <w:t>IN WITNESS WHEREOF, the Parties have executed and delivered this Company Support Agreement as of the date first above written.</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Jim Tananbaum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5" w:name="page246"/>
    <w:bookmarkEnd w:id="245"/>
    <w:p>
      <w:pPr>
        <w:ind w:left="5620"/>
        <w:spacing w:after="0"/>
        <w:rPr>
          <w:sz w:val="20"/>
          <w:szCs w:val="20"/>
          <w:color w:val="auto"/>
        </w:rPr>
      </w:pPr>
      <w:r>
        <w:rPr>
          <w:rFonts w:ascii="Arial" w:cs="Arial" w:eastAsia="Arial" w:hAnsi="Arial"/>
          <w:sz w:val="18"/>
          <w:szCs w:val="18"/>
          <w:b w:val="1"/>
          <w:bCs w:val="1"/>
          <w:color w:val="auto"/>
        </w:rPr>
        <w:t>LIGHTSTONE VENTURES,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M. George</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Jean M. George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LIGHTSTONE VENTURES (A),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M. George</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Jean M. George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LIGHTSTONE SINGAPORE,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LSV Associates,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M. George</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Jean M. George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6" w:name="page247"/>
    <w:bookmarkEnd w:id="246"/>
    <w:p>
      <w:pPr>
        <w:ind w:left="5640"/>
        <w:spacing w:after="0"/>
        <w:rPr>
          <w:sz w:val="20"/>
          <w:szCs w:val="20"/>
          <w:color w:val="auto"/>
        </w:rPr>
      </w:pPr>
      <w:r>
        <w:rPr>
          <w:rFonts w:ascii="Arial" w:cs="Arial" w:eastAsia="Arial" w:hAnsi="Arial"/>
          <w:sz w:val="18"/>
          <w:szCs w:val="18"/>
          <w:b w:val="1"/>
          <w:bCs w:val="1"/>
          <w:color w:val="auto"/>
        </w:rPr>
        <w:t>ORBIMED PRIVATE INVESTMENTS VI,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Capital GP VI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Managing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Carl Gordon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0"/>
          </w:cols>
          <w:pgMar w:left="1440" w:top="904" w:right="1139" w:bottom="1440" w:gutter="0" w:footer="0" w:header="0"/>
        </w:sectPr>
      </w:pPr>
    </w:p>
    <w:bookmarkStart w:id="247" w:name="page248"/>
    <w:bookmarkEnd w:id="247"/>
    <w:p>
      <w:pPr>
        <w:ind w:left="5620"/>
        <w:spacing w:after="0"/>
        <w:rPr>
          <w:sz w:val="20"/>
          <w:szCs w:val="20"/>
          <w:color w:val="auto"/>
        </w:rPr>
      </w:pPr>
      <w:r>
        <w:rPr>
          <w:rFonts w:ascii="Arial" w:cs="Arial" w:eastAsia="Arial" w:hAnsi="Arial"/>
          <w:sz w:val="18"/>
          <w:szCs w:val="18"/>
          <w:b w:val="1"/>
          <w:bCs w:val="1"/>
          <w:color w:val="auto"/>
        </w:rPr>
        <w:t>ATLAS VENTURE FUND X,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Atlas Venture Associates X, L.P.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Atlas Venture Associates X, LLC</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Ommer Chohan</w:t>
      </w:r>
    </w:p>
    <w:p>
      <w:pPr>
        <w:spacing w:after="0" w:line="36"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8" w:name="page249"/>
    <w:bookmarkEnd w:id="248"/>
    <w:p>
      <w:pPr>
        <w:ind w:left="5640"/>
        <w:spacing w:after="0"/>
        <w:rPr>
          <w:sz w:val="20"/>
          <w:szCs w:val="20"/>
          <w:color w:val="auto"/>
        </w:rPr>
      </w:pPr>
      <w:r>
        <w:rPr>
          <w:rFonts w:ascii="Arial" w:cs="Arial" w:eastAsia="Arial" w:hAnsi="Arial"/>
          <w:sz w:val="18"/>
          <w:szCs w:val="18"/>
          <w:b w:val="1"/>
          <w:bCs w:val="1"/>
          <w:color w:val="auto"/>
        </w:rPr>
        <w:t>WU CAPITAL INVESTMENT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Wu Capital Investment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Director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Hannah Chang</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Hannah Chang, M.D.,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 Page to Company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82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Principal amount</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Series A</w:t>
            </w:r>
          </w:p>
        </w:tc>
        <w:tc>
          <w:tcPr>
            <w:tcW w:w="1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Number of Series 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Convertible</w:t>
            </w:r>
          </w:p>
        </w:tc>
      </w:tr>
      <w:tr>
        <w:trPr>
          <w:trHeight w:val="241"/>
        </w:trPr>
        <w:tc>
          <w:tcPr>
            <w:tcW w:w="5080" w:type="dxa"/>
            <w:vAlign w:val="bottom"/>
          </w:tcPr>
          <w:p>
            <w:pPr>
              <w:spacing w:after="0"/>
              <w:rPr>
                <w:sz w:val="20"/>
                <w:szCs w:val="20"/>
                <w:color w:val="auto"/>
              </w:rPr>
            </w:pPr>
            <w:r>
              <w:rPr>
                <w:rFonts w:ascii="Arial" w:cs="Arial" w:eastAsia="Arial" w:hAnsi="Arial"/>
                <w:sz w:val="18"/>
                <w:szCs w:val="18"/>
                <w:b w:val="1"/>
                <w:bCs w:val="1"/>
                <w:color w:val="auto"/>
              </w:rPr>
              <w:t>Name of Stockholder</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Preferred Stock</w:t>
            </w:r>
          </w:p>
        </w:tc>
        <w:tc>
          <w:tcPr>
            <w:tcW w:w="12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Preferred Stock</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Note</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Lightstone Ventures, L.P.</w:t>
            </w: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11,653,137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976,931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Lightstone Ventures (A), L.P.</w:t>
            </w:r>
          </w:p>
        </w:tc>
        <w:tc>
          <w:tcPr>
            <w:tcW w:w="2820" w:type="dxa"/>
            <w:vAlign w:val="bottom"/>
            <w:gridSpan w:val="5"/>
          </w:tcPr>
          <w:p>
            <w:pPr>
              <w:jc w:val="right"/>
              <w:ind w:right="100"/>
              <w:spacing w:after="0"/>
              <w:rPr>
                <w:sz w:val="20"/>
                <w:szCs w:val="20"/>
                <w:color w:val="auto"/>
              </w:rPr>
            </w:pPr>
            <w:r>
              <w:rPr>
                <w:rFonts w:ascii="Arial" w:cs="Arial" w:eastAsia="Arial" w:hAnsi="Arial"/>
                <w:sz w:val="18"/>
                <w:szCs w:val="18"/>
                <w:color w:val="auto"/>
              </w:rPr>
              <w:t>1,587,559</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133,112</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Lightstone Singapore L.P.</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3,700,139</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OrbiMed Private Investments VI, L.P.</w:t>
            </w:r>
          </w:p>
        </w:tc>
        <w:tc>
          <w:tcPr>
            <w:tcW w:w="2820" w:type="dxa"/>
            <w:vAlign w:val="bottom"/>
            <w:gridSpan w:val="5"/>
          </w:tcPr>
          <w:p>
            <w:pPr>
              <w:jc w:val="right"/>
              <w:ind w:right="100"/>
              <w:spacing w:after="0"/>
              <w:rPr>
                <w:sz w:val="20"/>
                <w:szCs w:val="20"/>
                <w:color w:val="auto"/>
              </w:rPr>
            </w:pPr>
            <w:r>
              <w:rPr>
                <w:rFonts w:ascii="Arial" w:cs="Arial" w:eastAsia="Arial" w:hAnsi="Arial"/>
                <w:sz w:val="18"/>
                <w:szCs w:val="18"/>
                <w:color w:val="auto"/>
              </w:rPr>
              <w:t>13,240,696</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7,400,280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4,887,000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2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13,240,696</w:t>
            </w:r>
          </w:p>
        </w:tc>
        <w:tc>
          <w:tcPr>
            <w:tcW w:w="1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5,180,196</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4,361,000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Wu Capital Investment LLC</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7,400,280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1,752,000</w:t>
            </w:r>
          </w:p>
        </w:tc>
      </w:tr>
      <w:tr>
        <w:trPr>
          <w:trHeight w:val="668"/>
        </w:trPr>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50" w:name="page251"/>
    <w:bookmarkEnd w:id="250"/>
    <w:p>
      <w:pPr>
        <w:jc w:val="center"/>
        <w:ind w:right="312"/>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9" w:lineRule="exact"/>
        <w:rPr>
          <w:sz w:val="20"/>
          <w:szCs w:val="20"/>
          <w:color w:val="auto"/>
        </w:rPr>
      </w:pPr>
    </w:p>
    <w:p>
      <w:pPr>
        <w:ind w:left="328" w:hanging="328"/>
        <w:spacing w:after="0" w:line="277" w:lineRule="auto"/>
        <w:tabs>
          <w:tab w:leader="none" w:pos="32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70" w:lineRule="exact"/>
        <w:rPr>
          <w:rFonts w:ascii="Arial" w:cs="Arial" w:eastAsia="Arial" w:hAnsi="Arial"/>
          <w:sz w:val="18"/>
          <w:szCs w:val="18"/>
          <w:color w:val="auto"/>
        </w:rPr>
      </w:pPr>
    </w:p>
    <w:p>
      <w:pPr>
        <w:ind w:left="328" w:right="60" w:hanging="328"/>
        <w:spacing w:after="0" w:line="277" w:lineRule="auto"/>
        <w:tabs>
          <w:tab w:leader="none" w:pos="32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Amended and Restated Investors’ Rights Agreement, dated as of September 26, 2019,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485140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SUPPORT AGREEMENT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This PARENT SUPPORT AGREEMENT, dated as of October 15,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FS Development Corp.,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Gemini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FS Development Holdings,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and each of the stockholders of Parent whose names appear on the signature pages of this Agreement (each, a “</w:t>
      </w:r>
      <w:r>
        <w:rPr>
          <w:rFonts w:ascii="Arial" w:cs="Arial" w:eastAsia="Arial" w:hAnsi="Arial"/>
          <w:sz w:val="18"/>
          <w:szCs w:val="18"/>
          <w:u w:val="single" w:color="auto"/>
          <w:color w:val="auto"/>
        </w:rPr>
        <w:t>Founder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Founders</w:t>
      </w:r>
      <w:r>
        <w:rPr>
          <w:rFonts w:ascii="Arial" w:cs="Arial" w:eastAsia="Arial" w:hAnsi="Arial"/>
          <w:sz w:val="18"/>
          <w:szCs w:val="18"/>
          <w:color w:val="auto"/>
        </w:rPr>
        <w:t>”). Capitalized terms used herein and not otherwise defined will have the meaning given such terms in the Merger Agreement (as defined below).</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WHEREAS, concurrently herewith, Parent,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FS Development Holdings,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WHEREAS, as of the date hereof, each Founder owns of record the number of Parent Class A Shares and Parent Class B Shares as set forth opposite such Founder’s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 and</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in order to induce Parent and the Company to enter into the Merger Agreement, the Founders are executing and delivering this Agreement to Parent and the Company.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170" w:lineRule="exact"/>
        <w:rPr>
          <w:sz w:val="20"/>
          <w:szCs w:val="20"/>
          <w:color w:val="auto"/>
        </w:rPr>
      </w:pPr>
    </w:p>
    <w:p>
      <w:pPr>
        <w:jc w:val="both"/>
        <w:ind w:firstLine="1304"/>
        <w:spacing w:after="0" w:line="255" w:lineRule="auto"/>
        <w:tabs>
          <w:tab w:leader="none" w:pos="157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both"/>
        <w:ind w:firstLine="1304"/>
        <w:spacing w:after="0" w:line="254" w:lineRule="auto"/>
        <w:tabs>
          <w:tab w:leader="none" w:pos="152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54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Waiver of Anti-Dilution Provision</w:t>
      </w:r>
      <w:r>
        <w:rPr>
          <w:rFonts w:ascii="Arial" w:cs="Arial" w:eastAsia="Arial" w:hAnsi="Arial"/>
          <w:sz w:val="17"/>
          <w:szCs w:val="17"/>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xml:space="preserve">”), the provisions of Section 4.3(b)(i) of the Certificate of Incorporation to have the Parent Class B Shares convert to Parent Class A Shares at a ratio of greater than one-for-one. The waiver specified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77" w:lineRule="exact"/>
        <w:rPr>
          <w:rFonts w:ascii="Arial" w:cs="Arial" w:eastAsia="Arial" w:hAnsi="Arial"/>
          <w:sz w:val="17"/>
          <w:szCs w:val="17"/>
          <w:color w:val="auto"/>
        </w:rPr>
      </w:pPr>
    </w:p>
    <w:p>
      <w:pPr>
        <w:jc w:val="both"/>
        <w:ind w:firstLine="1304"/>
        <w:spacing w:after="0" w:line="279" w:lineRule="auto"/>
        <w:tabs>
          <w:tab w:leader="none" w:pos="154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Unpaid Parent Liabilities</w:t>
      </w:r>
      <w:r>
        <w:rPr>
          <w:rFonts w:ascii="Arial" w:cs="Arial" w:eastAsia="Arial" w:hAnsi="Arial"/>
          <w:sz w:val="17"/>
          <w:szCs w:val="17"/>
          <w:color w:val="auto"/>
        </w:rPr>
        <w:t>. Sponsor agrees that in the event the Unpaid Parent Liabilities as of immediately prior to the Closing are greater than the $11,500,000 (the “</w:t>
      </w:r>
      <w:r>
        <w:rPr>
          <w:rFonts w:ascii="Arial" w:cs="Arial" w:eastAsia="Arial" w:hAnsi="Arial"/>
          <w:sz w:val="17"/>
          <w:szCs w:val="17"/>
          <w:u w:val="single" w:color="auto"/>
          <w:color w:val="auto"/>
        </w:rPr>
        <w:t>Maximum Liability Amount</w:t>
      </w:r>
      <w:r>
        <w:rPr>
          <w:rFonts w:ascii="Arial" w:cs="Arial" w:eastAsia="Arial" w:hAnsi="Arial"/>
          <w:sz w:val="17"/>
          <w:szCs w:val="17"/>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71" w:lineRule="exact"/>
        <w:rPr>
          <w:rFonts w:ascii="Arial" w:cs="Arial" w:eastAsia="Arial" w:hAnsi="Arial"/>
          <w:sz w:val="17"/>
          <w:szCs w:val="17"/>
          <w:color w:val="auto"/>
        </w:rPr>
      </w:pPr>
    </w:p>
    <w:p>
      <w:pPr>
        <w:ind w:left="1520" w:hanging="216"/>
        <w:spacing w:after="0"/>
        <w:tabs>
          <w:tab w:leader="none" w:pos="152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Founder, severally and not jointly, represents and warrants to the Company as follows:</w:t>
      </w:r>
    </w:p>
    <w:p>
      <w:pPr>
        <w:spacing w:after="0" w:line="237" w:lineRule="exact"/>
        <w:rPr>
          <w:sz w:val="20"/>
          <w:szCs w:val="20"/>
          <w:color w:val="auto"/>
        </w:rPr>
      </w:pPr>
    </w:p>
    <w:p>
      <w:pPr>
        <w:jc w:val="both"/>
        <w:ind w:firstLine="1304"/>
        <w:spacing w:after="0" w:line="255" w:lineRule="auto"/>
        <w:tabs>
          <w:tab w:leader="none" w:pos="15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of such Founder) or (iv) conflict with or result in a breach of or constitute a default under any provision of such Founder’s Organizational Documents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5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Such Founder owns of record and has good, valid and marketable title to the Shares set forth opposite the Founder’s name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firstLine="1304"/>
        <w:spacing w:after="0" w:line="277" w:lineRule="auto"/>
        <w:tabs>
          <w:tab w:leader="none" w:pos="154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Such Founder has the power, authority and capacity to execute, deliver and perform this Agreement and that this Agreement has been duly authorized, executed and delivered by such Founder.</w:t>
      </w:r>
    </w:p>
    <w:p>
      <w:pPr>
        <w:spacing w:after="0" w:line="170" w:lineRule="exact"/>
        <w:rPr>
          <w:sz w:val="20"/>
          <w:szCs w:val="20"/>
          <w:color w:val="auto"/>
        </w:rPr>
      </w:pPr>
    </w:p>
    <w:p>
      <w:pPr>
        <w:jc w:val="both"/>
        <w:ind w:firstLine="1304"/>
        <w:spacing w:after="0" w:line="257" w:lineRule="auto"/>
        <w:tabs>
          <w:tab w:leader="none" w:pos="1561"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4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7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Gemini Therapeutics,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One Kendall Square, 3rd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Jason Meyenburg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Mitchell S. Bloom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Jocelyn M. Arel</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Laurie A. Burlingame</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Daniel J. Espinoza</w:t>
      </w:r>
    </w:p>
    <w:p>
      <w:pPr>
        <w:spacing w:after="0" w:line="9"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mbloom@goodwinlaw.com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jarel@goodwinlaw.com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lburlingame@goodwinlaw.com</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despinoza@goodwinlaw.com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Joel L. Rubinstein,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to a Founder, to the address or facsimile number set forth for Founder on the signature page hereof.</w:t>
      </w:r>
    </w:p>
    <w:p>
      <w:pPr>
        <w:spacing w:after="0" w:line="225" w:lineRule="exact"/>
        <w:rPr>
          <w:sz w:val="20"/>
          <w:szCs w:val="20"/>
          <w:color w:val="auto"/>
        </w:rPr>
      </w:pPr>
    </w:p>
    <w:p>
      <w:pPr>
        <w:jc w:val="both"/>
        <w:ind w:firstLine="656"/>
        <w:spacing w:after="0" w:line="255" w:lineRule="auto"/>
        <w:tabs>
          <w:tab w:leader="none" w:pos="8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rFonts w:ascii="Arial" w:cs="Arial" w:eastAsia="Arial" w:hAnsi="Arial"/>
          <w:sz w:val="18"/>
          <w:szCs w:val="18"/>
          <w:color w:val="auto"/>
        </w:rPr>
      </w:pPr>
    </w:p>
    <w:p>
      <w:pPr>
        <w:jc w:val="both"/>
        <w:ind w:firstLine="656"/>
        <w:spacing w:after="0" w:line="286" w:lineRule="auto"/>
        <w:tabs>
          <w:tab w:leader="none" w:pos="91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jc w:val="both"/>
        <w:ind w:firstLine="656"/>
        <w:spacing w:after="0" w:line="263" w:lineRule="auto"/>
        <w:tabs>
          <w:tab w:leader="none" w:pos="89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83" w:lineRule="exact"/>
        <w:rPr>
          <w:rFonts w:ascii="Arial" w:cs="Arial" w:eastAsia="Arial" w:hAnsi="Arial"/>
          <w:sz w:val="18"/>
          <w:szCs w:val="18"/>
          <w:color w:val="auto"/>
        </w:rPr>
      </w:pPr>
    </w:p>
    <w:p>
      <w:pPr>
        <w:ind w:firstLine="656"/>
        <w:spacing w:after="0" w:line="342" w:lineRule="auto"/>
        <w:tabs>
          <w:tab w:leader="none" w:pos="87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23" w:lineRule="exact"/>
        <w:rPr>
          <w:rFonts w:ascii="Arial" w:cs="Arial" w:eastAsia="Arial" w:hAnsi="Arial"/>
          <w:sz w:val="16"/>
          <w:szCs w:val="16"/>
          <w:color w:val="auto"/>
        </w:rPr>
      </w:pPr>
    </w:p>
    <w:p>
      <w:pPr>
        <w:jc w:val="both"/>
        <w:ind w:firstLine="656"/>
        <w:spacing w:after="0" w:line="272" w:lineRule="auto"/>
        <w:tabs>
          <w:tab w:leader="none" w:pos="90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3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This Agreement shall not be effective or binding upon the Company, Sponsor or any Founder until such time as the Merger Agreement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executed.</w:t>
      </w:r>
    </w:p>
    <w:p>
      <w:pPr>
        <w:spacing w:after="0" w:line="206" w:lineRule="exact"/>
        <w:rPr>
          <w:rFonts w:ascii="Arial" w:cs="Arial" w:eastAsia="Arial" w:hAnsi="Arial"/>
          <w:sz w:val="17"/>
          <w:szCs w:val="17"/>
          <w:color w:val="auto"/>
        </w:rPr>
      </w:pPr>
    </w:p>
    <w:p>
      <w:pPr>
        <w:jc w:val="both"/>
        <w:ind w:firstLine="656"/>
        <w:spacing w:after="0" w:line="256" w:lineRule="auto"/>
        <w:tabs>
          <w:tab w:leader="none" w:pos="903"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FOUNDERS:</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tbl>
      <w:tblPr>
        <w:tblLayout w:type="fixed"/>
        <w:tblInd w:w="610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Jim Tananbaum</w:t>
            </w:r>
          </w:p>
        </w:tc>
      </w:tr>
      <w:tr>
        <w:trPr>
          <w:trHeight w:val="202"/>
        </w:trPr>
        <w:tc>
          <w:tcPr>
            <w:tcW w:w="44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320" w:type="dxa"/>
            <w:vAlign w:val="bottom"/>
          </w:tcPr>
          <w:p>
            <w:pPr>
              <w:ind w:left="60"/>
              <w:spacing w:after="0" w:line="201" w:lineRule="exact"/>
              <w:rPr>
                <w:sz w:val="20"/>
                <w:szCs w:val="20"/>
                <w:color w:val="auto"/>
              </w:rPr>
            </w:pPr>
            <w:r>
              <w:rPr>
                <w:rFonts w:ascii="Arial" w:cs="Arial" w:eastAsia="Arial" w:hAnsi="Arial"/>
                <w:sz w:val="18"/>
                <w:szCs w:val="18"/>
                <w:color w:val="auto"/>
              </w:rPr>
              <w:t>Jim Tananbaum</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8"/>
              </w:rPr>
              <w:t>Address:</w:t>
            </w:r>
          </w:p>
        </w:tc>
        <w:tc>
          <w:tcPr>
            <w:tcW w:w="3320" w:type="dxa"/>
            <w:vAlign w:val="bottom"/>
          </w:tcPr>
          <w:p>
            <w:pPr>
              <w:ind w:left="60"/>
              <w:spacing w:after="0"/>
              <w:rPr>
                <w:sz w:val="20"/>
                <w:szCs w:val="20"/>
                <w:color w:val="auto"/>
              </w:rPr>
            </w:pPr>
            <w:r>
              <w:rPr>
                <w:rFonts w:ascii="Arial" w:cs="Arial" w:eastAsia="Arial" w:hAnsi="Arial"/>
                <w:sz w:val="18"/>
                <w:szCs w:val="18"/>
                <w:color w:val="auto"/>
                <w:w w:val="93"/>
              </w:rPr>
              <w:t>600 Montgomery Street 4500, SF, CA 9411</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Robert Carey</w:t>
            </w:r>
          </w:p>
        </w:tc>
        <w:tc>
          <w:tcPr>
            <w:tcW w:w="3320" w:type="dxa"/>
            <w:vAlign w:val="bottom"/>
          </w:tcPr>
          <w:p>
            <w:pPr>
              <w:spacing w:after="0"/>
              <w:rPr>
                <w:sz w:val="24"/>
                <w:szCs w:val="24"/>
                <w:color w:val="auto"/>
              </w:rPr>
            </w:pP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Carey</w:t>
            </w:r>
          </w:p>
        </w:tc>
      </w:t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8"/>
              </w:rPr>
              <w:t>Address:</w:t>
            </w:r>
          </w:p>
        </w:tc>
        <w:tc>
          <w:tcPr>
            <w:tcW w:w="3320" w:type="dxa"/>
            <w:vAlign w:val="bottom"/>
          </w:tcPr>
          <w:p>
            <w:pPr>
              <w:ind w:left="60"/>
              <w:spacing w:after="0"/>
              <w:rPr>
                <w:sz w:val="20"/>
                <w:szCs w:val="20"/>
                <w:color w:val="auto"/>
              </w:rPr>
            </w:pPr>
            <w:r>
              <w:rPr>
                <w:rFonts w:ascii="Arial" w:cs="Arial" w:eastAsia="Arial" w:hAnsi="Arial"/>
                <w:sz w:val="18"/>
                <w:szCs w:val="18"/>
                <w:color w:val="auto"/>
              </w:rPr>
              <w:t>347 McHenry St., Park City, UT 84060</w:t>
            </w:r>
          </w:p>
        </w:tc>
      </w:tr>
    </w:tbl>
    <w:p>
      <w:pPr>
        <w:spacing w:after="0" w:line="18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Daniel Dubin</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3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56 Radcliffe Rd. Weston, MA 02493</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Deepa Pakianathan</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jc w:val="right"/>
        <w:ind w:right="80"/>
        <w:spacing w:after="0"/>
        <w:tabs>
          <w:tab w:leader="none" w:pos="32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145 Fallen leaf Dr, Hillsborough, CA 94010</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346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r>
      <w:tr>
        <w:trPr>
          <w:trHeight w:val="412"/>
        </w:trPr>
        <w:tc>
          <w:tcPr>
            <w:tcW w:w="4960" w:type="dxa"/>
            <w:vAlign w:val="bottom"/>
          </w:tcPr>
          <w:p>
            <w:pPr>
              <w:spacing w:after="0"/>
              <w:rPr>
                <w:sz w:val="24"/>
                <w:szCs w:val="24"/>
                <w:color w:val="auto"/>
              </w:rPr>
            </w:pPr>
          </w:p>
        </w:tc>
        <w:tc>
          <w:tcPr>
            <w:tcW w:w="4600" w:type="dxa"/>
            <w:vAlign w:val="bottom"/>
            <w:gridSpan w:val="7"/>
          </w:tcPr>
          <w:p>
            <w:pPr>
              <w:jc w:val="center"/>
              <w:ind w:right="3260"/>
              <w:spacing w:after="0"/>
              <w:rPr>
                <w:sz w:val="20"/>
                <w:szCs w:val="20"/>
                <w:color w:val="auto"/>
              </w:rPr>
            </w:pPr>
            <w:r>
              <w:rPr>
                <w:rFonts w:ascii="Arial" w:cs="Arial" w:eastAsia="Arial" w:hAnsi="Arial"/>
                <w:sz w:val="18"/>
                <w:szCs w:val="18"/>
                <w:color w:val="auto"/>
                <w:w w:val="94"/>
              </w:rPr>
              <w:t>THE FOUNDERS</w:t>
            </w:r>
          </w:p>
        </w:tc>
        <w:tc>
          <w:tcPr>
            <w:tcW w:w="1680" w:type="dxa"/>
            <w:vAlign w:val="bottom"/>
          </w:tcPr>
          <w:p>
            <w:pPr>
              <w:spacing w:after="0"/>
              <w:rPr>
                <w:sz w:val="24"/>
                <w:szCs w:val="24"/>
                <w:color w:val="auto"/>
              </w:rPr>
            </w:pPr>
          </w:p>
        </w:tc>
      </w:tr>
      <w:tr>
        <w:trPr>
          <w:trHeight w:val="434"/>
        </w:trPr>
        <w:tc>
          <w:tcPr>
            <w:tcW w:w="4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of Parent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of Parent</w:t>
            </w: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Class A 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Class B Common</w:t>
            </w:r>
          </w:p>
        </w:tc>
      </w:tr>
      <w:tr>
        <w:trPr>
          <w:trHeight w:val="241"/>
        </w:trPr>
        <w:tc>
          <w:tcPr>
            <w:tcW w:w="4960" w:type="dxa"/>
            <w:vAlign w:val="bottom"/>
          </w:tcPr>
          <w:p>
            <w:pPr>
              <w:spacing w:after="0"/>
              <w:rPr>
                <w:sz w:val="20"/>
                <w:szCs w:val="20"/>
                <w:color w:val="auto"/>
              </w:rPr>
            </w:pPr>
            <w:r>
              <w:rPr>
                <w:rFonts w:ascii="Arial" w:cs="Arial" w:eastAsia="Arial" w:hAnsi="Arial"/>
                <w:sz w:val="18"/>
                <w:szCs w:val="18"/>
                <w:b w:val="1"/>
                <w:bCs w:val="1"/>
                <w:color w:val="auto"/>
              </w:rPr>
              <w:t>Founder</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FS Development Holdings, LLC</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441,500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2,928,750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Robert Carey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Daniel Dubin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Deepa Pakianathan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641"/>
        </w:trPr>
        <w:tc>
          <w:tcPr>
            <w:tcW w:w="4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1)"/>
      <w:numFmt w:val="lowerLetter"/>
      <w:start w:val="1"/>
    </w:lvl>
  </w:abstractNum>
  <w:abstractNum w:abstractNumId="6">
    <w:nsid w:val="5046B5A9"/>
    <w:multiLevelType w:val="hybridMultilevel"/>
    <w:lvl w:ilvl="0">
      <w:lvlJc w:val="left"/>
      <w:lvlText w:val="%1"/>
      <w:numFmt w:val="lowerLetter"/>
      <w:start w:val="1"/>
    </w:lvl>
    <w:lvl w:ilvl="1">
      <w:lvlJc w:val="left"/>
      <w:lvlText w:val="(%2)"/>
      <w:numFmt w:val="lowerLetter"/>
      <w:start w:val="1"/>
    </w:lvl>
  </w:abstractNum>
  <w:abstractNum w:abstractNumId="7">
    <w:nsid w:val="5D888A08"/>
    <w:multiLevelType w:val="hybridMultilevel"/>
    <w:lvl w:ilvl="0">
      <w:lvlJc w:val="left"/>
      <w:lvlText w:val="(%1)"/>
      <w:numFmt w:val="lowerLetter"/>
      <w:start w:val="9"/>
    </w:lvl>
    <w:lvl w:ilvl="1">
      <w:lvlJc w:val="left"/>
      <w:lvlText w:val="%2"/>
      <w:numFmt w:val="lowerLetter"/>
      <w:start w:val="1"/>
    </w:lvl>
  </w:abstractNum>
  <w:abstractNum w:abstractNumId="8">
    <w:nsid w:val="2A082C70"/>
    <w:multiLevelType w:val="hybridMultilevel"/>
    <w:lvl w:ilvl="0">
      <w:lvlJc w:val="left"/>
      <w:lvlText w:val="(%1)"/>
      <w:numFmt w:val="lowerLetter"/>
      <w:start w:val="1"/>
    </w:lvl>
  </w:abstractNum>
  <w:abstractNum w:abstractNumId="9">
    <w:nsid w:val="5EC6AFD4"/>
    <w:multiLevelType w:val="hybridMultilevel"/>
    <w:lvl w:ilvl="0">
      <w:lvlJc w:val="left"/>
      <w:lvlText w:val="(%1)"/>
      <w:numFmt w:val="lowerLetter"/>
      <w:start w:val="3"/>
    </w:lvl>
  </w:abstractNum>
  <w:abstractNum w:abstractNumId="10">
    <w:nsid w:val="19E21BB2"/>
    <w:multiLevelType w:val="hybridMultilevel"/>
    <w:lvl w:ilvl="0">
      <w:lvlJc w:val="left"/>
      <w:lvlText w:val="(%1)"/>
      <w:numFmt w:val="lowerLetter"/>
      <w:start w:val="10"/>
    </w:lvl>
  </w:abstractNum>
  <w:abstractNum w:abstractNumId="11">
    <w:nsid w:val="75E0858A"/>
    <w:multiLevelType w:val="hybridMultilevel"/>
    <w:lvl w:ilvl="0">
      <w:lvlJc w:val="left"/>
      <w:lvlText w:val="(%1)"/>
      <w:numFmt w:val="lowerLetter"/>
      <w:start w:val="1"/>
    </w:lvl>
  </w:abstractNum>
  <w:abstractNum w:abstractNumId="12">
    <w:nsid w:val="57A61A29"/>
    <w:multiLevelType w:val="hybridMultilevel"/>
    <w:lvl w:ilvl="0">
      <w:lvlJc w:val="left"/>
      <w:lvlText w:val="%1"/>
      <w:numFmt w:val="lowerLetter"/>
      <w:start w:val="1"/>
    </w:lvl>
    <w:lvl w:ilvl="1">
      <w:lvlJc w:val="left"/>
      <w:lvlText w:val="(%2)"/>
      <w:numFmt w:val="lowerLetter"/>
      <w:start w:val="1"/>
    </w:lvl>
  </w:abstractNum>
  <w:abstractNum w:abstractNumId="13">
    <w:nsid w:val="5399C654"/>
    <w:multiLevelType w:val="hybridMultilevel"/>
    <w:lvl w:ilvl="0">
      <w:lvlJc w:val="left"/>
      <w:lvlText w:val="(%1)"/>
      <w:numFmt w:val="lowerLetter"/>
      <w:start w:val="9"/>
    </w:lvl>
    <w:lvl w:ilvl="1">
      <w:lvlJc w:val="left"/>
      <w:lvlText w:val="%2"/>
      <w:numFmt w:val="lowerLetter"/>
      <w:start w:val="1"/>
    </w:lvl>
  </w:abstractNum>
  <w:abstractNum w:abstractNumId="14">
    <w:nsid w:val="20EE1348"/>
    <w:multiLevelType w:val="hybridMultilevel"/>
    <w:lvl w:ilvl="0">
      <w:lvlJc w:val="left"/>
      <w:lvlText w:val="(%1)"/>
      <w:numFmt w:val="lowerLetter"/>
      <w:start w:val="3"/>
    </w:lvl>
  </w:abstractNum>
  <w:abstractNum w:abstractNumId="15">
    <w:nsid w:val="4427069A"/>
    <w:multiLevelType w:val="hybridMultilevel"/>
    <w:lvl w:ilvl="0">
      <w:lvlJc w:val="left"/>
      <w:lvlText w:val="(%1)"/>
      <w:numFmt w:val="lowerLetter"/>
      <w:start w:val="1"/>
    </w:lvl>
  </w:abstractNum>
  <w:abstractNum w:abstractNumId="16">
    <w:nsid w:val="B37E80A"/>
    <w:multiLevelType w:val="hybridMultilevel"/>
    <w:lvl w:ilvl="0">
      <w:lvlJc w:val="left"/>
      <w:lvlText w:val="(%1)"/>
      <w:numFmt w:val="lowerLetter"/>
      <w:start w:val="2"/>
    </w:lvl>
  </w:abstractNum>
  <w:abstractNum w:abstractNumId="17">
    <w:nsid w:val="2157F6BC"/>
    <w:multiLevelType w:val="hybridMultilevel"/>
    <w:lvl w:ilvl="0">
      <w:lvlJc w:val="left"/>
      <w:lvlText w:val="(%1)"/>
      <w:numFmt w:val="lowerLetter"/>
      <w:start w:val="1"/>
    </w:lvl>
  </w:abstractNum>
  <w:abstractNum w:abstractNumId="18">
    <w:nsid w:val="704E1DD5"/>
    <w:multiLevelType w:val="hybridMultilevel"/>
    <w:lvl w:ilvl="0">
      <w:lvlJc w:val="left"/>
      <w:lvlText w:val="(%1)"/>
      <w:numFmt w:val="lowerLetter"/>
      <w:start w:val="1"/>
    </w:lvl>
    <w:lvl w:ilvl="1">
      <w:lvlJc w:val="left"/>
      <w:lvlText w:val="(%2)"/>
      <w:numFmt w:val="lowerRoman"/>
      <w:start w:val="1"/>
    </w:lvl>
  </w:abstractNum>
  <w:abstractNum w:abstractNumId="19">
    <w:nsid w:val="57D2F10E"/>
    <w:multiLevelType w:val="hybridMultilevel"/>
    <w:lvl w:ilvl="0">
      <w:lvlJc w:val="left"/>
      <w:lvlText w:val="%1"/>
      <w:numFmt w:val="lowerLetter"/>
      <w:start w:val="1"/>
    </w:lvl>
    <w:lvl w:ilvl="1">
      <w:lvlJc w:val="left"/>
      <w:lvlText w:val="(%2)"/>
      <w:numFmt w:val="lowerRoman"/>
      <w:start w:val="8"/>
    </w:lvl>
  </w:abstractNum>
  <w:abstractNum w:abstractNumId="20">
    <w:nsid w:val="BFFAE18"/>
    <w:multiLevelType w:val="hybridMultilevel"/>
    <w:lvl w:ilvl="0">
      <w:lvlJc w:val="left"/>
      <w:lvlText w:val="(%1)"/>
      <w:numFmt w:val="lowerLetter"/>
      <w:start w:val="2"/>
    </w:lvl>
    <w:lvl w:ilvl="1">
      <w:lvlJc w:val="left"/>
      <w:lvlText w:val="%2"/>
      <w:numFmt w:val="lowerRoman"/>
      <w:start w:val="1"/>
    </w:lvl>
  </w:abstractNum>
  <w:abstractNum w:abstractNumId="21">
    <w:nsid w:val="E3E47A8"/>
    <w:multiLevelType w:val="hybridMultilevel"/>
    <w:lvl w:ilvl="0">
      <w:lvlJc w:val="left"/>
      <w:lvlText w:val="(%1)"/>
      <w:numFmt w:val="lowerLetter"/>
      <w:start w:val="3"/>
    </w:lvl>
  </w:abstractNum>
  <w:abstractNum w:abstractNumId="22">
    <w:nsid w:val="2E48F044"/>
    <w:multiLevelType w:val="hybridMultilevel"/>
    <w:lvl w:ilvl="0">
      <w:lvlJc w:val="left"/>
      <w:lvlText w:val="%1"/>
      <w:numFmt w:val="decimal"/>
      <w:start w:val="1"/>
    </w:lvl>
    <w:lvl w:ilvl="1">
      <w:lvlJc w:val="left"/>
      <w:lvlText w:val="(%2)"/>
      <w:numFmt w:val="lowerLetter"/>
      <w:start w:val="1"/>
    </w:lvl>
  </w:abstractNum>
  <w:abstractNum w:abstractNumId="23">
    <w:nsid w:val="49D0FEAC"/>
    <w:multiLevelType w:val="hybridMultilevel"/>
    <w:lvl w:ilvl="0">
      <w:lvlJc w:val="left"/>
      <w:lvlText w:val="(%1)"/>
      <w:numFmt w:val="decimal"/>
      <w:start w:val="3"/>
    </w:lvl>
    <w:lvl w:ilvl="1">
      <w:lvlJc w:val="left"/>
      <w:lvlText w:val="(%2)"/>
      <w:numFmt w:val="lowerLetter"/>
      <w:start w:val="2"/>
    </w:lvl>
  </w:abstractNum>
  <w:abstractNum w:abstractNumId="24">
    <w:nsid w:val="4BEE5A5B"/>
    <w:multiLevelType w:val="hybridMultilevel"/>
    <w:lvl w:ilvl="0">
      <w:lvlJc w:val="left"/>
      <w:lvlText w:val="%1"/>
      <w:numFmt w:val="decimal"/>
      <w:start w:val="1"/>
    </w:lvl>
    <w:lvl w:ilvl="1">
      <w:lvlJc w:val="left"/>
      <w:lvlText w:val="(%2)"/>
      <w:numFmt w:val="lowerLetter"/>
      <w:start w:val="1"/>
    </w:lvl>
  </w:abstractNum>
  <w:abstractNum w:abstractNumId="25">
    <w:nsid w:val="5551B9F3"/>
    <w:multiLevelType w:val="hybridMultilevel"/>
    <w:lvl w:ilvl="0">
      <w:lvlJc w:val="left"/>
      <w:lvlText w:val="(%1)"/>
      <w:numFmt w:val="decimal"/>
      <w:start w:val="2"/>
    </w:lvl>
    <w:lvl w:ilvl="1">
      <w:lvlJc w:val="left"/>
      <w:lvlText w:val="(%2)"/>
      <w:numFmt w:val="lowerLetter"/>
      <w:start w:val="2"/>
    </w:lvl>
  </w:abstractNum>
  <w:abstractNum w:abstractNumId="26">
    <w:nsid w:val="24F6AB8E"/>
    <w:multiLevelType w:val="hybridMultilevel"/>
    <w:lvl w:ilvl="0">
      <w:lvlJc w:val="left"/>
      <w:lvlText w:val="%1"/>
      <w:numFmt w:val="lowerRoman"/>
      <w:start w:val="1"/>
    </w:lvl>
    <w:lvl w:ilvl="1">
      <w:lvlJc w:val="left"/>
      <w:lvlText w:val="(%2)"/>
      <w:numFmt w:val="lowerLetter"/>
      <w:start w:val="4"/>
    </w:lvl>
  </w:abstractNum>
  <w:abstractNum w:abstractNumId="27">
    <w:nsid w:val="634C574C"/>
    <w:multiLevelType w:val="hybridMultilevel"/>
    <w:lvl w:ilvl="0">
      <w:lvlJc w:val="left"/>
      <w:lvlText w:val="(%1)"/>
      <w:numFmt w:val="lowerRoman"/>
      <w:start w:val="4"/>
    </w:lvl>
    <w:lvl w:ilvl="1">
      <w:lvlJc w:val="left"/>
      <w:lvlText w:val="(%2)"/>
      <w:numFmt w:val="lowerLetter"/>
      <w:start w:val="5"/>
    </w:lvl>
  </w:abstractNum>
  <w:abstractNum w:abstractNumId="28">
    <w:nsid w:val="24E99DD7"/>
    <w:multiLevelType w:val="hybridMultilevel"/>
    <w:lvl w:ilvl="0">
      <w:lvlJc w:val="left"/>
      <w:lvlText w:val="(%1)"/>
      <w:numFmt w:val="lowerLetter"/>
      <w:start w:val="11"/>
    </w:lvl>
  </w:abstractNum>
  <w:abstractNum w:abstractNumId="29">
    <w:nsid w:val="2A31B62D"/>
    <w:multiLevelType w:val="hybridMultilevel"/>
    <w:lvl w:ilvl="0">
      <w:lvlJc w:val="left"/>
      <w:lvlText w:val="(%1)"/>
      <w:numFmt w:val="lowerLetter"/>
      <w:start w:val="1"/>
    </w:lvl>
  </w:abstractNum>
  <w:abstractNum w:abstractNumId="30">
    <w:nsid w:val="1849C29B"/>
    <w:multiLevelType w:val="hybridMultilevel"/>
    <w:lvl w:ilvl="0">
      <w:lvlJc w:val="left"/>
      <w:lvlText w:val="(%1)"/>
      <w:numFmt w:val="lowerLetter"/>
      <w:start w:val="3"/>
    </w:lvl>
  </w:abstractNum>
  <w:abstractNum w:abstractNumId="31">
    <w:nsid w:val="7DFF9D09"/>
    <w:multiLevelType w:val="hybridMultilevel"/>
    <w:lvl w:ilvl="0">
      <w:lvlJc w:val="left"/>
      <w:lvlText w:val="(%1)"/>
      <w:numFmt w:val="lowerLetter"/>
      <w:start w:val="1"/>
    </w:lvl>
  </w:abstractNum>
  <w:abstractNum w:abstractNumId="32">
    <w:nsid w:val="754342"/>
    <w:multiLevelType w:val="hybridMultilevel"/>
    <w:lvl w:ilvl="0">
      <w:lvlJc w:val="left"/>
      <w:lvlText w:val="(%1)"/>
      <w:numFmt w:val="lowerLetter"/>
      <w:start w:val="2"/>
    </w:lvl>
  </w:abstractNum>
  <w:abstractNum w:abstractNumId="33">
    <w:nsid w:val="69E7F3E5"/>
    <w:multiLevelType w:val="hybridMultilevel"/>
    <w:lvl w:ilvl="0">
      <w:lvlJc w:val="left"/>
      <w:lvlText w:val="(%1)"/>
      <w:numFmt w:val="lowerLetter"/>
      <w:start w:val="1"/>
    </w:lvl>
  </w:abstractNum>
  <w:abstractNum w:abstractNumId="34">
    <w:nsid w:val="2A6DE806"/>
    <w:multiLevelType w:val="hybridMultilevel"/>
    <w:lvl w:ilvl="0">
      <w:lvlJc w:val="left"/>
      <w:lvlText w:val="(%1)"/>
      <w:numFmt w:val="lowerLetter"/>
      <w:start w:val="1"/>
    </w:lvl>
  </w:abstractNum>
  <w:abstractNum w:abstractNumId="35">
    <w:nsid w:val="1816F8C4"/>
    <w:multiLevelType w:val="hybridMultilevel"/>
    <w:lvl w:ilvl="0">
      <w:lvlJc w:val="left"/>
      <w:lvlText w:val="(%1)"/>
      <w:numFmt w:val="lowerLetter"/>
      <w:start w:val="6"/>
    </w:lvl>
  </w:abstractNum>
  <w:abstractNum w:abstractNumId="36">
    <w:nsid w:val="37DF2233"/>
    <w:multiLevelType w:val="hybridMultilevel"/>
    <w:lvl w:ilvl="0">
      <w:lvlJc w:val="left"/>
      <w:lvlText w:val="(%1)"/>
      <w:numFmt w:val="lowerLetter"/>
      <w:start w:val="1"/>
    </w:lvl>
  </w:abstractNum>
  <w:abstractNum w:abstractNumId="37">
    <w:nsid w:val="7AB49DAF"/>
    <w:multiLevelType w:val="hybridMultilevel"/>
    <w:lvl w:ilvl="0">
      <w:lvlJc w:val="left"/>
      <w:lvlText w:val="(%1)"/>
      <w:numFmt w:val="lowerLetter"/>
      <w:start w:val="1"/>
    </w:lvl>
  </w:abstractNum>
  <w:abstractNum w:abstractNumId="38">
    <w:nsid w:val="759F82CD"/>
    <w:multiLevelType w:val="hybridMultilevel"/>
    <w:lvl w:ilvl="0">
      <w:lvlJc w:val="left"/>
      <w:lvlText w:val="(%1)"/>
      <w:numFmt w:val="lowerLetter"/>
      <w:start w:val="3"/>
    </w:lvl>
  </w:abstractNum>
  <w:abstractNum w:abstractNumId="39">
    <w:nsid w:val="61E74EA3"/>
    <w:multiLevelType w:val="hybridMultilevel"/>
    <w:lvl w:ilvl="0">
      <w:lvlJc w:val="left"/>
      <w:lvlText w:val="(%1)"/>
      <w:numFmt w:val="lowerLetter"/>
      <w:start w:val="1"/>
    </w:lvl>
  </w:abstractNum>
  <w:abstractNum w:abstractNumId="40">
    <w:nsid w:val="597B4D84"/>
    <w:multiLevelType w:val="hybridMultilevel"/>
    <w:lvl w:ilvl="0">
      <w:lvlJc w:val="left"/>
      <w:lvlText w:val="(%1)"/>
      <w:numFmt w:val="lowerLetter"/>
      <w:start w:val="1"/>
    </w:lvl>
  </w:abstractNum>
  <w:abstractNum w:abstractNumId="41">
    <w:nsid w:val="F819E7F"/>
    <w:multiLevelType w:val="hybridMultilevel"/>
    <w:lvl w:ilvl="0">
      <w:lvlJc w:val="left"/>
      <w:lvlText w:val="(%1)"/>
      <w:numFmt w:val="lowerLetter"/>
      <w:start w:val="1"/>
    </w:lvl>
  </w:abstractNum>
  <w:abstractNum w:abstractNumId="42">
    <w:nsid w:val="57C7D42D"/>
    <w:multiLevelType w:val="hybridMultilevel"/>
    <w:lvl w:ilvl="0">
      <w:lvlJc w:val="left"/>
      <w:lvlText w:val="(%1)"/>
      <w:numFmt w:val="lowerLetter"/>
      <w:start w:val="2"/>
    </w:lvl>
  </w:abstractNum>
  <w:abstractNum w:abstractNumId="43">
    <w:nsid w:val="312167AD"/>
    <w:multiLevelType w:val="hybridMultilevel"/>
    <w:lvl w:ilvl="0">
      <w:lvlJc w:val="left"/>
      <w:lvlText w:val="(%1)"/>
      <w:numFmt w:val="lowerLetter"/>
      <w:start w:val="1"/>
    </w:lvl>
    <w:lvl w:ilvl="1">
      <w:lvlJc w:val="left"/>
      <w:lvlText w:val="(%2)"/>
      <w:numFmt w:val="lowerRoman"/>
      <w:start w:val="1"/>
    </w:lvl>
  </w:abstractNum>
  <w:abstractNum w:abstractNumId="44">
    <w:nsid w:val="631B64D4"/>
    <w:multiLevelType w:val="hybridMultilevel"/>
    <w:lvl w:ilvl="0">
      <w:lvlJc w:val="left"/>
      <w:lvlText w:val="(%1)"/>
      <w:numFmt w:val="lowerRoman"/>
      <w:start w:val="10"/>
    </w:lvl>
  </w:abstractNum>
  <w:abstractNum w:abstractNumId="45">
    <w:nsid w:val="78B5E776"/>
    <w:multiLevelType w:val="hybridMultilevel"/>
    <w:lvl w:ilvl="0">
      <w:lvlJc w:val="left"/>
      <w:lvlText w:val="(%1)"/>
      <w:numFmt w:val="lowerRoman"/>
      <w:start w:val="20"/>
    </w:lvl>
  </w:abstractNum>
  <w:abstractNum w:abstractNumId="46">
    <w:nsid w:val="75486E47"/>
    <w:multiLevelType w:val="hybridMultilevel"/>
    <w:lvl w:ilvl="0">
      <w:lvlJc w:val="left"/>
      <w:lvlText w:val="%1"/>
      <w:numFmt w:val="lowerLetter"/>
      <w:start w:val="1"/>
    </w:lvl>
    <w:lvl w:ilvl="1">
      <w:lvlJc w:val="left"/>
      <w:lvlText w:val="(%2)"/>
      <w:numFmt w:val="lowerLetter"/>
      <w:start w:val="1"/>
    </w:lvl>
  </w:abstractNum>
  <w:abstractNum w:abstractNumId="47">
    <w:nsid w:val="6E534CDE"/>
    <w:multiLevelType w:val="hybridMultilevel"/>
    <w:lvl w:ilvl="0">
      <w:lvlJc w:val="left"/>
      <w:lvlText w:val="(%1)"/>
      <w:numFmt w:val="lowerLetter"/>
      <w:start w:val="35"/>
    </w:lvl>
    <w:lvl w:ilvl="1">
      <w:lvlJc w:val="left"/>
      <w:lvlText w:val="(%2)"/>
      <w:numFmt w:val="lowerLetter"/>
      <w:start w:val="2"/>
    </w:lvl>
  </w:abstractNum>
  <w:abstractNum w:abstractNumId="48">
    <w:nsid w:val="1A0DDE32"/>
    <w:multiLevelType w:val="hybridMultilevel"/>
    <w:lvl w:ilvl="0">
      <w:lvlJc w:val="left"/>
      <w:lvlText w:val="(%1)"/>
      <w:numFmt w:val="lowerLetter"/>
      <w:start w:val="1"/>
    </w:lvl>
  </w:abstractNum>
  <w:abstractNum w:abstractNumId="49">
    <w:nsid w:val="65968C1C"/>
    <w:multiLevelType w:val="hybridMultilevel"/>
    <w:lvl w:ilvl="0">
      <w:lvlJc w:val="left"/>
      <w:lvlText w:val="(%1)"/>
      <w:numFmt w:val="lowerLetter"/>
      <w:start w:val="1"/>
    </w:lvl>
  </w:abstractNum>
  <w:abstractNum w:abstractNumId="50">
    <w:nsid w:val="46263DEC"/>
    <w:multiLevelType w:val="hybridMultilevel"/>
    <w:lvl w:ilvl="0">
      <w:lvlJc w:val="left"/>
      <w:lvlText w:val="(%1)"/>
      <w:numFmt w:val="lowerLetter"/>
      <w:start w:val="2"/>
    </w:lvl>
  </w:abstractNum>
  <w:abstractNum w:abstractNumId="51">
    <w:nsid w:val="260D8C4A"/>
    <w:multiLevelType w:val="hybridMultilevel"/>
    <w:lvl w:ilvl="0">
      <w:lvlJc w:val="left"/>
      <w:lvlText w:val="(%1)"/>
      <w:numFmt w:val="lowerLetter"/>
      <w:start w:val="5"/>
    </w:lvl>
  </w:abstractNum>
  <w:abstractNum w:abstractNumId="52">
    <w:nsid w:val="73D4D3C4"/>
    <w:multiLevelType w:val="hybridMultilevel"/>
    <w:lvl w:ilvl="0">
      <w:lvlJc w:val="left"/>
      <w:lvlText w:val="(%1)"/>
      <w:numFmt w:val="lowerLetter"/>
      <w:start w:val="1"/>
    </w:lvl>
  </w:abstractNum>
  <w:abstractNum w:abstractNumId="53">
    <w:nsid w:val="746F2E30"/>
    <w:multiLevelType w:val="hybridMultilevel"/>
    <w:lvl w:ilvl="0">
      <w:lvlJc w:val="left"/>
      <w:lvlText w:val="(%1)"/>
      <w:numFmt w:val="lowerLetter"/>
      <w:start w:val="1"/>
    </w:lvl>
  </w:abstractNum>
  <w:abstractNum w:abstractNumId="54">
    <w:nsid w:val="6FDE8AF6"/>
    <w:multiLevelType w:val="hybridMultilevel"/>
    <w:lvl w:ilvl="0">
      <w:lvlJc w:val="left"/>
      <w:lvlText w:val="(%1)"/>
      <w:numFmt w:val="lowerLetter"/>
      <w:start w:val="1"/>
    </w:lvl>
  </w:abstractNum>
  <w:abstractNum w:abstractNumId="55">
    <w:nsid w:val="3FC32E20"/>
    <w:multiLevelType w:val="hybridMultilevel"/>
    <w:lvl w:ilvl="0">
      <w:lvlJc w:val="left"/>
      <w:lvlText w:val="(%1)"/>
      <w:numFmt w:val="lowerLetter"/>
      <w:start w:val="1"/>
    </w:lvl>
  </w:abstractNum>
  <w:abstractNum w:abstractNumId="56">
    <w:nsid w:val="49C0E823"/>
    <w:multiLevelType w:val="hybridMultilevel"/>
    <w:lvl w:ilvl="0">
      <w:lvlJc w:val="left"/>
      <w:lvlText w:val="(%1)"/>
      <w:numFmt w:val="lowerLetter"/>
      <w:start w:val="2"/>
    </w:lvl>
  </w:abstractNum>
  <w:abstractNum w:abstractNumId="57">
    <w:nsid w:val="14D53685"/>
    <w:multiLevelType w:val="hybridMultilevel"/>
    <w:lvl w:ilvl="0">
      <w:lvlJc w:val="left"/>
      <w:lvlText w:val="(%1)"/>
      <w:numFmt w:val="lowerLetter"/>
      <w:start w:val="1"/>
    </w:lvl>
  </w:abstractNum>
  <w:abstractNum w:abstractNumId="58">
    <w:nsid w:val="230F856C"/>
    <w:multiLevelType w:val="hybridMultilevel"/>
    <w:lvl w:ilvl="0">
      <w:lvlJc w:val="left"/>
      <w:lvlText w:val="(%1)"/>
      <w:numFmt w:val="lowerLetter"/>
      <w:start w:val="3"/>
    </w:lvl>
  </w:abstractNum>
  <w:abstractNum w:abstractNumId="59">
    <w:nsid w:val="6EAA85FB"/>
    <w:multiLevelType w:val="hybridMultilevel"/>
    <w:lvl w:ilvl="0">
      <w:lvlJc w:val="left"/>
      <w:lvlText w:val="(%1)"/>
      <w:numFmt w:val="lowerLetter"/>
      <w:start w:val="1"/>
    </w:lvl>
  </w:abstractNum>
  <w:abstractNum w:abstractNumId="60">
    <w:nsid w:val="3F06ECB2"/>
    <w:multiLevelType w:val="hybridMultilevel"/>
    <w:lvl w:ilvl="0">
      <w:lvlJc w:val="left"/>
      <w:lvlText w:val="(%1)"/>
      <w:numFmt w:val="lowerLetter"/>
      <w:start w:val="2"/>
    </w:lvl>
  </w:abstractNum>
  <w:abstractNum w:abstractNumId="61">
    <w:nsid w:val="3B594807"/>
    <w:multiLevelType w:val="hybridMultilevel"/>
    <w:lvl w:ilvl="0">
      <w:lvlJc w:val="left"/>
      <w:lvlText w:val="(%1)"/>
      <w:numFmt w:val="lowerLetter"/>
      <w:start w:val="4"/>
    </w:lvl>
  </w:abstractNum>
  <w:abstractNum w:abstractNumId="62">
    <w:nsid w:val="6CAA2304"/>
    <w:multiLevelType w:val="hybridMultilevel"/>
    <w:lvl w:ilvl="0">
      <w:lvlJc w:val="left"/>
      <w:lvlText w:val="(%1)"/>
      <w:numFmt w:val="lowerLetter"/>
      <w:start w:val="1"/>
    </w:lvl>
  </w:abstractNum>
  <w:abstractNum w:abstractNumId="63">
    <w:nsid w:val="3F7C2FF4"/>
    <w:multiLevelType w:val="hybridMultilevel"/>
    <w:lvl w:ilvl="0">
      <w:lvlJc w:val="left"/>
      <w:lvlText w:val="(%1)"/>
      <w:numFmt w:val="lowerLetter"/>
      <w:start w:val="3"/>
    </w:lvl>
  </w:abstractNum>
  <w:abstractNum w:abstractNumId="64">
    <w:nsid w:val="25413BEC"/>
    <w:multiLevelType w:val="hybridMultilevel"/>
    <w:lvl w:ilvl="0">
      <w:lvlJc w:val="left"/>
      <w:lvlText w:val="(%1)"/>
      <w:numFmt w:val="lowerLetter"/>
      <w:start w:val="15"/>
    </w:lvl>
  </w:abstractNum>
  <w:abstractNum w:abstractNumId="65">
    <w:nsid w:val="17180B0B"/>
    <w:multiLevelType w:val="hybridMultilevel"/>
    <w:lvl w:ilvl="0">
      <w:lvlJc w:val="left"/>
      <w:lvlText w:val="(%1)"/>
      <w:numFmt w:val="lowerLetter"/>
      <w:start w:val="1"/>
    </w:lvl>
  </w:abstractNum>
  <w:abstractNum w:abstractNumId="66">
    <w:nsid w:val="579328B9"/>
    <w:multiLevelType w:val="hybridMultilevel"/>
    <w:lvl w:ilvl="0">
      <w:lvlJc w:val="left"/>
      <w:lvlText w:val="(%1)"/>
      <w:numFmt w:val="lowerLetter"/>
      <w:start w:val="8"/>
    </w:lvl>
  </w:abstractNum>
  <w:abstractNum w:abstractNumId="67">
    <w:nsid w:val="5D205E20"/>
    <w:multiLevelType w:val="hybridMultilevel"/>
    <w:lvl w:ilvl="0">
      <w:lvlJc w:val="left"/>
      <w:lvlText w:val="(%1)"/>
      <w:numFmt w:val="lowerLetter"/>
      <w:start w:val="10"/>
    </w:lvl>
  </w:abstractNum>
  <w:abstractNum w:abstractNumId="68">
    <w:nsid w:val="11CCA8BA"/>
    <w:multiLevelType w:val="hybridMultilevel"/>
    <w:lvl w:ilvl="0">
      <w:lvlJc w:val="left"/>
      <w:lvlText w:val="(%1)"/>
      <w:numFmt w:val="lowerLetter"/>
      <w:start w:val="1"/>
    </w:lvl>
  </w:abstractNum>
  <w:abstractNum w:abstractNumId="69">
    <w:nsid w:val="4D32AB86"/>
    <w:multiLevelType w:val="hybridMultilevel"/>
    <w:lvl w:ilvl="0">
      <w:lvlJc w:val="left"/>
      <w:lvlText w:val="(%1)"/>
      <w:numFmt w:val="lowerLetter"/>
      <w:start w:val="2"/>
    </w:lvl>
  </w:abstractNum>
  <w:abstractNum w:abstractNumId="70">
    <w:nsid w:val="3F07ACC3"/>
    <w:multiLevelType w:val="hybridMultilevel"/>
    <w:lvl w:ilvl="0">
      <w:lvlJc w:val="left"/>
      <w:lvlText w:val="(%1)"/>
      <w:numFmt w:val="lowerLetter"/>
      <w:start w:val="5"/>
    </w:lvl>
  </w:abstractNum>
  <w:abstractNum w:abstractNumId="71">
    <w:nsid w:val="6B47F63E"/>
    <w:multiLevelType w:val="hybridMultilevel"/>
    <w:lvl w:ilvl="0">
      <w:lvlJc w:val="left"/>
      <w:lvlText w:val="(%1)"/>
      <w:numFmt w:val="lowerLetter"/>
      <w:start w:val="1"/>
    </w:lvl>
  </w:abstractNum>
  <w:abstractNum w:abstractNumId="72">
    <w:nsid w:val="5CB44A05"/>
    <w:multiLevelType w:val="hybridMultilevel"/>
    <w:lvl w:ilvl="0">
      <w:lvlJc w:val="left"/>
      <w:lvlText w:val="(%1)"/>
      <w:numFmt w:val="lowerLetter"/>
      <w:start w:val="4"/>
    </w:lvl>
  </w:abstractNum>
  <w:abstractNum w:abstractNumId="73">
    <w:nsid w:val="16CF80F1"/>
    <w:multiLevelType w:val="hybridMultilevel"/>
    <w:lvl w:ilvl="0">
      <w:lvlJc w:val="left"/>
      <w:lvlText w:val="(%1)"/>
      <w:numFmt w:val="lowerLetter"/>
      <w:start w:val="1"/>
    </w:lvl>
  </w:abstractNum>
  <w:abstractNum w:abstractNumId="74">
    <w:nsid w:val="1C695DEC"/>
    <w:multiLevelType w:val="hybridMultilevel"/>
    <w:lvl w:ilvl="0">
      <w:lvlJc w:val="left"/>
      <w:lvlText w:val="(%1)"/>
      <w:numFmt w:val="lowerLetter"/>
      <w:start w:val="7"/>
    </w:lvl>
  </w:abstractNum>
  <w:abstractNum w:abstractNumId="75">
    <w:nsid w:val="3FCFAED9"/>
    <w:multiLevelType w:val="hybridMultilevel"/>
    <w:lvl w:ilvl="0">
      <w:lvlJc w:val="left"/>
      <w:lvlText w:val="(%1)"/>
      <w:numFmt w:val="lowerLetter"/>
      <w:start w:val="1"/>
    </w:lvl>
  </w:abstractNum>
  <w:abstractNum w:abstractNumId="76">
    <w:nsid w:val="F856867"/>
    <w:multiLevelType w:val="hybridMultilevel"/>
    <w:lvl w:ilvl="0">
      <w:lvlJc w:val="left"/>
      <w:lvlText w:val="(%1)"/>
      <w:numFmt w:val="lowerLetter"/>
      <w:start w:val="1"/>
    </w:lvl>
  </w:abstractNum>
  <w:abstractNum w:abstractNumId="77">
    <w:nsid w:val="11B1CC33"/>
    <w:multiLevelType w:val="hybridMultilevel"/>
    <w:lvl w:ilvl="0">
      <w:lvlJc w:val="left"/>
      <w:lvlText w:val="(%1)"/>
      <w:numFmt w:val="lowerLetter"/>
      <w:start w:val="1"/>
    </w:lvl>
  </w:abstractNum>
  <w:abstractNum w:abstractNumId="78">
    <w:nsid w:val="2E22FBB7"/>
    <w:multiLevelType w:val="hybridMultilevel"/>
    <w:lvl w:ilvl="0">
      <w:lvlJc w:val="left"/>
      <w:lvlText w:val="(%1)"/>
      <w:numFmt w:val="lowerLetter"/>
      <w:start w:val="1"/>
    </w:lvl>
  </w:abstractNum>
  <w:abstractNum w:abstractNumId="79">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77485850"/>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81">
    <w:nsid w:val="744939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2">
    <w:nsid w:val="4FA0D2E3"/>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83">
    <w:nsid w:val="6B1D2C14"/>
    <w:multiLevelType w:val="hybridMultilevel"/>
    <w:lvl w:ilvl="0">
      <w:lvlJc w:val="left"/>
      <w:lvlText w:val="%1."/>
      <w:numFmt w:val="decimal"/>
      <w:start w:val="3"/>
    </w:lvl>
    <w:lvl w:ilvl="1">
      <w:lvlJc w:val="left"/>
      <w:lvlText w:val="(%2)"/>
      <w:numFmt w:val="lowerLetter"/>
      <w:start w:val="1"/>
    </w:lvl>
  </w:abstractNum>
  <w:abstractNum w:abstractNumId="84">
    <w:nsid w:val="68B867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85">
    <w:nsid w:val="3F7F5DD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6">
    <w:nsid w:val="2AE05A3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7">
    <w:nsid w:val="32794FF7"/>
    <w:multiLevelType w:val="hybridMultilevel"/>
    <w:lvl w:ilvl="0">
      <w:lvlJc w:val="left"/>
      <w:lvlText w:val="%1."/>
      <w:numFmt w:val="decimal"/>
      <w:start w:val="5"/>
    </w:lvl>
  </w:abstractNum>
  <w:abstractNum w:abstractNumId="88">
    <w:nsid w:val="5454945E"/>
    <w:multiLevelType w:val="hybridMultilevel"/>
    <w:lvl w:ilvl="0">
      <w:lvlJc w:val="left"/>
      <w:lvlText w:val="%1."/>
      <w:numFmt w:val="decimal"/>
      <w:start w:val="8"/>
    </w:lvl>
  </w:abstractNum>
  <w:abstractNum w:abstractNumId="89">
    <w:nsid w:val="4DEFDFA0"/>
    <w:multiLevelType w:val="hybridMultilevel"/>
    <w:lvl w:ilvl="0">
      <w:lvlJc w:val="left"/>
      <w:lvlText w:val="%1."/>
      <w:numFmt w:val="decimal"/>
      <w:start w:val="1"/>
    </w:lvl>
  </w:abstractNum>
  <w:abstractNum w:abstractNumId="90">
    <w:nsid w:val="2123D5F2"/>
    <w:multiLevelType w:val="hybridMultilevel"/>
    <w:lvl w:ilvl="0">
      <w:lvlJc w:val="left"/>
      <w:lvlText w:val="%1."/>
      <w:numFmt w:val="decimal"/>
      <w:start w:val="1"/>
    </w:lvl>
  </w:abstractNum>
  <w:abstractNum w:abstractNumId="91">
    <w:nsid w:val="135B811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2">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3">
    <w:nsid w:val="DCDF8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4">
    <w:nsid w:val="52D7B105"/>
    <w:multiLevelType w:val="hybridMultilevel"/>
    <w:lvl w:ilvl="0">
      <w:lvlJc w:val="left"/>
      <w:lvlText w:val="(%1)"/>
      <w:numFmt w:val="lowerLetter"/>
      <w:start w:val="5"/>
    </w:lvl>
  </w:abstractNum>
  <w:abstractNum w:abstractNumId="95">
    <w:nsid w:val="2E8A6394"/>
    <w:multiLevelType w:val="hybridMultilevel"/>
    <w:lvl w:ilvl="0">
      <w:lvlJc w:val="left"/>
      <w:lvlText w:val="%1"/>
      <w:numFmt w:val="decimal"/>
      <w:start w:val="1"/>
    </w:lvl>
    <w:lvl w:ilvl="1">
      <w:lvlJc w:val="left"/>
      <w:lvlText w:val="(%2)"/>
      <w:numFmt w:val="lowerLetter"/>
      <w:start w:val="9"/>
    </w:lvl>
  </w:abstractNum>
  <w:abstractNum w:abstractNumId="96">
    <w:nsid w:val="24E60401"/>
    <w:multiLevelType w:val="hybridMultilevel"/>
    <w:lvl w:ilvl="0">
      <w:lvlJc w:val="left"/>
      <w:lvlText w:val="%1."/>
      <w:numFmt w:val="decimal"/>
      <w:start w:val="6"/>
    </w:lvl>
    <w:lvl w:ilvl="1">
      <w:lvlJc w:val="left"/>
      <w:lvlText w:val="(%2)"/>
      <w:numFmt w:val="lowerLetter"/>
      <w:start w:val="1"/>
    </w:lvl>
  </w:abstractNum>
  <w:abstractNum w:abstractNumId="97">
    <w:nsid w:val="2A6AD9BE"/>
    <w:multiLevelType w:val="hybridMultilevel"/>
    <w:lvl w:ilvl="0">
      <w:lvlJc w:val="left"/>
      <w:lvlText w:val="(%1)"/>
      <w:numFmt w:val="lowerLetter"/>
      <w:start w:val="2"/>
    </w:lvl>
  </w:abstractNum>
  <w:abstractNum w:abstractNumId="98">
    <w:nsid w:val="BAAC1B4"/>
    <w:multiLevelType w:val="hybridMultilevel"/>
    <w:lvl w:ilvl="0">
      <w:lvlJc w:val="left"/>
      <w:lvlText w:val="(%1)"/>
      <w:numFmt w:val="lowerLetter"/>
      <w:start w:val="8"/>
    </w:lvl>
  </w:abstractNum>
  <w:abstractNum w:abstractNumId="99">
    <w:nsid w:val="36B2AC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100">
    <w:nsid w:val="779D854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01">
    <w:nsid w:val="4AB26E7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02">
    <w:nsid w:val="21FAA2FA"/>
    <w:multiLevelType w:val="hybridMultilevel"/>
    <w:lvl w:ilvl="0">
      <w:lvlJc w:val="left"/>
      <w:lvlText w:val="(%1)"/>
      <w:numFmt w:val="lowerLetter"/>
      <w:start w:val="2"/>
    </w:lvl>
  </w:abstractNum>
  <w:abstractNum w:abstractNumId="103">
    <w:nsid w:val="5451CF49"/>
    <w:multiLevelType w:val="hybridMultilevel"/>
    <w:lvl w:ilvl="0">
      <w:lvlJc w:val="left"/>
      <w:lvlText w:val="(%1)"/>
      <w:numFmt w:val="lowerLetter"/>
      <w:start w:val="3"/>
    </w:lvl>
  </w:abstractNum>
  <w:abstractNum w:abstractNumId="104">
    <w:nsid w:val="6181EF69"/>
    <w:multiLevelType w:val="hybridMultilevel"/>
    <w:lvl w:ilvl="0">
      <w:lvlJc w:val="left"/>
      <w:lvlText w:val="%1"/>
      <w:numFmt w:val="decimal"/>
      <w:start w:val="1"/>
    </w:lvl>
    <w:lvl w:ilvl="1">
      <w:lvlJc w:val="left"/>
      <w:lvlText w:val="(%2)"/>
      <w:numFmt w:val="lowerLetter"/>
      <w:start w:val="6"/>
    </w:lvl>
  </w:abstractNum>
  <w:abstractNum w:abstractNumId="105">
    <w:nsid w:val="3E6400E6"/>
    <w:multiLevelType w:val="hybridMultilevel"/>
    <w:lvl w:ilvl="0">
      <w:lvlJc w:val="left"/>
      <w:lvlText w:val="%1."/>
      <w:numFmt w:val="decimal"/>
      <w:start w:val="8"/>
    </w:lvl>
    <w:lvl w:ilvl="1">
      <w:lvlJc w:val="left"/>
      <w:lvlText w:val="%2"/>
      <w:numFmt w:val="lowerLetter"/>
      <w:start w:val="1"/>
    </w:lvl>
  </w:abstractNum>
  <w:abstractNum w:abstractNumId="106">
    <w:nsid w:val="14217E23"/>
    <w:multiLevelType w:val="hybridMultilevel"/>
    <w:lvl w:ilvl="0">
      <w:lvlJc w:val="left"/>
      <w:lvlText w:val="%1."/>
      <w:numFmt w:val="decimal"/>
      <w:start w:val="9"/>
    </w:lvl>
    <w:lvl w:ilvl="1">
      <w:lvlJc w:val="left"/>
      <w:lvlText w:val="(%2)"/>
      <w:numFmt w:val="lowerLetter"/>
      <w:start w:val="1"/>
    </w:lvl>
  </w:abstractNum>
  <w:abstractNum w:abstractNumId="107">
    <w:nsid w:val="710757D0"/>
    <w:multiLevelType w:val="hybridMultilevel"/>
    <w:lvl w:ilvl="0">
      <w:lvlJc w:val="left"/>
      <w:lvlText w:val="(%1)"/>
      <w:numFmt w:val="lowerLetter"/>
      <w:start w:val="6"/>
    </w:lvl>
  </w:abstractNum>
  <w:abstractNum w:abstractNumId="108">
    <w:nsid w:val="5015CD1A"/>
    <w:multiLevelType w:val="hybridMultilevel"/>
    <w:lvl w:ilvl="0">
      <w:lvlJc w:val="left"/>
      <w:lvlText w:val="(%1)"/>
      <w:numFmt w:val="lowerLetter"/>
      <w:start w:val="13"/>
    </w:lvl>
  </w:abstractNum>
  <w:abstractNum w:abstractNumId="109">
    <w:nsid w:val="424479DA"/>
    <w:multiLevelType w:val="hybridMultilevel"/>
    <w:lvl w:ilvl="0">
      <w:lvlJc w:val="left"/>
      <w:lvlText w:val="%1."/>
      <w:numFmt w:val="decimal"/>
      <w:start w:val="11"/>
    </w:lvl>
  </w:abstractNum>
  <w:abstractNum w:abstractNumId="110">
    <w:nsid w:val="1A9A9E69"/>
    <w:multiLevelType w:val="hybridMultilevel"/>
    <w:lvl w:ilvl="0">
      <w:lvlJc w:val="left"/>
      <w:lvlText w:val="%1."/>
      <w:numFmt w:val="upperLetter"/>
      <w:start w:val="1"/>
    </w:lvl>
  </w:abstractNum>
  <w:abstractNum w:abstractNumId="111">
    <w:nsid w:val="475E256A"/>
    <w:multiLevelType w:val="hybridMultilevel"/>
    <w:lvl w:ilvl="0">
      <w:lvlJc w:val="left"/>
      <w:lvlText w:val="%1."/>
      <w:numFmt w:val="decimal"/>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114">
    <w:nsid w:val="327B517E"/>
    <w:multiLevelType w:val="hybridMultilevel"/>
    <w:lvl w:ilvl="0">
      <w:lvlJc w:val="left"/>
      <w:lvlText w:val="%1."/>
      <w:numFmt w:val="decimal"/>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1."/>
      <w:numFmt w:val="decimal"/>
      <w:start w:val="1"/>
    </w:lvl>
  </w:abstractNum>
  <w:abstractNum w:abstractNumId="117">
    <w:nsid w:val="5D5BABB3"/>
    <w:multiLevelType w:val="hybridMultilevel"/>
    <w:lvl w:ilvl="0">
      <w:lvlJc w:val="left"/>
      <w:lvlText w:val="%1."/>
      <w:numFmt w:val="decimal"/>
      <w:start w:val="3"/>
    </w:lvl>
    <w:lvl w:ilvl="1">
      <w:lvlJc w:val="left"/>
      <w:lvlText w:val="(%2)"/>
      <w:numFmt w:val="lowerLetter"/>
      <w:start w:val="1"/>
    </w:lvl>
  </w:abstractNum>
  <w:abstractNum w:abstractNumId="118">
    <w:nsid w:val="51BF6B48"/>
    <w:multiLevelType w:val="hybridMultilevel"/>
    <w:lvl w:ilvl="0">
      <w:lvlJc w:val="left"/>
      <w:lvlText w:val="(%1)"/>
      <w:numFmt w:val="lowerLetter"/>
      <w:start w:val="2"/>
    </w:lvl>
  </w:abstractNum>
  <w:abstractNum w:abstractNumId="119">
    <w:nsid w:val="7E0F6384"/>
    <w:multiLevelType w:val="hybridMultilevel"/>
    <w:lvl w:ilvl="0">
      <w:lvlJc w:val="left"/>
      <w:lvlText w:val="(%1)"/>
      <w:numFmt w:val="lowerLetter"/>
      <w:start w:val="3"/>
    </w:lvl>
  </w:abstractNum>
  <w:abstractNum w:abstractNumId="120">
    <w:nsid w:val="2B4B8B53"/>
    <w:multiLevelType w:val="hybridMultilevel"/>
    <w:lvl w:ilvl="0">
      <w:lvlJc w:val="left"/>
      <w:lvlText w:val="%1."/>
      <w:numFmt w:val="decimal"/>
      <w:start w:val="1"/>
    </w:lvl>
  </w:abstractNum>
  <w:abstractNum w:abstractNumId="121">
    <w:nsid w:val="72E3413A"/>
    <w:multiLevelType w:val="hybridMultilevel"/>
    <w:lvl w:ilvl="0">
      <w:lvlJc w:val="left"/>
      <w:lvlText w:val="%1."/>
      <w:numFmt w:val="decimal"/>
      <w:start w:val="3"/>
    </w:lvl>
  </w:abstractNum>
  <w:abstractNum w:abstractNumId="122">
    <w:nsid w:val="116AE494"/>
    <w:multiLevelType w:val="hybridMultilevel"/>
    <w:lvl w:ilvl="0">
      <w:lvlJc w:val="left"/>
      <w:lvlText w:val="%1."/>
      <w:numFmt w:val="decimal"/>
      <w:start w:val="5"/>
    </w:lvl>
  </w:abstractNum>
  <w:abstractNum w:abstractNumId="123">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4">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5">
    <w:nsid w:val="644295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6">
    <w:nsid w:val="631F1690"/>
    <w:multiLevelType w:val="hybridMultilevel"/>
    <w:lvl w:ilvl="0">
      <w:lvlJc w:val="left"/>
      <w:lvlText w:val="%1"/>
      <w:numFmt w:val="decimal"/>
      <w:start w:val="1"/>
    </w:lvl>
    <w:lvl w:ilvl="1">
      <w:lvlJc w:val="left"/>
      <w:lvlText w:val="(%2)"/>
      <w:numFmt w:val="lowerLetter"/>
      <w:start w:val="2"/>
    </w:lvl>
  </w:abstractNum>
  <w:abstractNum w:abstractNumId="127">
    <w:nsid w:val="25973E32"/>
    <w:multiLevelType w:val="hybridMultilevel"/>
    <w:lvl w:ilvl="0">
      <w:lvlJc w:val="left"/>
      <w:lvlText w:val="%1."/>
      <w:numFmt w:val="decimal"/>
      <w:start w:val="5"/>
    </w:lvl>
    <w:lvl w:ilvl="1">
      <w:lvlJc w:val="left"/>
      <w:lvlText w:val="(%2)"/>
      <w:numFmt w:val="lowerLetter"/>
      <w:start w:val="1"/>
    </w:lvl>
  </w:abstractNum>
  <w:abstractNum w:abstractNumId="128">
    <w:nsid w:val="EAD6F57"/>
    <w:multiLevelType w:val="hybridMultilevel"/>
    <w:lvl w:ilvl="0">
      <w:lvlJc w:val="left"/>
      <w:lvlText w:val="%1."/>
      <w:numFmt w:val="decimal"/>
      <w:start w:val="7"/>
    </w:lvl>
    <w:lvl w:ilvl="1">
      <w:lvlJc w:val="left"/>
      <w:lvlText w:val="(%2)"/>
      <w:numFmt w:val="lowerLetter"/>
      <w:start w:val="1"/>
    </w:lvl>
  </w:abstractNum>
  <w:abstractNum w:abstractNumId="129">
    <w:nsid w:val="6EC9D844"/>
    <w:multiLevelType w:val="hybridMultilevel"/>
    <w:lvl w:ilvl="0">
      <w:lvlJc w:val="left"/>
      <w:lvlText w:val="%1."/>
      <w:numFmt w:val="decimal"/>
      <w:start w:val="9"/>
    </w:lvl>
  </w:abstractNum>
  <w:abstractNum w:abstractNumId="130">
    <w:nsid w:val="5C49EAEE"/>
    <w:multiLevelType w:val="hybridMultilevel"/>
    <w:lvl w:ilvl="0">
      <w:lvlJc w:val="left"/>
      <w:lvlText w:val="%1."/>
      <w:numFmt w:val="decimal"/>
      <w:start w:val="10"/>
    </w:lvl>
  </w:abstractNum>
  <w:abstractNum w:abstractNumId="131">
    <w:nsid w:val="64AF49B"/>
    <w:multiLevelType w:val="hybridMultilevel"/>
    <w:lvl w:ilvl="0">
      <w:lvlJc w:val="left"/>
      <w:lvlText w:val="%1"/>
      <w:numFmt w:val="decimal"/>
      <w:start w:val="1"/>
    </w:lvl>
    <w:lvl w:ilvl="1">
      <w:lvlJc w:val="left"/>
      <w:lvlText w:val="(%2)"/>
      <w:numFmt w:val="lowerLetter"/>
      <w:start w:val="1"/>
    </w:lvl>
  </w:abstractNum>
  <w:abstractNum w:abstractNumId="132">
    <w:nsid w:val="397C46BC"/>
    <w:multiLevelType w:val="hybridMultilevel"/>
    <w:lvl w:ilvl="0">
      <w:lvlJc w:val="left"/>
      <w:lvlText w:val="%1."/>
      <w:numFmt w:val="decimal"/>
      <w:start w:val="11"/>
    </w:lvl>
    <w:lvl w:ilvl="1">
      <w:lvlJc w:val="left"/>
      <w:lvlText w:val="%2"/>
      <w:numFmt w:val="lowerLetter"/>
      <w:start w:val="1"/>
    </w:lvl>
  </w:abstractNum>
  <w:abstractNum w:abstractNumId="133">
    <w:nsid w:val="7E448DE9"/>
    <w:multiLevelType w:val="hybridMultilevel"/>
    <w:lvl w:ilvl="0">
      <w:lvlJc w:val="left"/>
      <w:lvlText w:val="%1."/>
      <w:numFmt w:val="decimal"/>
      <w:start w:val="1"/>
    </w:lvl>
  </w:abstractNum>
  <w:abstractNum w:abstractNumId="134">
    <w:nsid w:val="5A9CC3E5"/>
    <w:multiLevelType w:val="hybridMultilevel"/>
    <w:lvl w:ilvl="0">
      <w:lvlJc w:val="left"/>
      <w:lvlText w:val="1"/>
      <w:numFmt w:val="bullet"/>
      <w:start w:val="1"/>
    </w:lvl>
  </w:abstractNum>
  <w:abstractNum w:abstractNumId="135">
    <w:nsid w:val="1AFE3625"/>
    <w:multiLevelType w:val="hybridMultilevel"/>
    <w:lvl w:ilvl="0">
      <w:lvlJc w:val="left"/>
      <w:lvlText w:val="(%1)"/>
      <w:numFmt w:val="lowerRoman"/>
      <w:start w:val="1"/>
    </w:lvl>
  </w:abstractNum>
  <w:abstractNum w:abstractNumId="136">
    <w:nsid w:val="3CA88ECF"/>
    <w:multiLevelType w:val="hybridMultilevel"/>
    <w:lvl w:ilvl="0">
      <w:lvlJc w:val="left"/>
      <w:lvlText w:val="2"/>
      <w:numFmt w:val="bullet"/>
      <w:start w:val="1"/>
    </w:lvl>
  </w:abstractNum>
  <w:abstractNum w:abstractNumId="137">
    <w:nsid w:val="6EBE4208"/>
    <w:multiLevelType w:val="hybridMultilevel"/>
    <w:lvl w:ilvl="0">
      <w:lvlJc w:val="left"/>
      <w:lvlText w:val="(%1)"/>
      <w:numFmt w:val="lowerLetter"/>
      <w:start w:val="2"/>
    </w:lvl>
  </w:abstractNum>
  <w:abstractNum w:abstractNumId="138">
    <w:nsid w:val="C058DF5"/>
    <w:multiLevelType w:val="hybridMultilevel"/>
    <w:lvl w:ilvl="0">
      <w:lvlJc w:val="left"/>
      <w:lvlText w:val="3"/>
      <w:numFmt w:val="bullet"/>
      <w:start w:val="1"/>
    </w:lvl>
  </w:abstractNum>
  <w:abstractNum w:abstractNumId="139">
    <w:nsid w:val="CBE5BE9"/>
    <w:multiLevelType w:val="hybridMultilevel"/>
    <w:lvl w:ilvl="0">
      <w:lvlJc w:val="left"/>
      <w:lvlText w:val="4"/>
      <w:numFmt w:val="bullet"/>
      <w:start w:val="1"/>
    </w:lvl>
  </w:abstractNum>
  <w:abstractNum w:abstractNumId="140">
    <w:nsid w:val="3102BBE2"/>
    <w:multiLevelType w:val="hybridMultilevel"/>
    <w:lvl w:ilvl="0">
      <w:lvlJc w:val="left"/>
      <w:lvlText w:val="5"/>
      <w:numFmt w:val="bullet"/>
      <w:start w:val="1"/>
    </w:lvl>
  </w:abstractNum>
  <w:abstractNum w:abstractNumId="141">
    <w:nsid w:val="26A02C5E"/>
    <w:multiLevelType w:val="hybridMultilevel"/>
    <w:lvl w:ilvl="0">
      <w:lvlJc w:val="left"/>
      <w:lvlText w:val="6"/>
      <w:numFmt w:val="bullet"/>
      <w:start w:val="1"/>
    </w:lvl>
  </w:abstractNum>
  <w:abstractNum w:abstractNumId="142">
    <w:nsid w:val="541C8153"/>
    <w:multiLevelType w:val="hybridMultilevel"/>
    <w:lvl w:ilvl="0">
      <w:lvlJc w:val="left"/>
      <w:lvlText w:val="7"/>
      <w:numFmt w:val="bullet"/>
      <w:start w:val="1"/>
    </w:lvl>
  </w:abstractNum>
  <w:abstractNum w:abstractNumId="143">
    <w:nsid w:val="67906F60"/>
    <w:multiLevelType w:val="hybridMultilevel"/>
    <w:lvl w:ilvl="0">
      <w:lvlJc w:val="left"/>
      <w:lvlText w:val="8"/>
      <w:numFmt w:val="bullet"/>
      <w:start w:val="1"/>
    </w:lvl>
  </w:abstractNum>
  <w:abstractNum w:abstractNumId="144">
    <w:nsid w:val="10DB9DAA"/>
    <w:multiLevelType w:val="hybridMultilevel"/>
    <w:lvl w:ilvl="0">
      <w:lvlJc w:val="left"/>
      <w:lvlText w:val="(%1)"/>
      <w:numFmt w:val="decimal"/>
      <w:start w:val="10"/>
    </w:lvl>
  </w:abstractNum>
  <w:abstractNum w:abstractNumId="145">
    <w:nsid w:val="697D2D2"/>
    <w:multiLevelType w:val="hybridMultilevel"/>
    <w:lvl w:ilvl="0">
      <w:lvlJc w:val="left"/>
      <w:lvlText w:val="(%1)"/>
      <w:numFmt w:val="lowerLetter"/>
      <w:start w:val="1"/>
    </w:lvl>
  </w:abstractNum>
  <w:abstractNum w:abstractNumId="146">
    <w:nsid w:val="6D68AB2"/>
    <w:multiLevelType w:val="hybridMultilevel"/>
    <w:lvl w:ilvl="0">
      <w:lvlJc w:val="left"/>
      <w:lvlText w:val="(%1)"/>
      <w:numFmt w:val="upperLetter"/>
      <w:start w:val="1"/>
    </w:lvl>
  </w:abstractNum>
  <w:abstractNum w:abstractNumId="147">
    <w:nsid w:val="3A966CD0"/>
    <w:multiLevelType w:val="hybridMultilevel"/>
    <w:lvl w:ilvl="0">
      <w:lvlJc w:val="left"/>
      <w:lvlText w:val="%1."/>
      <w:numFmt w:val="decimal"/>
      <w:start w:val="1"/>
    </w:lvl>
  </w:abstractNum>
  <w:abstractNum w:abstractNumId="148">
    <w:nsid w:val="63F37E85"/>
    <w:multiLevelType w:val="hybridMultilevel"/>
    <w:lvl w:ilvl="0">
      <w:lvlJc w:val="left"/>
      <w:lvlText w:val="(%1)"/>
      <w:numFmt w:val="lowerRoman"/>
      <w:start w:val="1"/>
    </w:lvl>
  </w:abstractNum>
  <w:abstractNum w:abstractNumId="149">
    <w:nsid w:val="5895F5FA"/>
    <w:multiLevelType w:val="hybridMultilevel"/>
    <w:lvl w:ilvl="0">
      <w:lvlJc w:val="left"/>
      <w:lvlText w:val="(%1)"/>
      <w:numFmt w:val="lowerLetter"/>
      <w:start w:val="1"/>
    </w:lvl>
  </w:abstractNum>
  <w:abstractNum w:abstractNumId="150">
    <w:nsid w:val="38A5D054"/>
    <w:multiLevelType w:val="hybridMultilevel"/>
    <w:lvl w:ilvl="0">
      <w:lvlJc w:val="left"/>
      <w:lvlText w:val="%1"/>
      <w:numFmt w:val="upperLetter"/>
      <w:start w:val="1"/>
    </w:lvl>
    <w:lvl w:ilvl="1">
      <w:lvlJc w:val="left"/>
      <w:lvlText w:val="(%2)"/>
      <w:numFmt w:val="lowerLetter"/>
      <w:start w:val="2"/>
    </w:lvl>
  </w:abstractNum>
  <w:abstractNum w:abstractNumId="151">
    <w:nsid w:val="F3F09D8"/>
    <w:multiLevelType w:val="hybridMultilevel"/>
    <w:lvl w:ilvl="0">
      <w:lvlJc w:val="left"/>
      <w:lvlText w:val="%1."/>
      <w:numFmt w:val="upperLetter"/>
      <w:start w:val="2"/>
    </w:lvl>
    <w:lvl w:ilvl="1">
      <w:lvlJc w:val="left"/>
      <w:lvlText w:val="%2"/>
      <w:numFmt w:val="lowerLetter"/>
      <w:start w:val="1"/>
    </w:lvl>
  </w:abstractNum>
  <w:abstractNum w:abstractNumId="152">
    <w:nsid w:val="4B793735"/>
    <w:multiLevelType w:val="hybridMultilevel"/>
    <w:lvl w:ilvl="0">
      <w:lvlJc w:val="left"/>
      <w:lvlText w:val="%1."/>
      <w:numFmt w:val="decimal"/>
      <w:start w:val="1"/>
    </w:lvl>
  </w:abstractNum>
  <w:abstractNum w:abstractNumId="153">
    <w:nsid w:val="4A10B4E8"/>
    <w:multiLevelType w:val="hybridMultilevel"/>
    <w:lvl w:ilvl="0">
      <w:lvlJc w:val="left"/>
      <w:lvlText w:val="[●]"/>
      <w:numFmt w:val="bullet"/>
      <w:start w:val="1"/>
    </w:lvl>
    <w:lvl w:ilvl="1">
      <w:lvlJc w:val="left"/>
      <w:lvlText w:val="%2."/>
      <w:numFmt w:val="decimal"/>
      <w:start w:val="1"/>
    </w:lvl>
  </w:abstractNum>
  <w:abstractNum w:abstractNumId="154">
    <w:nsid w:val="43D3BCD4"/>
    <w:multiLevelType w:val="hybridMultilevel"/>
    <w:lvl w:ilvl="0">
      <w:lvlJc w:val="left"/>
      <w:lvlText w:val="%1."/>
      <w:numFmt w:val="decimal"/>
      <w:start w:val="4"/>
    </w:lvl>
  </w:abstractNum>
  <w:abstractNum w:abstractNumId="155">
    <w:nsid w:val="4C2A7166"/>
    <w:multiLevelType w:val="hybridMultilevel"/>
    <w:lvl w:ilvl="0">
      <w:lvlJc w:val="left"/>
      <w:lvlText w:val="%1."/>
      <w:numFmt w:val="decimal"/>
      <w:start w:val="1"/>
    </w:lvl>
  </w:abstractNum>
  <w:abstractNum w:abstractNumId="156">
    <w:nsid w:val="2E534A82"/>
    <w:multiLevelType w:val="hybridMultilevel"/>
    <w:lvl w:ilvl="0">
      <w:lvlJc w:val="left"/>
      <w:lvlText w:val="%1."/>
      <w:numFmt w:val="decimal"/>
      <w:start w:val="3"/>
    </w:lvl>
  </w:abstractNum>
  <w:abstractNum w:abstractNumId="157">
    <w:nsid w:val="26F2D364"/>
    <w:multiLevelType w:val="hybridMultilevel"/>
    <w:lvl w:ilvl="0">
      <w:lvlJc w:val="left"/>
      <w:lvlText w:val="%1."/>
      <w:numFmt w:val="decimal"/>
      <w:start w:val="1"/>
    </w:lvl>
  </w:abstractNum>
  <w:abstractNum w:abstractNumId="158">
    <w:nsid w:val="71C1AF98"/>
    <w:multiLevelType w:val="hybridMultilevel"/>
    <w:lvl w:ilvl="0">
      <w:lvlJc w:val="left"/>
      <w:lvlText w:val="%1."/>
      <w:numFmt w:val="decimal"/>
      <w:start w:val="1"/>
    </w:lvl>
  </w:abstractNum>
  <w:abstractNum w:abstractNumId="159">
    <w:nsid w:val="3D00B9D9"/>
    <w:multiLevelType w:val="hybridMultilevel"/>
    <w:lvl w:ilvl="0">
      <w:lvlJc w:val="left"/>
      <w:lvlText w:val="(%1)"/>
      <w:numFmt w:val="lowerLetter"/>
      <w:start w:val="1"/>
    </w:lvl>
  </w:abstractNum>
  <w:abstractNum w:abstractNumId="160">
    <w:nsid w:val="15BCABA8"/>
    <w:multiLevelType w:val="hybridMultilevel"/>
    <w:lvl w:ilvl="0">
      <w:lvlJc w:val="left"/>
      <w:lvlText w:val="(%1)"/>
      <w:numFmt w:val="decimal"/>
      <w:start w:val="1"/>
    </w:lvl>
  </w:abstractNum>
  <w:abstractNum w:abstractNumId="161">
    <w:nsid w:val="4E0B9A87"/>
    <w:multiLevelType w:val="hybridMultilevel"/>
    <w:lvl w:ilvl="0">
      <w:lvlJc w:val="left"/>
      <w:lvlText w:val="(%1)"/>
      <w:numFmt w:val="decimal"/>
      <w:start w:val="2"/>
    </w:lvl>
    <w:lvl w:ilvl="1">
      <w:lvlJc w:val="left"/>
      <w:lvlText w:val="(%2)"/>
      <w:numFmt w:val="lowerRoman"/>
      <w:start w:val="4"/>
    </w:lvl>
    <w:lvl w:ilvl="2">
      <w:lvlJc w:val="left"/>
      <w:lvlText w:val="(%3)"/>
      <w:numFmt w:val="upperLetter"/>
      <w:start w:val="1"/>
    </w:lvl>
  </w:abstractNum>
  <w:abstractNum w:abstractNumId="162">
    <w:nsid w:val="434BAE75"/>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2"/>
    </w:lvl>
  </w:abstractNum>
  <w:abstractNum w:abstractNumId="163">
    <w:nsid w:val="4F38F265"/>
    <w:multiLevelType w:val="hybridMultilevel"/>
    <w:lvl w:ilvl="0">
      <w:lvlJc w:val="left"/>
      <w:lvlText w:val="(%1)"/>
      <w:numFmt w:val="upperLetter"/>
      <w:start w:val="3"/>
    </w:lvl>
  </w:abstractNum>
  <w:abstractNum w:abstractNumId="164">
    <w:nsid w:val="4C502870"/>
    <w:multiLevelType w:val="hybridMultilevel"/>
    <w:lvl w:ilvl="0">
      <w:lvlJc w:val="left"/>
      <w:lvlText w:val="%1"/>
      <w:numFmt w:val="decimal"/>
      <w:start w:val="1"/>
    </w:lvl>
    <w:lvl w:ilvl="1">
      <w:lvlJc w:val="left"/>
      <w:lvlText w:val="(%2)"/>
      <w:numFmt w:val="decimal"/>
      <w:start w:val="3"/>
    </w:lvl>
  </w:abstractNum>
  <w:abstractNum w:abstractNumId="165">
    <w:nsid w:val="1DE8725A"/>
    <w:multiLevelType w:val="hybridMultilevel"/>
    <w:lvl w:ilvl="0">
      <w:lvlJc w:val="left"/>
      <w:lvlText w:val="(%1)"/>
      <w:numFmt w:val="decimal"/>
      <w:start w:val="10"/>
    </w:lvl>
    <w:lvl w:ilvl="1">
      <w:lvlJc w:val="left"/>
      <w:lvlText w:val="(%2)"/>
      <w:numFmt w:val="decimal"/>
      <w:start w:val="4"/>
    </w:lvl>
  </w:abstractNum>
  <w:abstractNum w:abstractNumId="166">
    <w:nsid w:val="6A37288A"/>
    <w:multiLevelType w:val="hybridMultilevel"/>
    <w:lvl w:ilvl="0">
      <w:lvlJc w:val="left"/>
      <w:lvlText w:val="(%1)"/>
      <w:numFmt w:val="lowerLetter"/>
      <w:start w:val="2"/>
    </w:lvl>
  </w:abstractNum>
  <w:abstractNum w:abstractNumId="167">
    <w:nsid w:val="8F8B73F"/>
    <w:multiLevelType w:val="hybridMultilevel"/>
    <w:lvl w:ilvl="0">
      <w:lvlJc w:val="left"/>
      <w:lvlText w:val="(%1)"/>
      <w:numFmt w:val="decimal"/>
      <w:start w:val="1"/>
    </w:lvl>
  </w:abstractNum>
  <w:abstractNum w:abstractNumId="168">
    <w:nsid w:val="CA6B462"/>
    <w:multiLevelType w:val="hybridMultilevel"/>
    <w:lvl w:ilvl="0">
      <w:lvlJc w:val="left"/>
      <w:lvlText w:val="(%1)"/>
      <w:numFmt w:val="decimal"/>
      <w:start w:val="2"/>
    </w:lvl>
  </w:abstractNum>
  <w:abstractNum w:abstractNumId="169">
    <w:nsid w:val="763CB680"/>
    <w:multiLevelType w:val="hybridMultilevel"/>
    <w:lvl w:ilvl="0">
      <w:lvlJc w:val="left"/>
      <w:lvlText w:val="(%1)"/>
      <w:numFmt w:val="lowerLetter"/>
      <w:start w:val="3"/>
    </w:lvl>
  </w:abstractNum>
  <w:abstractNum w:abstractNumId="170">
    <w:nsid w:val="15B71329"/>
    <w:multiLevelType w:val="hybridMultilevel"/>
    <w:lvl w:ilvl="0">
      <w:lvlJc w:val="left"/>
      <w:lvlText w:val="%1"/>
      <w:numFmt w:val="lowerLetter"/>
      <w:start w:val="1"/>
    </w:lvl>
    <w:lvl w:ilvl="1">
      <w:lvlJc w:val="left"/>
      <w:lvlText w:val="(%2)"/>
      <w:numFmt w:val="lowerLetter"/>
      <w:start w:val="1"/>
    </w:lvl>
  </w:abstractNum>
  <w:abstractNum w:abstractNumId="171">
    <w:nsid w:val="3DA97044"/>
    <w:multiLevelType w:val="hybridMultilevel"/>
    <w:lvl w:ilvl="0">
      <w:lvlJc w:val="left"/>
      <w:lvlText w:val="(%1)"/>
      <w:numFmt w:val="lowerLetter"/>
      <w:start w:val="35"/>
    </w:lvl>
    <w:lvl w:ilvl="1">
      <w:lvlJc w:val="left"/>
      <w:lvlText w:val="%2"/>
      <w:numFmt w:val="lowerLetter"/>
      <w:start w:val="1"/>
    </w:lvl>
  </w:abstractNum>
  <w:abstractNum w:abstractNumId="172">
    <w:nsid w:val="1CDCE2DE"/>
    <w:multiLevelType w:val="hybridMultilevel"/>
    <w:lvl w:ilvl="0">
      <w:lvlJc w:val="left"/>
      <w:lvlText w:val="(%1)"/>
      <w:numFmt w:val="lowerRoman"/>
      <w:start w:val="2"/>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1)"/>
      <w:numFmt w:val="lowerLetter"/>
      <w:start w:val="5"/>
    </w:lvl>
  </w:abstractNum>
  <w:abstractNum w:abstractNumId="175">
    <w:nsid w:val="2DB88089"/>
    <w:multiLevelType w:val="hybridMultilevel"/>
    <w:lvl w:ilvl="0">
      <w:lvlJc w:val="left"/>
      <w:lvlText w:val="(%1)"/>
      <w:numFmt w:val="lowerLetter"/>
      <w:start w:val="1"/>
    </w:lvl>
    <w:lvl w:ilvl="1">
      <w:lvlJc w:val="left"/>
      <w:lvlText w:val="(%2)"/>
      <w:numFmt w:val="decimal"/>
      <w:start w:val="1"/>
    </w:lvl>
  </w:abstractNum>
  <w:abstractNum w:abstractNumId="176">
    <w:nsid w:val="706B674E"/>
    <w:multiLevelType w:val="hybridMultilevel"/>
    <w:lvl w:ilvl="0">
      <w:lvlJc w:val="left"/>
      <w:lvlText w:val="(%1)"/>
      <w:numFmt w:val="decimal"/>
      <w:start w:val="3"/>
    </w:lvl>
  </w:abstractNum>
  <w:abstractNum w:abstractNumId="177">
    <w:nsid w:val="2C106A57"/>
    <w:multiLevelType w:val="hybridMultilevel"/>
    <w:lvl w:ilvl="0">
      <w:lvlJc w:val="left"/>
      <w:lvlText w:val="(%1)"/>
      <w:numFmt w:val="lowerLetter"/>
      <w:start w:val="1"/>
    </w:lvl>
  </w:abstractNum>
  <w:abstractNum w:abstractNumId="178">
    <w:nsid w:val="684EED59"/>
    <w:multiLevelType w:val="hybridMultilevel"/>
    <w:lvl w:ilvl="0">
      <w:lvlJc w:val="left"/>
      <w:lvlText w:val="(%1)"/>
      <w:numFmt w:val="lowerLetter"/>
      <w:start w:val="1"/>
    </w:lvl>
  </w:abstractNum>
  <w:abstractNum w:abstractNumId="179">
    <w:nsid w:val="545EE5D3"/>
    <w:multiLevelType w:val="hybridMultilevel"/>
    <w:lvl w:ilvl="0">
      <w:lvlJc w:val="left"/>
      <w:lvlText w:val="(%1)"/>
      <w:numFmt w:val="lowerLetter"/>
      <w:start w:val="1"/>
    </w:lvl>
  </w:abstractNum>
  <w:abstractNum w:abstractNumId="180">
    <w:nsid w:val="4A66051"/>
    <w:multiLevelType w:val="hybridMultilevel"/>
    <w:lvl w:ilvl="0">
      <w:lvlJc w:val="left"/>
      <w:lvlText w:val="(%1)"/>
      <w:numFmt w:val="lowerLetter"/>
      <w:start w:val="2"/>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1"/>
    </w:lvl>
    <w:lvl w:ilvl="1">
      <w:lvlJc w:val="left"/>
      <w:lvlText w:val="(%2)"/>
      <w:numFmt w:val="lowerRoman"/>
      <w:start w:val="1"/>
    </w:lvl>
  </w:abstractNum>
  <w:abstractNum w:abstractNumId="183">
    <w:nsid w:val="501F9786"/>
    <w:multiLevelType w:val="hybridMultilevel"/>
    <w:lvl w:ilvl="0">
      <w:lvlJc w:val="left"/>
      <w:lvlText w:val="(%1)"/>
      <w:numFmt w:val="lowerLetter"/>
      <w:start w:val="3"/>
    </w:lvl>
  </w:abstractNum>
  <w:abstractNum w:abstractNumId="184">
    <w:nsid w:val="6B057295"/>
    <w:multiLevelType w:val="hybridMultilevel"/>
    <w:lvl w:ilvl="0">
      <w:lvlJc w:val="left"/>
      <w:lvlText w:val="%1"/>
      <w:numFmt w:val="lowerLetter"/>
      <w:start w:val="1"/>
    </w:lvl>
    <w:lvl w:ilvl="1">
      <w:lvlJc w:val="left"/>
      <w:lvlText w:val="(%2)"/>
      <w:numFmt w:val="lowerLetter"/>
      <w:start w:val="1"/>
    </w:lvl>
  </w:abstractNum>
  <w:abstractNum w:abstractNumId="185">
    <w:nsid w:val="2771AC80"/>
    <w:multiLevelType w:val="hybridMultilevel"/>
    <w:lvl w:ilvl="0">
      <w:lvlJc w:val="left"/>
      <w:lvlText w:val="(%1)"/>
      <w:numFmt w:val="lowerLetter"/>
      <w:start w:val="35"/>
    </w:lvl>
    <w:lvl w:ilvl="1">
      <w:lvlJc w:val="left"/>
      <w:lvlText w:val="%2"/>
      <w:numFmt w:val="lowerLetter"/>
      <w:start w:val="1"/>
    </w:lvl>
  </w:abstractNum>
  <w:abstractNum w:abstractNumId="186">
    <w:nsid w:val="1C4A08EC"/>
    <w:multiLevelType w:val="hybridMultilevel"/>
    <w:lvl w:ilvl="0">
      <w:lvlJc w:val="left"/>
      <w:lvlText w:val="9"/>
      <w:numFmt w:val="bullet"/>
      <w:start w:val="1"/>
    </w:lvl>
  </w:abstractNum>
  <w:abstractNum w:abstractNumId="187">
    <w:nsid w:val="1958BD17"/>
    <w:multiLevelType w:val="hybridMultilevel"/>
    <w:lvl w:ilvl="0">
      <w:lvlJc w:val="left"/>
      <w:lvlText w:val="(%1)"/>
      <w:numFmt w:val="lowerLetter"/>
      <w:start w:val="3"/>
    </w:lvl>
  </w:abstractNum>
  <w:abstractNum w:abstractNumId="188">
    <w:nsid w:val="4E647FE4"/>
    <w:multiLevelType w:val="hybridMultilevel"/>
    <w:lvl w:ilvl="0">
      <w:lvlJc w:val="left"/>
      <w:lvlText w:val="(%1)"/>
      <w:numFmt w:val="lowerLetter"/>
      <w:start w:val="1"/>
    </w:lvl>
  </w:abstractNum>
  <w:abstractNum w:abstractNumId="189">
    <w:nsid w:val="E0BB885"/>
    <w:multiLevelType w:val="hybridMultilevel"/>
    <w:lvl w:ilvl="0">
      <w:lvlJc w:val="left"/>
      <w:lvlText w:val="(%1)"/>
      <w:numFmt w:val="lowerLetter"/>
      <w:start w:val="2"/>
    </w:lvl>
    <w:lvl w:ilvl="1">
      <w:lvlJc w:val="left"/>
      <w:lvlText w:val="(%2)"/>
      <w:numFmt w:val="lowerRoman"/>
      <w:start w:val="1"/>
    </w:lvl>
  </w:abstractNum>
  <w:abstractNum w:abstractNumId="190">
    <w:nsid w:val="565976F1"/>
    <w:multiLevelType w:val="hybridMultilevel"/>
    <w:lvl w:ilvl="0">
      <w:lvlJc w:val="left"/>
      <w:lvlText w:val="(%1)"/>
      <w:numFmt w:val="lowerLetter"/>
      <w:start w:val="6"/>
    </w:lvl>
  </w:abstractNum>
  <w:abstractNum w:abstractNumId="191">
    <w:nsid w:val="64212B8C"/>
    <w:multiLevelType w:val="hybridMultilevel"/>
    <w:lvl w:ilvl="0">
      <w:lvlJc w:val="left"/>
      <w:lvlText w:val="(%1)"/>
      <w:numFmt w:val="lowerLetter"/>
      <w:start w:val="1"/>
    </w:lvl>
  </w:abstractNum>
  <w:abstractNum w:abstractNumId="192">
    <w:nsid w:val="5C17530C"/>
    <w:multiLevelType w:val="hybridMultilevel"/>
    <w:lvl w:ilvl="0">
      <w:lvlJc w:val="left"/>
      <w:lvlText w:val="(%1)"/>
      <w:numFmt w:val="lowerLetter"/>
      <w:start w:val="1"/>
    </w:lvl>
  </w:abstractNum>
  <w:abstractNum w:abstractNumId="193">
    <w:nsid w:val="19A52566"/>
    <w:multiLevelType w:val="hybridMultilevel"/>
    <w:lvl w:ilvl="0">
      <w:lvlJc w:val="left"/>
      <w:lvlText w:val="(%1)"/>
      <w:numFmt w:val="lowerLetter"/>
      <w:start w:val="3"/>
    </w:lvl>
  </w:abstractNum>
  <w:abstractNum w:abstractNumId="194">
    <w:nsid w:val="335A1DF1"/>
    <w:multiLevelType w:val="hybridMultilevel"/>
    <w:lvl w:ilvl="0">
      <w:lvlJc w:val="left"/>
      <w:lvlText w:val="(%1)"/>
      <w:numFmt w:val="lowerLetter"/>
      <w:start w:val="1"/>
    </w:lvl>
  </w:abstractNum>
  <w:abstractNum w:abstractNumId="195">
    <w:nsid w:val="28677B7C"/>
    <w:multiLevelType w:val="hybridMultilevel"/>
    <w:lvl w:ilvl="0">
      <w:lvlJc w:val="left"/>
      <w:lvlText w:val="(%1)"/>
      <w:numFmt w:val="lowerLetter"/>
      <w:start w:val="3"/>
    </w:lvl>
  </w:abstractNum>
  <w:abstractNum w:abstractNumId="196">
    <w:nsid w:val="378D97C0"/>
    <w:multiLevelType w:val="hybridMultilevel"/>
    <w:lvl w:ilvl="0">
      <w:lvlJc w:val="left"/>
      <w:lvlText w:val="(%1)"/>
      <w:numFmt w:val="lowerLetter"/>
      <w:start w:val="1"/>
    </w:lvl>
  </w:abstractNum>
  <w:abstractNum w:abstractNumId="197">
    <w:nsid w:val="1D91467C"/>
    <w:multiLevelType w:val="hybridMultilevel"/>
    <w:lvl w:ilvl="0">
      <w:lvlJc w:val="left"/>
      <w:lvlText w:val="(%1)"/>
      <w:numFmt w:val="lowerLetter"/>
      <w:start w:val="1"/>
    </w:lvl>
  </w:abstractNum>
  <w:abstractNum w:abstractNumId="198">
    <w:nsid w:val="316032BB"/>
    <w:multiLevelType w:val="hybridMultilevel"/>
    <w:lvl w:ilvl="0">
      <w:lvlJc w:val="left"/>
      <w:lvlText w:val="(%1)"/>
      <w:numFmt w:val="lowerLetter"/>
      <w:start w:val="1"/>
    </w:lvl>
  </w:abstractNum>
  <w:abstractNum w:abstractNumId="199">
    <w:nsid w:val="44344C22"/>
    <w:multiLevelType w:val="hybridMultilevel"/>
    <w:lvl w:ilvl="0">
      <w:lvlJc w:val="left"/>
      <w:lvlText w:val="(%1)"/>
      <w:numFmt w:val="lowerLetter"/>
      <w:start w:val="1"/>
    </w:lvl>
    <w:lvl w:ilvl="1">
      <w:lvlJc w:val="left"/>
      <w:lvlText w:val="(%2)"/>
      <w:numFmt w:val="lowerRoman"/>
      <w:start w:val="1"/>
    </w:lvl>
  </w:abstractNum>
  <w:abstractNum w:abstractNumId="200">
    <w:nsid w:val="13CDFCFC"/>
    <w:multiLevelType w:val="hybridMultilevel"/>
    <w:lvl w:ilvl="0">
      <w:lvlJc w:val="left"/>
      <w:lvlText w:val="(%1)"/>
      <w:numFmt w:val="lowerLetter"/>
      <w:start w:val="1"/>
    </w:lvl>
  </w:abstractNum>
  <w:abstractNum w:abstractNumId="201">
    <w:nsid w:val="471745E4"/>
    <w:multiLevelType w:val="hybridMultilevel"/>
    <w:lvl w:ilvl="0">
      <w:lvlJc w:val="left"/>
      <w:lvlText w:val="(%1)"/>
      <w:numFmt w:val="lowerLetter"/>
      <w:start w:val="6"/>
    </w:lvl>
  </w:abstractNum>
  <w:abstractNum w:abstractNumId="202">
    <w:nsid w:val="1DDBC66"/>
    <w:multiLevelType w:val="hybridMultilevel"/>
    <w:lvl w:ilvl="0">
      <w:lvlJc w:val="left"/>
      <w:lvlText w:val="%1."/>
      <w:numFmt w:val="decimal"/>
      <w:start w:val="1"/>
    </w:lvl>
  </w:abstractNum>
  <w:abstractNum w:abstractNumId="203">
    <w:nsid w:val="30AADFDA"/>
    <w:multiLevelType w:val="hybridMultilevel"/>
    <w:lvl w:ilvl="0">
      <w:lvlJc w:val="left"/>
      <w:lvlText w:val="(%1)"/>
      <w:numFmt w:val="lowerLetter"/>
      <w:start w:val="1"/>
    </w:lvl>
  </w:abstractNum>
  <w:abstractNum w:abstractNumId="204">
    <w:nsid w:val="30EADA61"/>
    <w:multiLevelType w:val="hybridMultilevel"/>
    <w:lvl w:ilvl="0">
      <w:lvlJc w:val="left"/>
      <w:lvlText w:val="(%1)"/>
      <w:numFmt w:val="lowerLetter"/>
      <w:start w:val="1"/>
    </w:lvl>
  </w:abstractNum>
  <w:abstractNum w:abstractNumId="205">
    <w:nsid w:val="27179C0B"/>
    <w:multiLevelType w:val="hybridMultilevel"/>
    <w:lvl w:ilvl="0">
      <w:lvlJc w:val="left"/>
      <w:lvlText w:val="(%1)"/>
      <w:numFmt w:val="lowerLetter"/>
      <w:start w:val="3"/>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lowerLetter"/>
      <w:start w:val="2"/>
    </w:lvl>
  </w:abstractNum>
  <w:abstractNum w:abstractNumId="208">
    <w:nsid w:val="53280662"/>
    <w:multiLevelType w:val="hybridMultilevel"/>
    <w:lvl w:ilvl="0">
      <w:lvlJc w:val="left"/>
      <w:lvlText w:val="%1"/>
      <w:numFmt w:val="decimal"/>
      <w:start w:val="10"/>
    </w:lvl>
  </w:abstractNum>
  <w:abstractNum w:abstractNumId="209">
    <w:nsid w:val="46B24DBC"/>
    <w:multiLevelType w:val="hybridMultilevel"/>
    <w:lvl w:ilvl="0">
      <w:lvlJc w:val="left"/>
      <w:lvlText w:val="%1."/>
      <w:numFmt w:val="decimal"/>
      <w:start w:val="1"/>
    </w:lvl>
  </w:abstractNum>
  <w:abstractNum w:abstractNumId="210">
    <w:nsid w:val="75B527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1">
    <w:nsid w:val="57CE66B4"/>
    <w:multiLevelType w:val="hybridMultilevel"/>
    <w:lvl w:ilvl="0">
      <w:lvlJc w:val="left"/>
      <w:lvlText w:val="%1"/>
      <w:numFmt w:val="upperLetter"/>
      <w:start w:val="1"/>
    </w:lvl>
    <w:lvl w:ilvl="1">
      <w:lvlJc w:val="left"/>
      <w:lvlText w:val="%2."/>
      <w:numFmt w:val="lowerLetter"/>
      <w:start w:val="3"/>
    </w:lvl>
  </w:abstractNum>
  <w:abstractNum w:abstractNumId="212">
    <w:nsid w:val="67A70B69"/>
    <w:multiLevelType w:val="hybridMultilevel"/>
    <w:lvl w:ilvl="0">
      <w:lvlJc w:val="left"/>
      <w:lvlText w:val="(%1)"/>
      <w:numFmt w:val="upperLetter"/>
      <w:start w:val="2"/>
    </w:lvl>
    <w:lvl w:ilvl="1">
      <w:lvlJc w:val="left"/>
      <w:lvlText w:val="%2."/>
      <w:numFmt w:val="lowerLetter"/>
      <w:start w:val="5"/>
    </w:lvl>
  </w:abstractNum>
  <w:abstractNum w:abstractNumId="213">
    <w:nsid w:val="5953172F"/>
    <w:multiLevelType w:val="hybridMultilevel"/>
    <w:lvl w:ilvl="0">
      <w:lvlJc w:val="left"/>
      <w:lvlText w:val="%1."/>
      <w:numFmt w:val="lowerLetter"/>
      <w:start w:val="13"/>
    </w:lvl>
  </w:abstractNum>
  <w:abstractNum w:abstractNumId="214">
    <w:nsid w:val="27EDFE3A"/>
    <w:multiLevelType w:val="hybridMultilevel"/>
    <w:lvl w:ilvl="0">
      <w:lvlJc w:val="left"/>
      <w:lvlText w:val="%1."/>
      <w:numFmt w:val="decimal"/>
      <w:start w:val="6"/>
    </w:lvl>
    <w:lvl w:ilvl="1">
      <w:lvlJc w:val="left"/>
      <w:lvlText w:val="%2."/>
      <w:numFmt w:val="lowerLetter"/>
      <w:start w:val="1"/>
    </w:lvl>
  </w:abstractNum>
  <w:abstractNum w:abstractNumId="215">
    <w:nsid w:val="52AC7DFF"/>
    <w:multiLevelType w:val="hybridMultilevel"/>
    <w:lvl w:ilvl="0">
      <w:lvlJc w:val="left"/>
      <w:lvlText w:val="%1."/>
      <w:numFmt w:val="lowerLetter"/>
      <w:start w:val="13"/>
    </w:lvl>
  </w:abstractNum>
  <w:abstractNum w:abstractNumId="216">
    <w:nsid w:val="C4C3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8"/>
    </w:lvl>
  </w:abstractNum>
  <w:abstractNum w:abstractNumId="217">
    <w:nsid w:val="44380727"/>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18">
    <w:nsid w:val="6C053B16"/>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219">
    <w:nsid w:val="4F294393"/>
    <w:multiLevelType w:val="hybridMultilevel"/>
    <w:lvl w:ilvl="0">
      <w:lvlJc w:val="left"/>
      <w:lvlText w:val="%1."/>
      <w:numFmt w:val="lowerLetter"/>
      <w:start w:val="3"/>
    </w:lvl>
  </w:abstractNum>
  <w:abstractNum w:abstractNumId="220">
    <w:nsid w:val="5243BFAC"/>
    <w:multiLevelType w:val="hybridMultilevel"/>
    <w:lvl w:ilvl="0">
      <w:lvlJc w:val="left"/>
      <w:lvlText w:val="%1."/>
      <w:numFmt w:val="lowerLetter"/>
      <w:start w:val="5"/>
    </w:lvl>
  </w:abstractNum>
  <w:abstractNum w:abstractNumId="221">
    <w:nsid w:val="425EB207"/>
    <w:multiLevelType w:val="hybridMultilevel"/>
    <w:lvl w:ilvl="0">
      <w:lvlJc w:val="left"/>
      <w:lvlText w:val="%1."/>
      <w:numFmt w:val="decimal"/>
      <w:start w:val="8"/>
    </w:lvl>
    <w:lvl w:ilvl="1">
      <w:lvlJc w:val="left"/>
      <w:lvlText w:val="%2."/>
      <w:numFmt w:val="lowerLetter"/>
      <w:start w:val="1"/>
    </w:lvl>
  </w:abstractNum>
  <w:abstractNum w:abstractNumId="222">
    <w:nsid w:val="334A6F1F"/>
    <w:multiLevelType w:val="hybridMultilevel"/>
    <w:lvl w:ilvl="0">
      <w:lvlJc w:val="left"/>
      <w:lvlText w:val="%1."/>
      <w:numFmt w:val="lowerLetter"/>
      <w:start w:val="5"/>
    </w:lvl>
  </w:abstractNum>
  <w:abstractNum w:abstractNumId="223">
    <w:nsid w:val="2E5B12B8"/>
    <w:multiLevelType w:val="hybridMultilevel"/>
    <w:lvl w:ilvl="0">
      <w:lvlJc w:val="left"/>
      <w:lvlText w:val="%1."/>
      <w:numFmt w:val="lowerLetter"/>
      <w:start w:val="6"/>
    </w:lvl>
  </w:abstractNum>
  <w:abstractNum w:abstractNumId="224">
    <w:nsid w:val="5C03D76D"/>
    <w:multiLevelType w:val="hybridMultilevel"/>
    <w:lvl w:ilvl="0">
      <w:lvlJc w:val="left"/>
      <w:lvlText w:val="%1."/>
      <w:numFmt w:val="lowerLetter"/>
      <w:start w:val="13"/>
    </w:lvl>
  </w:abstractNum>
  <w:abstractNum w:abstractNumId="225">
    <w:nsid w:val="66A48D11"/>
    <w:multiLevelType w:val="hybridMultilevel"/>
    <w:lvl w:ilvl="0">
      <w:lvlJc w:val="left"/>
      <w:lvlText w:val="%1."/>
      <w:numFmt w:val="decimal"/>
      <w:start w:val="11"/>
    </w:lvl>
  </w:abstractNum>
  <w:abstractNum w:abstractNumId="226">
    <w:nsid w:val="56C28E34"/>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27">
    <w:nsid w:val="13916F2D"/>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228">
    <w:nsid w:val="435D38D"/>
    <w:multiLevelType w:val="hybridMultilevel"/>
    <w:lvl w:ilvl="0">
      <w:lvlJc w:val="left"/>
      <w:lvlText w:val="%1."/>
      <w:numFmt w:val="decimal"/>
      <w:start w:val="1"/>
    </w:lvl>
  </w:abstractNum>
  <w:abstractNum w:abstractNumId="229">
    <w:nsid w:val="822C0EF"/>
    <w:multiLevelType w:val="hybridMultilevel"/>
    <w:lvl w:ilvl="0">
      <w:lvlJc w:val="left"/>
      <w:lvlText w:val="☐"/>
      <w:numFmt w:val="bullet"/>
      <w:start w:val="1"/>
    </w:lvl>
  </w:abstractNum>
  <w:abstractNum w:abstractNumId="230">
    <w:nsid w:val="57C5B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1">
    <w:nsid w:val="1803D089"/>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232">
    <w:nsid w:val="4F3A06D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33">
    <w:nsid w:val="59A377B6"/>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34">
    <w:nsid w:val="48AEB063"/>
    <w:multiLevelType w:val="hybridMultilevel"/>
    <w:lvl w:ilvl="0">
      <w:lvlJc w:val="left"/>
      <w:lvlText w:val="%1."/>
      <w:numFmt w:val="decimal"/>
      <w:start w:val="3"/>
    </w:lvl>
    <w:lvl w:ilvl="1">
      <w:lvlJc w:val="left"/>
      <w:lvlText w:val="(%2)"/>
      <w:numFmt w:val="lowerLetter"/>
      <w:start w:val="1"/>
    </w:lvl>
  </w:abstractNum>
  <w:abstractNum w:abstractNumId="235">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36">
    <w:nsid w:val="BB13C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7">
    <w:nsid w:val="271210C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8">
    <w:nsid w:val="217B22E4"/>
    <w:multiLevelType w:val="hybridMultilevel"/>
    <w:lvl w:ilvl="0">
      <w:lvlJc w:val="left"/>
      <w:lvlText w:val="%1."/>
      <w:numFmt w:val="decimal"/>
      <w:start w:val="5"/>
    </w:lvl>
  </w:abstractNum>
  <w:abstractNum w:abstractNumId="239">
    <w:nsid w:val="53E31A24"/>
    <w:multiLevelType w:val="hybridMultilevel"/>
    <w:lvl w:ilvl="0">
      <w:lvlJc w:val="left"/>
      <w:lvlText w:val="%1."/>
      <w:numFmt w:val="decimal"/>
      <w:start w:val="8"/>
    </w:lvl>
  </w:abstractNum>
  <w:abstractNum w:abstractNumId="240">
    <w:nsid w:val="6DC45E83"/>
    <w:multiLevelType w:val="hybridMultilevel"/>
    <w:lvl w:ilvl="0">
      <w:lvlJc w:val="left"/>
      <w:lvlText w:val="%1."/>
      <w:numFmt w:val="decimal"/>
      <w:start w:val="1"/>
    </w:lvl>
  </w:abstractNum>
  <w:abstractNum w:abstractNumId="241">
    <w:nsid w:val="17304A67"/>
    <w:multiLevelType w:val="hybridMultilevel"/>
    <w:lvl w:ilvl="0">
      <w:lvlJc w:val="left"/>
      <w:lvlText w:val="%1."/>
      <w:numFmt w:val="decimal"/>
      <w:start w:val="1"/>
    </w:lvl>
  </w:abstractNum>
  <w:abstractNum w:abstractNumId="242">
    <w:nsid w:val="2BB180D8"/>
    <w:multiLevelType w:val="hybridMultilevel"/>
    <w:lvl w:ilvl="0">
      <w:lvlJc w:val="left"/>
      <w:lvlText w:val="%1."/>
      <w:numFmt w:val="decimal"/>
      <w:start w:val="2"/>
    </w:lvl>
  </w:abstractNum>
  <w:abstractNum w:abstractNumId="243">
    <w:nsid w:val="556B69ED"/>
    <w:multiLevelType w:val="hybridMultilevel"/>
    <w:lvl w:ilvl="0">
      <w:lvlJc w:val="left"/>
      <w:lvlText w:val="(%1)"/>
      <w:numFmt w:val="lowerLetter"/>
      <w:start w:val="1"/>
    </w:lvl>
  </w:abstractNum>
  <w:abstractNum w:abstractNumId="244">
    <w:nsid w:val="70836196"/>
    <w:multiLevelType w:val="hybridMultilevel"/>
    <w:lvl w:ilvl="0">
      <w:lvlJc w:val="left"/>
      <w:lvlText w:val="(%1)"/>
      <w:numFmt w:val="lowerLetter"/>
      <w:start w:val="3"/>
    </w:lvl>
  </w:abstractNum>
  <w:abstractNum w:abstractNumId="245">
    <w:nsid w:val="539F7F12"/>
    <w:multiLevelType w:val="hybridMultilevel"/>
    <w:lvl w:ilvl="0">
      <w:lvlJc w:val="left"/>
      <w:lvlText w:val="%1."/>
      <w:numFmt w:val="decimal"/>
      <w:start w:val="6"/>
    </w:lvl>
  </w:abstractNum>
  <w:abstractNum w:abstractNumId="246">
    <w:nsid w:val="2817E7EC"/>
    <w:multiLevelType w:val="hybridMultilevel"/>
    <w:lvl w:ilvl="0">
      <w:lvlJc w:val="left"/>
      <w:lvlText w:val="(%1)"/>
      <w:numFmt w:val="lowerLetter"/>
      <w:start w:val="1"/>
    </w:lvl>
  </w:abstractNum>
  <w:abstractNum w:abstractNumId="247">
    <w:nsid w:val="71482545"/>
    <w:multiLevelType w:val="hybridMultilevel"/>
    <w:lvl w:ilvl="0">
      <w:lvlJc w:val="left"/>
      <w:lvlText w:val="(%1)"/>
      <w:numFmt w:val="lowerLetter"/>
      <w:start w:val="3"/>
    </w:lvl>
  </w:abstractNum>
  <w:abstractNum w:abstractNumId="248">
    <w:nsid w:val="17D7863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2020-10-20T05:11:12Z</dcterms:created>
  <dcterms:modified xsi:type="dcterms:W3CDTF">2020-10-20T05:11:12Z</dcterms:modified>
</cp:coreProperties>
</file>